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jc w:val="center"/>
      </w:pPr>
      <w:r>
        <w:rPr>
          <w:rFonts w:ascii="Arial" w:cs="Arial" w:eastAsia="Arial" w:hAnsi="Arial"/>
          <w:b/>
          <w:bCs/>
          <w:color w:val="1B2A4A"/>
          <w:sz w:val="96"/>
          <w:szCs w:val="96"/>
        </w:rPr>
        <w:t xml:space="preserve">AVAL</w:t>
      </w:r>
    </w:p>
    <w:p>
      <w:pPr>
        <w:spacing w:after="60" w:before="60"/>
        <w:jc w:val="center"/>
      </w:pPr>
      <w:r>
        <w:rPr>
          <w:rFonts w:ascii="Arial" w:cs="Arial" w:eastAsia="Arial" w:hAnsi="Arial"/>
          <w:i/>
          <w:iCs/>
          <w:color w:val="0F7B8C"/>
          <w:sz w:val="32"/>
          <w:szCs w:val="32"/>
        </w:rPr>
        <w:t xml:space="preserve">AI-Powered Financial Reconciliation Engine</w:t>
      </w:r>
    </w:p>
    <w:p>
      <w:pPr>
        <w:pBdr>
          <w:bottom w:val="single" w:color="C9A84C" w:sz="4" w:space="1"/>
        </w:pBdr>
        <w:spacing w:after="80" w:before="80"/>
      </w:pPr>
    </w:p>
    <w:p>
      <w:pPr>
        <w:spacing w:after="0" w:before="200"/>
      </w:pPr>
    </w:p>
    <w:p>
      <w:pPr>
        <w:jc w:val="center"/>
      </w:pPr>
      <w:r>
        <w:rPr>
          <w:rFonts w:ascii="Arial" w:cs="Arial" w:eastAsia="Arial" w:hAnsi="Arial"/>
          <w:b/>
          <w:bCs/>
          <w:color w:val="1B2A4A"/>
          <w:sz w:val="40"/>
          <w:szCs w:val="40"/>
        </w:rPr>
        <w:t xml:space="preserve">Codebase Class Reference</w:t>
      </w:r>
    </w:p>
    <w:p>
      <w:pPr>
        <w:spacing w:after="0" w:before="60"/>
      </w:pPr>
    </w:p>
    <w:p>
      <w:pPr>
        <w:jc w:val="center"/>
      </w:pPr>
      <w:r>
        <w:rPr>
          <w:rFonts w:ascii="Arial" w:cs="Arial" w:eastAsia="Arial" w:hAnsi="Arial"/>
          <w:i/>
          <w:iCs/>
          <w:color w:val="555555"/>
          <w:sz w:val="22"/>
          <w:szCs w:val="22"/>
        </w:rPr>
        <w:t xml:space="preserve">Detailed explanations of every Java class, interface, and enum</w:t>
      </w:r>
    </w:p>
    <w:p>
      <w:pPr>
        <w:spacing w:after="0" w:before="400"/>
      </w:pPr>
    </w:p>
    <w:p>
      <w:pPr>
        <w:jc w:val="center"/>
      </w:pPr>
      <w:r>
        <w:rPr>
          <w:rFonts w:ascii="Arial" w:cs="Arial" w:eastAsia="Arial" w:hAnsi="Arial"/>
          <w:b/>
          <w:bCs/>
          <w:color w:val="1B2A4A"/>
          <w:sz w:val="24"/>
          <w:szCs w:val="24"/>
        </w:rPr>
        <w:t xml:space="preserve">Team</w:t>
      </w:r>
    </w:p>
    <w:p>
      <w:pPr>
        <w:spacing w:after="20" w:before="40"/>
        <w:jc w:val="center"/>
      </w:pPr>
      <w:r>
        <w:rPr>
          <w:rFonts w:ascii="Arial" w:cs="Arial" w:eastAsia="Arial" w:hAnsi="Arial"/>
          <w:color w:val="333333"/>
          <w:sz w:val="22"/>
          <w:szCs w:val="22"/>
        </w:rPr>
        <w:t xml:space="preserve">Rayyan Ahmad Sultan  ·  Aryan Ali Khan  ·  Safwan Shakir</w:t>
      </w:r>
    </w:p>
    <w:p>
      <w:pPr>
        <w:spacing w:after="20" w:before="40"/>
        <w:jc w:val="center"/>
      </w:pPr>
      <w:r>
        <w:rPr>
          <w:rFonts w:ascii="Arial" w:cs="Arial" w:eastAsia="Arial" w:hAnsi="Arial"/>
          <w:color w:val="888888"/>
          <w:sz w:val="20"/>
          <w:szCs w:val="20"/>
        </w:rPr>
        <w:t xml:space="preserve">Evaluation Deadline: 8 May 2026</w:t>
      </w:r>
    </w:p>
    <w:p>
      <w:pPr>
        <w:spacing w:after="0" w:before="600"/>
      </w:pPr>
    </w:p>
    <w:p>
      <w:pPr>
        <w:pBdr>
          <w:bottom w:val="single" w:color="CCDDEE" w:sz="4" w:space="1"/>
        </w:pBdr>
        <w:spacing w:after="80" w:before="80"/>
      </w:pPr>
    </w:p>
    <w:p>
      <w:pPr>
        <w:spacing w:before="80"/>
        <w:jc w:val="center"/>
      </w:pPr>
      <w:r>
        <w:rPr>
          <w:rFonts w:ascii="Arial" w:cs="Arial" w:eastAsia="Arial" w:hAnsi="Arial"/>
          <w:color w:val="999999"/>
          <w:sz w:val="18"/>
          <w:szCs w:val="18"/>
        </w:rPr>
        <w:t xml:space="preserve">Stack: Java 21  ·  JavaFX  ·  LangChain4j  ·  PostgreSQL</w:t>
      </w:r>
    </w:p>
    <w:p>
      <w:pPr>
        <w:pageBreakBefore/>
      </w:pPr>
    </w:p>
    <w:p>
      <w:pPr>
        <w:pStyle w:val="Heading1"/>
        <w:spacing w:after="120" w:before="240"/>
      </w:pPr>
      <w:r>
        <w:rPr>
          <w:rFonts w:ascii="Arial" w:cs="Arial" w:eastAsia="Arial" w:hAnsi="Arial"/>
          <w:b/>
          <w:bCs/>
          <w:color w:val="1B2A4A"/>
          <w:sz w:val="36"/>
          <w:szCs w:val="36"/>
        </w:rPr>
        <w:t xml:space="preserve">How to Read This Document</w:t>
      </w:r>
    </w:p>
    <w:p>
      <w:pPr>
        <w:spacing w:line="320"/>
      </w:pPr>
      <w:r>
        <w:rPr>
          <w:rFonts w:ascii="Arial" w:cs="Arial" w:eastAsia="Arial" w:hAnsi="Arial"/>
          <w:color w:val="333333"/>
          <w:sz w:val="20"/>
          <w:szCs w:val="20"/>
        </w:rPr>
        <w:t xml:space="preserve">Every class card shows: the full class name (monospaced), its package and owner, the architectural layer, which Use Cases it supports, and its GOF / GRASP design pattern assignments. The explanation block beneath gives a 3–4 sentence description of what the class is, what it must do, and how it fits into the AVAL product pipeline.</w:t>
      </w:r>
    </w:p>
    <w:p>
      <w:pPr>
        <w:spacing w:line="320"/>
      </w:pPr>
      <w:r>
        <w:rPr>
          <w:rFonts w:ascii="Arial" w:cs="Arial" w:eastAsia="Arial" w:hAnsi="Arial"/>
          <w:color w:val="333333"/>
          <w:sz w:val="20"/>
          <w:szCs w:val="20"/>
        </w:rPr>
        <w:t xml:space="preserve">Classes are grouped by team member. Safwan owns Layers 1 &amp; 2 (Foundation). Rayyan owns Layer 3 (AI &amp; Engine) plus integration. Aryan owns Layer 5 (UI &amp; Reporting). The build dependency order is: Safwan → Rayyan → Aryan.</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1"/>
              <w:left w:val="single" w:color="1B4F72" w:sz="1"/>
              <w:bottom w:val="single" w:color="1B4F72" w:sz="1"/>
              <w:right w:val="single" w:color="1B4F72" w:sz="1"/>
            </w:tcBorders>
            <w:shd w:fill="1B4F72"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Safwan Shakir</w:t>
            </w:r>
            <w:r>
              <w:rPr>
                <w:rFonts w:ascii="Arial" w:cs="Arial" w:eastAsia="Arial" w:hAnsi="Arial"/>
                <w:color w:val="DDEEEE"/>
                <w:sz w:val="22"/>
                <w:szCs w:val="22"/>
              </w:rPr>
              <w:t xml:space="preserve">   —   Foundation  ·  Layers 1 &amp; 2  ·  Persistence</w:t>
            </w:r>
          </w:p>
        </w:tc>
      </w:tr>
    </w:tbl>
    <w:p>
      <w:pPr>
        <w:spacing w:after="0" w:before="200"/>
      </w:pPr>
    </w:p>
    <w:p>
      <w:pPr>
        <w:pBdr>
          <w:bottom w:val="single" w:color="0F7B8C" w:sz="6" w:space="2"/>
        </w:pBdr>
        <w:spacing w:after="100" w:before="300"/>
      </w:pPr>
      <w:r>
        <w:rPr>
          <w:rFonts w:ascii="Arial" w:cs="Arial" w:eastAsia="Arial" w:hAnsi="Arial"/>
          <w:b/>
          <w:bCs/>
          <w:color w:val="0F7B8C"/>
          <w:sz w:val="28"/>
          <w:szCs w:val="28"/>
        </w:rPr>
        <w:t xml:space="preserve">Layer 1 — Core Domain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ClientOrganization</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aval.domain.core   |   Owner: Safwan   |   Layer: Layer 1 – Core   |   Use Cases: UC1</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 Pure Fabrication</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ClientOrganization is the top-level domain entity that represents a Pakistani SME client registered in the AVAL system. It holds the client's unique identifier, name, and contact metadata, and acts as the root aggregate under which all reconciliation workspaces and datasets are organised. In UC1 (Create Client Organization Profile), an Accountant or Finance Manager fills in a registration form in the UI; the controller delegates to IngestionService, which instantiates and persists a ClientOrganization via DataStore. Every other entity in the system — workspaces, datasets, records — ultimately belongs to a ClientOrganization, making it the anchor of the entire data model.</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ReconciliationWorkspace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aval.domain.core   |   Owner: Safwan   |   Layer: Layer 1 – Core   |   Use Cases: UC1</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ReconciliationWorkspace is a session-scoped container that groups together all datasets, match hypotheses, and reconciliation records for a single reconciliation job belonging to a ClientOrganization. It carries a WorkspaceStatus enum value that tracks lifecycle state: OPEN, IN_PROGRESS, COMPLETED, or LOCKED. UC1 creates the workspace immediately after the client profile is saved, giving the user a context in which to upload ledger and bank data. The workspace is the central joining point that links Safwan's ingestion layer to Rayyan's AI engine and Aryan's dashboard.</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MatchingConfig</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aval.domain.core   |   Owner: Safwan   |   Layer: Layer 1 – Core   |   Use Cases: UC6</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MatchingConfig is a configuration value-object that is attached to a ReconciliationWorkspace and holds the two threshold constants that govern the entire AI matching pipeline: AUTO_CONFIRM_THRESHOLD (0.95) and REVIEW_FLOOR (0.70). When the MatchingEngine scores a hypothesis, it consults MatchingConfig to decide whether to auto-confirm, flag for human review, or reject the candidate. This class is Safwan's contribution to the engine layer: it defines the policy boundaries that Rayyan's UC6 branching logic reads but does not hard-code, keeping thresholds configurable per workspace without touching engine code.</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Layer 2 — Ingestion Domain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FinancialDataset</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aval.domain.ingestion   |   Owner: Safwan   |   Layer: Layer 2 – Ingestion   |   Use Cases: UC2,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 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FinancialDataset is the abstract base class that captures all shared state for any uploaded financial file: dataset ID, originating ClientOrganization reference, upload timestamp, file path, and a DatasetStatus flag. It defines the common contract that both RawInternalLedger and RawBankStatement must honour, enabling IngestionService to handle them polymorphically. In UC2 and UC3, when a user uploads a ledger or bank statement, the parser produces a FinancialDataset subtype that DataStore can persist uniformly. The abstract design enforces that every dataset carries provenance metadata and a processing status, which is critical for audit trail compliance.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RawTransaction</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aval.domain.ingestion   |   Owner: Safwan   |   Layer: Layer 2 – Ingestion   |   Use Cases: UC2,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RawTransaction is the fine-grained value object that holds a single parsed line from any financial document — a date, description string, BigDecimal amount, and a TransactionType enum. It is the atomic unit produced by both CSVLedgerParser and PDFBankStatementParser and collected into the transactions list of the relevant FinancialDataset subclass. UC2 and UC3 both terminate in a list of RawTransaction objects being persisted through DataStore; Rayyan's StandardizedTransaction in Layer 3 then consumes these raw objects and normalises them into a canonical schema. Using BigDecimal for the amount field is mandatory per the project coding rules to avoid floating-point rounding errors in monetary arithmetic.</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RawInternalLedger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aval.domain.ingestion   |   Owner: Safwan   |   Layer: Layer 2 – Ingestion   |   Use Cases: UC2</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RawInternalLedger is the concrete FinancialDataset subclass that represents a company's internal bookkeeping file uploaded in CSV format. It extends FinancialDataset by adding any ledger-specific metadata (such as accounting period or ledger code) and holds the list of RawTransaction objects extracted by CSVLedgerParser. In UC2 (Ingest Client Internal Ledger), the user uploads a CSV file through IngestionController; IngestionService reads the DataSourceType and uses its Factory Method logic to instantiate RawInternalLedger rather than RawBankStatement. This class is the data container that crosses the boundary between Safwan's ingestion layer and Rayyan's standardisation step.</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RawBankStatement</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aval.domain.ingestion   |   Owner: Safwan   |   Layer: Layer 2 – Ingestion   |   Use Cases: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RawBankStatement is the concrete FinancialDataset subclass that represents an external bank statement imported as a PDF document. It extends FinancialDataset with any bank-specific fields (bank name, account number, statement period) and aggregates the list of RawTransaction objects extracted by PDFBankStatementParser. UC3 (Import External Financial Data) drives its creation: the user uploads a PDF and IngestionController delegates to IngestionService, which instantiates RawBankStatement via Factory Method. Once persisted through DataStore, these raw records feed directly into Rayyan's vectorisation pipeline, where they are semantically embedded and compared against the internal ledger.</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Parsers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DocumentParser&lt;T&gt;</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aval.parser   |   Owner: Safwan   |   Layer: Parser – Interface / Template Method   |   Use Cases: UC2,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Template Method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DocumentParser&lt;T&gt; is a generic interface that defines the Template Method algorithm skeleton for all file-parsing operations in AVAL. It declares three abstract methods — parse(file), validate(file), and extractRawRows(file) — that concrete parsers must implement, ensuring every parser follows the same sequence: validate first, extract rows, then produce a typed T result. The generic parameter T allows CSVLedgerParser to return RawInternalLedger and PDFBankStatementParser to return RawBankStatement from the same contract. This design means IngestionService can call DocumentParser&lt;T&gt;.parse() on any document type without knowing the underlying format, which is essential for extending AVAL to new file formats in the future without changing the service layer.</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CSVLedgerParser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aval.parser   |   Owner: Safwan   |   Layer: Parser – Implementation   |   Use Cases: UC2</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Template Method (concrete)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CSVLedgerParser is the concrete implementation of DocumentParser&lt;RawInternalLedger&gt; that handles comma-separated value files produced by accounting software. It implements validate() to check for required column headers, extractRawRows() to iterate over CSV lines and map each to a RawTransaction, and parse() to assemble the full RawInternalLedger object. UC2 (Ingest Client Internal Ledger) routes here when IngestionService detects a CSV DataSourceType; the resulting RawInternalLedger is then handed off to DataStore for persistence. Robust CSV parsing is the first line of quality control in AVAL — malformed or missing data caught here prevents corrupt records from ever reaching the AI matching engine.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PDFBankStatementParser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aval.parser   |   Owner: Safwan   |   Layer: Parser – Implementation   |   Use Cases: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Template Method (concrete)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PDFBankStatementParser is the concrete implementation of DocumentParser&lt;RawBankStatement&gt; that reads scanned or digital bank statement PDFs from Pakistani banks. It implements validate() to confirm the document is a recognisable statement format, extractRawRows() to parse tabular transaction data from PDF pages (using a PDF library), and parse() to assemble the full RawBankStatement domain object. UC3 (Import External Financial Data) uses this parser as the entry point for all external bank data; the cleaner the raw extraction here, the higher the semantic similarity scores Rayyan's vectorisation engine will produce downstream. This class is the most complex parser in the system because PDF layout varies by bank.</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Persistence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DataStore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aval.persistence   |   Owner: Safwan   |   Layer: Persistence   |   Use Cases: All Use Cases</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Repository / DAO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 (persistence authority)</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DataStore is the sole class in the system that holds a JDBC connection and executes SQL against the PostgreSQL database — no other class is permitted to touch the database directly. It implements the Repository / DAO pattern, exposing typed save, findById, and query methods for every domain entity: ClientOrganization, ReconciliationWorkspace, FinancialDataset subtypes, RawTransaction, StandardizedTransaction, MatchHypothesis, and ReconciliationRecord. All three service classes — IngestionService, ReconciliationService, and ReportService — receive a DataStore instance through constructor injection and call it for every persistence operation. Centralising all SQL here means that schema changes, query optimisation, or a future ORM migration only ever touches one class.</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Service — Layer 4</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IngestionService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aval.service   |   Owner: Safwan   |   Layer: Layer 4 – Services   |   Use Cases: UC2, UC3, UC4</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Factory Method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Creator, 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IngestionService is the Layer 4 orchestrator for the data ingestion pipeline, covering file intake, parsing, schema standardisation, and initial persistence. It applies the Factory Method pattern to decide, based on the DataSourceType, whether to instantiate CSVLedgerParser (for UC2 internal ledger) or PDFBankStatementParser (for UC3 bank statement), then delegates parsing to whichever DocumentParser&lt;T&gt; is produced. For UC4 (Standardize Financial Schema), IngestionService coordinates with Rayyan's StandardizedTransaction by invoking the appropriate transformation after raw data is stored. Because it owns the three earliest use cases in the pipeline, IngestionService is the first service that must be functional before any AI or UI work can proceed.</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Enums — Safwan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DataSourceType</w:t>
            </w:r>
          </w:p>
          <w:p>
            <w:r>
              <w:rPr>
                <w:rFonts w:ascii="Arial" w:cs="Arial" w:eastAsia="Arial" w:hAnsi="Arial"/>
                <w:i/>
                <w:iCs/>
                <w:color w:val="CCE8F0"/>
                <w:sz w:val="16"/>
                <w:szCs w:val="16"/>
              </w:rPr>
              <w:t xml:space="preserve">Owner: Safwan  |  UCs: UC2, UC3</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Enumerates the origin of a financial dataset uploaded into AVAL, distinguishing between INTERNAL_CSV (company ledger) and EXTERNAL_PDF (bank statement). IngestionService reads this value to select the correct parser via Factory Method, and DataStore records it alongside every FinancialDataset for audit purposes.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DatasetStatus</w:t>
            </w:r>
          </w:p>
          <w:p>
            <w:r>
              <w:rPr>
                <w:rFonts w:ascii="Arial" w:cs="Arial" w:eastAsia="Arial" w:hAnsi="Arial"/>
                <w:i/>
                <w:iCs/>
                <w:color w:val="CCE8F0"/>
                <w:sz w:val="16"/>
                <w:szCs w:val="16"/>
              </w:rPr>
              <w:t xml:space="preserve">Owner: Safwan  |  UCs: UC2–UC4</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Tracks the processing lifecycle of a FinancialDataset from upload to standardisation: UPLOADED → VALIDATED → PARSED → STANDARDIZED → FAILED. The UI uses this value to show progress indicators during UC2–UC4, and IngestionService updates it at each pipeline stage so both the user and the system always know exactly where a dataset sits in the workflow.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TransactionType</w:t>
            </w:r>
          </w:p>
          <w:p>
            <w:r>
              <w:rPr>
                <w:rFonts w:ascii="Arial" w:cs="Arial" w:eastAsia="Arial" w:hAnsi="Arial"/>
                <w:i/>
                <w:iCs/>
                <w:color w:val="CCE8F0"/>
                <w:sz w:val="16"/>
                <w:szCs w:val="16"/>
              </w:rPr>
              <w:t xml:space="preserve">Owner: Safwan  |  UCs: UC2, UC3</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Classifies each RawTransaction as DEBIT or CREDIT (and potentially REVERSAL or ADJUSTMENT). This is the first semantic label applied to raw financial data; Rayyan's StandardizedTransaction carries this classification forward so the MatchingEngine can correctly compare debit entries against their expected credit counterparts across datasets.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WorkspaceStatus</w:t>
            </w:r>
          </w:p>
          <w:p>
            <w:r>
              <w:rPr>
                <w:rFonts w:ascii="Arial" w:cs="Arial" w:eastAsia="Arial" w:hAnsi="Arial"/>
                <w:i/>
                <w:iCs/>
                <w:color w:val="CCE8F0"/>
                <w:sz w:val="16"/>
                <w:szCs w:val="16"/>
              </w:rPr>
              <w:t xml:space="preserve">Owner: Safwan  |  UCs: UC1</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Represents the lifecycle state of a ReconciliationWorkspace: OPEN, IN_PROGRESS, COMPLETED, or LOCKED. UC1 creates workspaces in OPEN state; Rayyan's ReconciliationService transitions them to IN_PROGRESS when matching begins and COMPLETED when all records are resolved; LOCKED prevents further edits after a report is generated.</w:t>
            </w:r>
          </w:p>
        </w:tc>
      </w:tr>
    </w:tbl>
    <w:p>
      <w:pPr>
        <w:spacing w:after="0" w:before="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1"/>
              <w:left w:val="single" w:color="1A5276" w:sz="1"/>
              <w:bottom w:val="single" w:color="1A5276" w:sz="1"/>
              <w:right w:val="single" w:color="1A5276" w:sz="1"/>
            </w:tcBorders>
            <w:shd w:fill="1A5276"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Rayyan Ahmad Sultan</w:t>
            </w:r>
            <w:r>
              <w:rPr>
                <w:rFonts w:ascii="Arial" w:cs="Arial" w:eastAsia="Arial" w:hAnsi="Arial"/>
                <w:color w:val="DDEEEE"/>
                <w:sz w:val="22"/>
                <w:szCs w:val="22"/>
              </w:rPr>
              <w:t xml:space="preserve">   —   AI &amp; Engine  ·  Layer 3  ·  Integration Manager</w:t>
            </w:r>
          </w:p>
        </w:tc>
      </w:tr>
    </w:tbl>
    <w:p>
      <w:pPr>
        <w:spacing w:after="0" w:before="200"/>
      </w:pPr>
    </w:p>
    <w:p>
      <w:pPr>
        <w:pBdr>
          <w:bottom w:val="single" w:color="0F7B8C" w:sz="6" w:space="2"/>
        </w:pBdr>
        <w:spacing w:after="100" w:before="300"/>
      </w:pPr>
      <w:r>
        <w:rPr>
          <w:rFonts w:ascii="Arial" w:cs="Arial" w:eastAsia="Arial" w:hAnsi="Arial"/>
          <w:b/>
          <w:bCs/>
          <w:color w:val="0F7B8C"/>
          <w:sz w:val="28"/>
          <w:szCs w:val="28"/>
        </w:rPr>
        <w:t xml:space="preserve">Layer 3 — AI Domain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StandardizedTransaction</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aval.domain.ai   |   Owner: Rayyan   |   Layer: Layer 3 – AI   |   Use Cases: UC4, UC5</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StandardizedTransaction is the canonical domain object that AVAL works with after raw financial data from any source has been normalised into a uniform schema. It maps the heterogeneous fields from RawTransaction (varying date formats, description styles, and currency representations) into a consistent structure: ISO-formatted date, cleaned description string, BigDecimal amount, TransactionType, and a reference back to the originating FinancialDataset. UC4 (Standardize Financial Schema) is the use case that populates this class — IngestionService calls Rayyan's transformation logic to produce a StandardizedTransaction for every RawTransaction and persist both. UC5 then takes StandardizedTransaction objects as input to the vectorisation pipeline.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SemanticEmbedding</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aval.domain.ai   |   Owner: Rayyan   |   Layer: Layer 3 – AI   |   Use Cases: UC5</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SemanticEmbedding is the domain object that holds the high-dimensional vector representation produced when a StandardizedTransaction's description is passed through the LangChain4j embedding model. It stores the float[] vector array, a reference to the source StandardizedTransaction, the model name used (for reproducibility), and a generation timestamp. UC5 (Execute Semantic Vectorization) creates one SemanticEmbedding per StandardizedTransaction and persists it through DataStore so that the MatchingEngine can load and compare vectors without re-calling the LLM API on every matching run. This class is the bridge between the raw text world and the vector-similarity world that enables AVAL's AI matching.</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MatchHypothesis</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aval.domain.ai   |   Owner: Rayyan   |   Layer: Layer 3 – AI   |   Use Cases: UC6, UC7, UC8, UC9</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MatchHypothesis represents a single AI-generated candidate pairing between one ledger StandardizedTransaction and one bank StandardizedTransaction, along with the confidence score (0.0–1.0) and MatchType (SEMANTIC, RULE_BASED, or FORCE_OVERRIDE) that produced it. After the MatchingEngine runs, a list of MatchHypothesis objects is persisted and surfaced on Aryan's ReconciliationDashboardController, where a finance user can approve or reject each one. UC6 creates hypotheses, UC7 allows the user to review and act on them, UC8 overrides them manually, and UC9 consolidates them across multiple datasets. The HypothesisStatus enum on this class (PENDING, CONFIRMED, REJECTED, OVERRIDDEN) is the state machine the whole review workflow depends on.</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ReconciliationRecord</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aval.domain.ai   |   Owner: Rayyan   |   Layer: Layer 3 – AI   |   Use Cases: UC6, UC7, UC8, UC9</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ReconciliationRecord is the immutable audit artifact created when a MatchHypothesis is confirmed — either by the AI auto-confirming above the 0.95 threshold or by a human approving a PENDING hypothesis in the dashboard. It stores the two matched StandardizedTransaction references, the final MatchType, the confirming agent (AI or username), a timestamp, and the isManualOverride() flag that UC8 sets to true for force-reconciled entries. DataStore persists ReconciliationRecord objects and ReportService reads them to generate the verified reconciliation report in UC11. The isManualOverride() flag and MatchType.FORCE_OVERRIDE together satisfy the evaluator's UC8 audit trail compliance requirement.</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Engine Interfaces &amp; Implementations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VectorizationEngine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aval.engine   |   Owner: Rayyan   |   Layer: Engine – Interface   |   Use Cases: UC5</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Strategy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VectorizationEngine is the Strategy interface that decouples the rest of the system from any specific LLM or embedding provider. It declares a single contract method — vectorize(StandardizedTransaction) : SemanticEmbedding — which any concrete implementation must fulfil. The Strategy pattern here means ReconciliationService holds a reference of type VectorizationEngine and calls it without knowing whether the real LangChain4j model or a future OpenAI adapter is underneath. This is critical for evaluation resilience: if the LLM API is unavailable on demo day, Rayyan can swap in a simpler embedding stub without touching any other class.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LangChain4jVectorizationEngine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aval.engine   |   Owner: Rayyan   |   Layer: Engine – Implementation   |   Use Cases: UC5</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Strategy (concrete)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LangChain4jVectorizationEngine is the production implementation of VectorizationEngine that integrates with the LangChain4j library to call a real embedding model (e.g., OpenAI's text-embedding-3-small or a locally hosted model). It takes a StandardizedTransaction, formats its description and amount as a prompt string, sends it to the embedding API, receives the float[] vector response, and wraps it in a SemanticEmbedding domain object. UC5 (Execute Semantic Vectorization) is driven entirely by this class; all transactions in both the ledger and bank datasets must pass through it before the MatchingEngine can compute cosine-similarity scores. Build and test this class last — the RuleBasedMatchingEngine ensures the pipeline demo works even if this class is unstable.</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MatchingEngine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aval.engine   |   Owner: Rayyan   |   Layer: Engine – Interface   |   Use Cases: UC6</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Strategy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MatchingEngine is the Strategy interface that defines the core AI matching contract: given two lists of StandardizedTransaction objects (one from the ledger, one from the bank statement), produce a list of MatchHypothesis candidates. Like VectorizationEngine, it uses the Strategy pattern so ReconciliationService can hold a MatchingEngine reference and swap between SemanticMatchingEngine and RuleBasedMatchingEngine without code changes — this is the evaluator safety net. Both concrete implementations must honour the same input/output signature, which makes UC6 testable independently of LangChain4j availability.</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SemanticMatchingEngine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aval.engine   |   Owner: Rayyan   |   Layer: Engine – Implementation   |   Use Cases: UC6</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Strategy (concrete)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SemanticMatchingEngine is the primary MatchingEngine implementation that performs vector cosine-similarity matching using pre-computed SemanticEmbedding objects loaded from DataStore. For each ledger transaction embedding, it computes similarity against every bank transaction embedding, ranks candidates by score, applies MatchingConfig thresholds to classify each pair as auto-confirm (≥0.95), review (≥0.70), or reject (&lt;0.70), and returns a MatchHypothesis list accordingly. UC6 (Run Probabilistic Matching Engine) is driven by this class; it is the intellectual centrepiece of AVAL and the primary differentiator from rule-only accounting tools. The output list of MatchHypothesis objects flows directly into Aryan's dashboard for UC7 review.</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RuleBasedMatchingEngine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aval.engine   |   Owner: Rayyan   |   Layer: Engine – Implementation (Null Object / Fallback)   |   Use Cases: UC6 fallback</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Null Object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Polymorphism</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RuleBasedMatchingEngine is the Null Object fallback implementation of MatchingEngine that applies deterministic rule-based logic — exact amount matching, date proximity within N days, and keyword matching on description strings — to generate MatchHypothesis candidates without any LLM dependency. It honours the full MatchingEngine contract, returns valid MatchHypothesis objects, and integrates with MatchingConfig thresholds exactly as SemanticMatchingEngine does, so the entire pipeline downstream runs without modification. Build and fully test this class first; if LangChain4j is unstable on evaluation day, swapping the engine in ReconciliationService to use RuleBasedMatchingEngine keeps the demo running. It is also the class that proves the Strategy pattern works correctly in isolation.</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Service — Layer 4</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ReconciliationService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aval.service   |   Owner: Rayyan   |   Layer: Layer 4 – Services   |   Use Cases: UC6, UC7, UC8, UC9</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 Pure Fabrication</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ReconciliationService is the central orchestrator for the AI reconciliation pipeline, coordinating VectorizationEngine, MatchingEngine, DataStore, and domain objects to execute the end-to-end matching workflow. Its four main method groups correspond to UC6 (trigger matching, produce MatchHypothesis list), UC7 (confirmHypothesis / rejectHypothesis, producing ReconciliationRecord), UC8 (forceReconcile, setting isManualOverride = true and MatchType = FORCE_OVERRIDE), and UC9 (consolidateMultiSource, merging hypotheses across more than two datasets). Aryan's ReconciliationDashboardController calls exclusively into this service — never directly into the engine or DataStore — which is why Rayyan must publish method signatures before Aryan begins coding his controller.</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Supporting Classes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Main</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   |   Owner: Rayyan   |   Layer: Bootstrap / Integration   |   Use Cases: All Use Cases</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 (bootstrap)</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Main is the application entry point that bootstraps the AVAL engine and launches the JavaFX UI. As integration manager, Rayyan owns this class because final wiring — instantiating DataStore, injecting it into all services, constructing the engine implementations, and handing controllers their service references — happens here. On evaluation day, Main must start a fully wired, running application with a single command. The class intentionally has no business logic: its only job is to construct the dependency graph and hand control to AppController, the Facade entry point for the UI layer.</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Enums — Rayyan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HypothesisStatus</w:t>
            </w:r>
          </w:p>
          <w:p>
            <w:r>
              <w:rPr>
                <w:rFonts w:ascii="Arial" w:cs="Arial" w:eastAsia="Arial" w:hAnsi="Arial"/>
                <w:i/>
                <w:iCs/>
                <w:color w:val="CCE8F0"/>
                <w:sz w:val="16"/>
                <w:szCs w:val="16"/>
              </w:rPr>
              <w:t xml:space="preserve">Owner: Rayyan  |  UCs: UC6–UC9</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Tracks the review lifecycle of a MatchHypothesis through four states: PENDING (produced by engine, awaiting human decision), CONFIRMED (approved — triggers ReconciliationRecord creation), REJECTED (dismissed), and OVERRIDDEN (manually force-reconciled via UC8). ReconciliationService drives all status transitions; the dashboard reads this value to render the correct action buttons for each hypothesis row.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MatchType</w:t>
            </w:r>
          </w:p>
          <w:p>
            <w:r>
              <w:rPr>
                <w:rFonts w:ascii="Arial" w:cs="Arial" w:eastAsia="Arial" w:hAnsi="Arial"/>
                <w:i/>
                <w:iCs/>
                <w:color w:val="CCE8F0"/>
                <w:sz w:val="16"/>
                <w:szCs w:val="16"/>
              </w:rPr>
              <w:t xml:space="preserve">Owner: Rayyan  |  UCs: UC6, UC8</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Classifies how a MatchHypothesis or ReconciliationRecord was produced: SEMANTIC (vector cosine similarity via LangChain4j), RULE_BASED (deterministic rule engine fallback), or FORCE_OVERRIDE (manual reconciliation by a user in UC8). The evaluator specifically checks that FORCE_OVERRIDE is present and correctly set on ReconciliationRecord.isManualOverride() for UC8 audit trail compliance.</w:t>
            </w:r>
          </w:p>
        </w:tc>
      </w:tr>
    </w:tbl>
    <w:p>
      <w:pPr>
        <w:spacing w:after="0" w:before="200"/>
      </w:pP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40"/>
              <w:left w:type="dxa" w:w="200"/>
              <w:bottom w:type="dxa" w:w="140"/>
              <w:right w:type="dxa" w:w="200"/>
            </w:tcMar>
          </w:tcPr>
          <w:p>
            <w:pPr>
              <w:jc w:val="center"/>
            </w:pPr>
            <w:r>
              <w:rPr>
                <w:rFonts w:ascii="Arial" w:cs="Arial" w:eastAsia="Arial" w:hAnsi="Arial"/>
                <w:b/>
                <w:bCs/>
                <w:color w:val="FFFFFF"/>
                <w:sz w:val="32"/>
                <w:szCs w:val="32"/>
              </w:rPr>
              <w:t xml:space="preserve">Aryan Ali Khan</w:t>
            </w:r>
            <w:r>
              <w:rPr>
                <w:rFonts w:ascii="Arial" w:cs="Arial" w:eastAsia="Arial" w:hAnsi="Arial"/>
                <w:color w:val="DDEEEE"/>
                <w:sz w:val="22"/>
                <w:szCs w:val="22"/>
              </w:rPr>
              <w:t xml:space="preserve">   —   UI &amp; Reporting  ·  Layer 5  ·  ReportService</w:t>
            </w:r>
          </w:p>
        </w:tc>
      </w:tr>
    </w:tbl>
    <w:p>
      <w:pPr>
        <w:spacing w:after="0" w:before="200"/>
      </w:pPr>
    </w:p>
    <w:p>
      <w:pPr>
        <w:pBdr>
          <w:bottom w:val="single" w:color="0F7B8C" w:sz="6" w:space="2"/>
        </w:pBdr>
        <w:spacing w:after="100" w:before="300"/>
      </w:pPr>
      <w:r>
        <w:rPr>
          <w:rFonts w:ascii="Arial" w:cs="Arial" w:eastAsia="Arial" w:hAnsi="Arial"/>
          <w:b/>
          <w:bCs/>
          <w:color w:val="0F7B8C"/>
          <w:sz w:val="28"/>
          <w:szCs w:val="28"/>
        </w:rPr>
        <w:t xml:space="preserve">Domain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SystemUser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aval.domain   |   Owner: Aryan   |   Layer: Domain – Auth   |   Use Cases: All Use Cases</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Information Expert</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SystemUser is the domain object representing an authenticated user of the AVAL application — an Accountant, Finance Manager, or Auditor — and is referenced across every use case for permission checks and audit attribution. It holds a userId, name, email, and UserRole enum that together define what operations the user is permitted to perform (e.g., only Finance Managers can force-reconcile in UC8, only Auditors can view but not edit). Per the work division notes, login/logout is out of scope for evaluation; AppController must initialise a hardcoded SystemUser with the correct role at startup to simulate an authenticated session. ReconciliationRecord stores the confirming SystemUser reference for every human-confirmed match, satisfying audit trail requirements.</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Service — Layer 4</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ReportService</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aval.service   |   Owner: Aryan   |   Layer: Layer 4 – Services   |   Use Cases: UC11, UC12</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Pure Fabrication, 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ReportService is the Layer 4 service responsible for transforming confirmed ReconciliationRecord objects and verified transaction history into exportable reports for UC11 and UC12. For UC11 (Generate Verified Reconciliation Report), it queries DataStore for all CONFIRMED and OVERRIDDEN records in a workspace, computes summary statistics (matched count, unmatched count, total reconciled value), and produces a structured report object the ReportController can render and export. For UC12 (Create and Maintain Verified Transaction History), it queries the full audit log of StandardizedTransaction and ReconciliationRecord pairs. It must also implement the UC11 extension: if any unresolved MatchHypothesis items remain in the workspace, ReportService must throw a 'Cannot Generate: Unresolved Items' exception that ReportController's showBlockingError() method handles.</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Layer 5 — UI Controllers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AppController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aval.ui.controller   |   Owner: Aryan   |   Layer: Layer 5 – UI   |   Use Cases: All Use Cases (navigation)</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Facade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AppController is the Facade entry point for the entire JavaFX user interface, responsible for session state, screen navigation, and injecting service instances into every other controller. It holds references to all three services (IngestionService, ReconciliationService, ReportService) and the hardcoded SystemUser mock session, and exposes navigation methods like showIngestionView(), showDashboard(), and showReportView() that other controllers call to switch scenes. As the Facade, it hides the complexity of JavaFX scene graph management and service dependency injection from all subordinate controllers — no other controller talks directly to another controller. Keeping this class lean (navigation and session only, zero business logic) is essential: if it bloats, the Facade breaks down and the separation of concerns collapses.</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IngestionController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aval.ui.controller   |   Owner: Aryan   |   Layer: Layer 5 – UI   |   Use Cases: UC2, UC3</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IngestionController is the JavaFX controller that surfaces the file upload interface for UC2 (Ingest Client Internal Ledger) and UC3 (Import External Financial Data). It renders file chooser dialogs, displays upload progress tied to DatasetStatus transitions, and shows validation errors returned by the parsers — but contains zero business logic of its own. Every user action (upload button click, confirm button) calls a corresponding IngestionService method with the selected file and DataSourceType; the controller only reads the result to update the UI. Once the dataset status reaches STANDARDIZED, IngestionController signals AppController to navigate to the ReconciliationDashboardController.</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ReconciliationDashboardController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aval.ui.controller   |   Owner: Aryan   |   Layer: Layer 5 – UI   |   Use Cases: UC6, UC7, UC8, UC9</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ReconciliationDashboardController is the most complex UI class in AVAL, rendering the full list of MatchHypothesis objects returned by ReconciliationService and providing the action surface for UC7 (approve/reject a hypothesis), UC8 (force-reconcile an unmatched item), and UC9 (multi-source consolidation view). It displays each hypothesis row with its score, MatchType, both transaction descriptions, and action buttons whose enabled state is driven by HypothesisStatus — PENDING rows show Approve/Reject, CONFIRMED and REJECTED rows are read-only. It also surfaces the XAI (Explainable AI) explanation text that ReconciliationService attaches to each hypothesis. Critically, all button handlers must delegate to ReconciliationService — method signatures must be agreed with Rayyan before this controller is coded.</w:t>
            </w:r>
          </w:p>
        </w:tc>
      </w:tr>
    </w:tbl>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Courier New" w:cs="Courier New" w:eastAsia="Courier New" w:hAnsi="Courier New"/>
                <w:b/>
                <w:bCs/>
                <w:color w:val="FFFFFF"/>
                <w:sz w:val="24"/>
                <w:szCs w:val="24"/>
              </w:rPr>
              <w:t xml:space="preserve">ReportController</w:t>
            </w:r>
          </w:p>
        </w:tc>
      </w:tr>
      <w:tr>
        <w:tc>
          <w:tcPr>
            <w:tcW w:type="dxa" w:w="9360"/>
            <w:tcBorders>
              <w:top w:val="single" w:color="CCDDEE" w:sz="1"/>
              <w:left w:val="single" w:color="CCDDEE" w:sz="1"/>
              <w:bottom w:val="single" w:color="CCDDEE" w:sz="1"/>
              <w:right w:val="single" w:color="CCDDEE" w:sz="1"/>
            </w:tcBorders>
            <w:shd w:fill="D8EEF2" w:val="clear"/>
            <w:tcMar>
              <w:top w:type="dxa" w:w="60"/>
              <w:left w:type="dxa" w:w="160"/>
              <w:bottom w:type="dxa" w:w="60"/>
              <w:right w:type="dxa" w:w="160"/>
            </w:tcMar>
          </w:tcPr>
          <w:p>
            <w:r>
              <w:rPr>
                <w:rFonts w:ascii="Arial" w:cs="Arial" w:eastAsia="Arial" w:hAnsi="Arial"/>
                <w:i/>
                <w:iCs/>
                <w:color w:val="555555"/>
                <w:sz w:val="16"/>
                <w:szCs w:val="16"/>
              </w:rPr>
              <w:t xml:space="preserve">aval.ui.controller   |   Owner: Aryan   |   Layer: Layer 5 – UI   |   Use Cases: UC11, UC12</w:t>
            </w:r>
          </w:p>
        </w:tc>
      </w:tr>
      <w:tr>
        <w:tc>
          <w:tcPr>
            <w:tcW w:type="dxa" w:w="9360"/>
            <w:tcBorders>
              <w:top w:val="single" w:color="CCDDEE" w:sz="1"/>
              <w:left w:val="single" w:color="CCDDEE" w:sz="1"/>
              <w:bottom w:val="single" w:color="CCDDEE" w:sz="1"/>
              <w:right w:val="single" w:color="CCDDEE" w:sz="1"/>
            </w:tcBorders>
            <w:shd w:fill="F5FBFC" w:val="clear"/>
            <w:tcMar>
              <w:top w:type="dxa" w:w="60"/>
              <w:left w:type="dxa" w:w="160"/>
              <w:bottom w:type="dxa" w:w="60"/>
              <w:right w:type="dxa" w:w="160"/>
            </w:tcMar>
          </w:tcPr>
          <w:p>
            <w:r>
              <w:rPr>
                <w:rFonts w:ascii="Arial" w:cs="Arial" w:eastAsia="Arial" w:hAnsi="Arial"/>
                <w:b/>
                <w:bCs/>
                <w:color w:val="0F7B8C"/>
                <w:sz w:val="18"/>
                <w:szCs w:val="18"/>
              </w:rPr>
              <w:t xml:space="preserve">GOF Pattern: </w:t>
            </w:r>
            <w:r>
              <w:rPr>
                <w:rFonts w:ascii="Arial" w:cs="Arial" w:eastAsia="Arial" w:hAnsi="Arial"/>
                <w:color w:val="444444"/>
                <w:sz w:val="18"/>
                <w:szCs w:val="18"/>
              </w:rPr>
              <w:t xml:space="preserve">N/A    </w:t>
            </w:r>
            <w:r>
              <w:rPr>
                <w:rFonts w:ascii="Arial" w:cs="Arial" w:eastAsia="Arial" w:hAnsi="Arial"/>
                <w:b/>
                <w:bCs/>
                <w:color w:val="0F7B8C"/>
                <w:sz w:val="18"/>
                <w:szCs w:val="18"/>
              </w:rPr>
              <w:t xml:space="preserve">GRASP: </w:t>
            </w:r>
            <w:r>
              <w:rPr>
                <w:rFonts w:ascii="Arial" w:cs="Arial" w:eastAsia="Arial" w:hAnsi="Arial"/>
                <w:color w:val="444444"/>
                <w:sz w:val="18"/>
                <w:szCs w:val="18"/>
              </w:rPr>
              <w:t xml:space="preserve">Controller</w:t>
            </w:r>
          </w:p>
        </w:tc>
      </w:tr>
      <w:tr>
        <w:tc>
          <w:tcPr>
            <w:tcW w:type="dxa" w:w="9360"/>
            <w:tcBorders>
              <w:top w:val="single" w:color="CCDDEE" w:sz="1"/>
              <w:left w:val="single" w:color="CCDDEE" w:sz="1"/>
              <w:bottom w:val="single" w:color="CCDDEE" w:sz="1"/>
              <w:right w:val="single" w:color="CCDDEE" w:sz="1"/>
            </w:tcBorders>
            <w:shd w:fill="EAF4F6" w:val="clear"/>
            <w:tcMar>
              <w:top w:type="dxa" w:w="120"/>
              <w:left w:type="dxa" w:w="200"/>
              <w:bottom w:type="dxa" w:w="120"/>
              <w:right w:type="dxa" w:w="200"/>
            </w:tcMar>
          </w:tcPr>
          <w:p>
            <w:pPr>
              <w:spacing w:line="320"/>
            </w:pPr>
            <w:r>
              <w:rPr>
                <w:rFonts w:ascii="Arial" w:cs="Arial" w:eastAsia="Arial" w:hAnsi="Arial"/>
                <w:color w:val="222222"/>
                <w:sz w:val="20"/>
                <w:szCs w:val="20"/>
              </w:rPr>
              <w:t xml:space="preserve">ReportController is the JavaFX controller that drives the report generation and transaction history views for UC11 and UC12. It calls ReportService.generateReport() and ReportService.getVerifiedHistory(), then binds the structured report data to JavaFX table and chart components for display and export. The evaluator will specifically test the UC11 extension: ReportController.showBlockingError() must catch the 'Cannot Generate: Unresolved Items' exception from ReportService and display a blocking modal dialog rather than a partial or empty report. The export-to-PDF or export-to-CSV button delegates entirely to ReportService — the controller only handles file save dialog presentation and progress feedback.</w:t>
            </w:r>
          </w:p>
        </w:tc>
      </w:tr>
    </w:tbl>
    <w:p>
      <w:pPr>
        <w:spacing w:after="0" w:before="180"/>
      </w:pPr>
    </w:p>
    <w:p>
      <w:pPr>
        <w:pBdr>
          <w:bottom w:val="single" w:color="0F7B8C" w:sz="6" w:space="2"/>
        </w:pBdr>
        <w:spacing w:after="100" w:before="300"/>
      </w:pPr>
      <w:r>
        <w:rPr>
          <w:rFonts w:ascii="Arial" w:cs="Arial" w:eastAsia="Arial" w:hAnsi="Arial"/>
          <w:b/>
          <w:bCs/>
          <w:color w:val="0F7B8C"/>
          <w:sz w:val="28"/>
          <w:szCs w:val="28"/>
        </w:rPr>
        <w:t xml:space="preserve">Enums — Aryan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1"/>
              <w:left w:val="single" w:color="CCDDEE" w:sz="1"/>
              <w:bottom w:val="single" w:color="CCDDEE" w:sz="1"/>
              <w:right w:val="single" w:color="CCDDEE" w:sz="1"/>
            </w:tcBorders>
            <w:shd w:fill="2E5F7A" w:val="clear"/>
            <w:tcMar>
              <w:top w:type="dxa" w:w="80"/>
              <w:left w:type="dxa" w:w="140"/>
              <w:bottom w:type="dxa" w:w="80"/>
              <w:right w:type="dxa" w:w="140"/>
            </w:tcMar>
            <w:vAlign w:val="center"/>
          </w:tcPr>
          <w:p>
            <w:r>
              <w:rPr>
                <w:rFonts w:ascii="Courier New" w:cs="Courier New" w:eastAsia="Courier New" w:hAnsi="Courier New"/>
                <w:b/>
                <w:bCs/>
                <w:color w:val="FFFFFF"/>
                <w:sz w:val="20"/>
                <w:szCs w:val="20"/>
              </w:rPr>
              <w:t xml:space="preserve">UserRole</w:t>
            </w:r>
          </w:p>
          <w:p>
            <w:r>
              <w:rPr>
                <w:rFonts w:ascii="Arial" w:cs="Arial" w:eastAsia="Arial" w:hAnsi="Arial"/>
                <w:i/>
                <w:iCs/>
                <w:color w:val="CCE8F0"/>
                <w:sz w:val="16"/>
                <w:szCs w:val="16"/>
              </w:rPr>
              <w:t xml:space="preserve">Owner: Aryan  |  UCs: All Use Cases</w:t>
            </w:r>
          </w:p>
        </w:tc>
        <w:tc>
          <w:tcPr>
            <w:tcW w:type="dxa" w:w="7160"/>
            <w:tcBorders>
              <w:top w:val="single" w:color="CCDDEE" w:sz="1"/>
              <w:left w:val="single" w:color="CCDDEE" w:sz="1"/>
              <w:bottom w:val="single" w:color="CCDDEE" w:sz="1"/>
              <w:right w:val="single" w:color="CCDDEE" w:sz="1"/>
            </w:tcBorders>
            <w:shd w:fill="F0F8FB" w:val="clear"/>
            <w:tcMar>
              <w:top w:type="dxa" w:w="80"/>
              <w:left w:type="dxa" w:w="160"/>
              <w:bottom w:type="dxa" w:w="80"/>
              <w:right w:type="dxa" w:w="160"/>
            </w:tcMar>
          </w:tcPr>
          <w:p>
            <w:pPr>
              <w:spacing w:line="300"/>
            </w:pPr>
            <w:r>
              <w:rPr>
                <w:rFonts w:ascii="Arial" w:cs="Arial" w:eastAsia="Arial" w:hAnsi="Arial"/>
                <w:color w:val="222222"/>
                <w:sz w:val="19"/>
                <w:szCs w:val="19"/>
              </w:rPr>
              <w:t xml:space="preserve">Enumerates the permission levels of a SystemUser: ACCOUNTANT (can upload data and view reports), FINANCE_MANAGER (can also approve/reject hypotheses and force-reconcile), and AUDITOR (read-only across all views). AppController and each service method check UserRole before permitting state-changing operations, and ReconciliationRecord stores the confirming user's role for audit trail purposes.</w:t>
            </w:r>
          </w:p>
        </w:tc>
      </w:tr>
    </w:tbl>
    <w:p>
      <w:pPr>
        <w:spacing w:after="0" w:before="200"/>
      </w:pPr>
    </w:p>
    <w:p>
      <w:pPr>
        <w:pageBreakBefore/>
      </w:pPr>
    </w:p>
    <w:p>
      <w:pPr>
        <w:pStyle w:val="Heading1"/>
        <w:spacing w:after="160" w:before="240"/>
      </w:pPr>
      <w:r>
        <w:rPr>
          <w:rFonts w:ascii="Arial" w:cs="Arial" w:eastAsia="Arial" w:hAnsi="Arial"/>
          <w:b/>
          <w:bCs/>
          <w:color w:val="1B2A4A"/>
          <w:sz w:val="36"/>
          <w:szCs w:val="36"/>
        </w:rPr>
        <w:t xml:space="preserve">Master Class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1760"/>
        <w:gridCol w:w="1600"/>
      </w:tblGrid>
      <w:tr>
        <w:trPr>
          <w:tblHeader/>
        </w:trPr>
        <w:tc>
          <w:tcPr>
            <w:tcW w:type="dxa" w:w="2800"/>
            <w:tcBorders>
              <w:top w:val="single" w:color="CCDDEE" w:sz="1"/>
              <w:left w:val="single" w:color="CCDDEE" w:sz="1"/>
              <w:bottom w:val="single" w:color="CCDDEE" w:sz="1"/>
              <w:right w:val="single" w:color="CCDDEE"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Class / Enum</w:t>
            </w:r>
          </w:p>
        </w:tc>
        <w:tc>
          <w:tcPr>
            <w:tcW w:type="dxa" w:w="1200"/>
            <w:tcBorders>
              <w:top w:val="single" w:color="CCDDEE" w:sz="1"/>
              <w:left w:val="single" w:color="CCDDEE" w:sz="1"/>
              <w:bottom w:val="single" w:color="CCDDEE" w:sz="1"/>
              <w:right w:val="single" w:color="CCDDEE"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Owner</w:t>
            </w:r>
          </w:p>
        </w:tc>
        <w:tc>
          <w:tcPr>
            <w:tcW w:type="dxa" w:w="2000"/>
            <w:tcBorders>
              <w:top w:val="single" w:color="CCDDEE" w:sz="1"/>
              <w:left w:val="single" w:color="CCDDEE" w:sz="1"/>
              <w:bottom w:val="single" w:color="CCDDEE" w:sz="1"/>
              <w:right w:val="single" w:color="CCDDEE"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Layer</w:t>
            </w:r>
          </w:p>
        </w:tc>
        <w:tc>
          <w:tcPr>
            <w:tcW w:type="dxa" w:w="1760"/>
            <w:tcBorders>
              <w:top w:val="single" w:color="CCDDEE" w:sz="1"/>
              <w:left w:val="single" w:color="CCDDEE" w:sz="1"/>
              <w:bottom w:val="single" w:color="CCDDEE" w:sz="1"/>
              <w:right w:val="single" w:color="CCDDEE"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GOF Pattern</w:t>
            </w:r>
          </w:p>
        </w:tc>
        <w:tc>
          <w:tcPr>
            <w:tcW w:type="dxa" w:w="1600"/>
            <w:tcBorders>
              <w:top w:val="single" w:color="CCDDEE" w:sz="1"/>
              <w:left w:val="single" w:color="CCDDEE" w:sz="1"/>
              <w:bottom w:val="single" w:color="CCDDEE" w:sz="1"/>
              <w:right w:val="single" w:color="CCDDEE"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Use Cases</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ClientOrganization</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1 – Core</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UC1</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ReconciliationWorkspace</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1 – Core</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UC1</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MatchingConfig</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1 – Core</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UC6</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FinancialDataset (abstract)</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2 – Ingestion</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RawTransaction</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2 – Ingestion</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RawInternalLedger</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2 – Ingestion</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RawBankStatement</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2 – Ingestion</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DocumentParser&lt;T&gt;</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Parser Interface</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Template Method</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CSVLedgerParser</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Parser Impl</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Template Method</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PDFBankStatementParser</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Parser Impl</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Template Method</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DataStore</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Persistence</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Repository / DAO</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All</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IngestionService</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4 – Services</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Factory Method</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 UC4</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DatasetStatus (enum)</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UC2–UC4</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DataSourceType (enum)</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TransactionType (enum)</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WorkspaceStatus (enum)</w:t>
            </w:r>
          </w:p>
        </w:tc>
        <w:tc>
          <w:tcPr>
            <w:tcW w:type="dxa" w:w="12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Safwan</w:t>
            </w:r>
          </w:p>
        </w:tc>
        <w:tc>
          <w:tcPr>
            <w:tcW w:type="dxa" w:w="20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8F4F8" w:val="clear"/>
            <w:tcMar>
              <w:top w:type="dxa" w:w="60"/>
              <w:left w:type="dxa" w:w="100"/>
              <w:bottom w:type="dxa" w:w="60"/>
              <w:right w:type="dxa" w:w="100"/>
            </w:tcMar>
          </w:tcPr>
          <w:p>
            <w:r>
              <w:rPr>
                <w:rFonts w:ascii="Arial" w:cs="Arial" w:eastAsia="Arial" w:hAnsi="Arial"/>
                <w:b w:val="false"/>
                <w:bCs w:val="false"/>
                <w:color w:val="222222"/>
                <w:sz w:val="17"/>
                <w:szCs w:val="17"/>
              </w:rPr>
              <w:t xml:space="preserve">UC1</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StandardizedTransaction</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3 – AI</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UC4, UC5</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SemanticEmbedding</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3 – AI</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UC5</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MatchHypothesis</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3 – AI</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UC6–UC9</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ReconciliationRecord</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3 – AI</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UC6–UC9</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VectorizationEngine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Engine Interface</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Strategy</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UC5</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LangChain4jVectorizationEngine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Engine Impl</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Strategy</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UC5</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MatchingEngine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Engine Interface</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Strategy</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SemanticMatchingEngine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Engine Impl</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Strategy</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RuleBasedMatchingEngine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Engine Impl (stub)</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Null Object</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 fallback</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ReconciliationService</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4 – Services</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UC6–UC9</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Main</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Bootstrap</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All</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HypothesisStatus (enum)</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UC6–UC9</w:t>
            </w:r>
          </w:p>
        </w:tc>
      </w:tr>
      <w:tr>
        <w:trPr>
          <w:tblHeader w:val="false"/>
        </w:trPr>
        <w:tc>
          <w:tcPr>
            <w:tcW w:type="dxa" w:w="28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MatchType (enum)</w:t>
            </w:r>
          </w:p>
        </w:tc>
        <w:tc>
          <w:tcPr>
            <w:tcW w:type="dxa" w:w="12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Rayyan</w:t>
            </w:r>
          </w:p>
        </w:tc>
        <w:tc>
          <w:tcPr>
            <w:tcW w:type="dxa" w:w="20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AF2FF" w:val="clear"/>
            <w:tcMar>
              <w:top w:type="dxa" w:w="60"/>
              <w:left w:type="dxa" w:w="100"/>
              <w:bottom w:type="dxa" w:w="60"/>
              <w:right w:type="dxa" w:w="100"/>
            </w:tcMar>
          </w:tcPr>
          <w:p>
            <w:r>
              <w:rPr>
                <w:rFonts w:ascii="Arial" w:cs="Arial" w:eastAsia="Arial" w:hAnsi="Arial"/>
                <w:b w:val="false"/>
                <w:bCs w:val="false"/>
                <w:color w:val="222222"/>
                <w:sz w:val="17"/>
                <w:szCs w:val="17"/>
              </w:rPr>
              <w:t xml:space="preserve">UC6, UC8</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SystemUser</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Domain</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All</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ReportService</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4 – Services</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UC11, UC12</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AppController</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5 – UI</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Facade</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All navigation</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IngestionController</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5 – UI</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UC2, UC3</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ReconciliationDashboardController</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5 – UI</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UC6–UC9</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ReportController</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Layer 5 – UI</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UC11, UC12</w:t>
            </w:r>
          </w:p>
        </w:tc>
      </w:tr>
      <w:tr>
        <w:trPr>
          <w:tblHeader w:val="false"/>
        </w:trPr>
        <w:tc>
          <w:tcPr>
            <w:tcW w:type="dxa" w:w="28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UserRole (enum)</w:t>
            </w:r>
          </w:p>
        </w:tc>
        <w:tc>
          <w:tcPr>
            <w:tcW w:type="dxa" w:w="12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Aryan</w:t>
            </w:r>
          </w:p>
        </w:tc>
        <w:tc>
          <w:tcPr>
            <w:tcW w:type="dxa" w:w="20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Enums</w:t>
            </w:r>
          </w:p>
        </w:tc>
        <w:tc>
          <w:tcPr>
            <w:tcW w:type="dxa" w:w="176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N/A</w:t>
            </w:r>
          </w:p>
        </w:tc>
        <w:tc>
          <w:tcPr>
            <w:tcW w:type="dxa" w:w="1600"/>
            <w:tcBorders>
              <w:top w:val="single" w:color="CCDDEE" w:sz="1"/>
              <w:left w:val="single" w:color="CCDDEE" w:sz="1"/>
              <w:bottom w:val="single" w:color="CCDDEE" w:sz="1"/>
              <w:right w:val="single" w:color="CCDDEE" w:sz="1"/>
            </w:tcBorders>
            <w:shd w:fill="EEF8EE" w:val="clear"/>
            <w:tcMar>
              <w:top w:type="dxa" w:w="60"/>
              <w:left w:type="dxa" w:w="100"/>
              <w:bottom w:type="dxa" w:w="60"/>
              <w:right w:type="dxa" w:w="100"/>
            </w:tcMar>
          </w:tcPr>
          <w:p>
            <w:r>
              <w:rPr>
                <w:rFonts w:ascii="Arial" w:cs="Arial" w:eastAsia="Arial" w:hAnsi="Arial"/>
                <w:b w:val="false"/>
                <w:bCs w:val="false"/>
                <w:color w:val="222222"/>
                <w:sz w:val="17"/>
                <w:szCs w:val="17"/>
              </w:rPr>
              <w:t xml:space="preserve">All</w:t>
            </w:r>
          </w:p>
        </w:tc>
      </w:tr>
    </w:tbl>
    <w:p>
      <w:pPr>
        <w:spacing w:after="0" w:before="300"/>
      </w:pPr>
    </w:p>
    <w:p>
      <w:pPr>
        <w:pBdr>
          <w:bottom w:val="single" w:color="CCDDEE" w:sz="4" w:space="1"/>
        </w:pBdr>
        <w:spacing w:after="80" w:before="80"/>
      </w:pPr>
    </w:p>
    <w:p>
      <w:pPr>
        <w:spacing w:before="120"/>
        <w:jc w:val="center"/>
      </w:pPr>
      <w:r>
        <w:rPr>
          <w:rFonts w:ascii="Arial" w:cs="Arial" w:eastAsia="Arial" w:hAnsi="Arial"/>
          <w:i/>
          <w:iCs/>
          <w:color w:val="AAAAAA"/>
          <w:sz w:val="16"/>
          <w:szCs w:val="16"/>
        </w:rPr>
        <w:t xml:space="preserve">AVAL AI Reconciliation Engine  ·  Class Reference  ·  Generated April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AVAL  ·  Class Reference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2026-04-18T14:33:03.572Z</dcterms:created>
  <dcterms:modified xsi:type="dcterms:W3CDTF">2026-04-18T14:33:03.572Z</dcterms:modified>
</cp:coreProperties>
</file>

<file path=docProps/custom.xml><?xml version="1.0" encoding="utf-8"?>
<Properties xmlns="http://schemas.openxmlformats.org/officeDocument/2006/custom-properties" xmlns:vt="http://schemas.openxmlformats.org/officeDocument/2006/docPropsVTypes"/>
</file>