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POL-DEL-04: Logistics, Delivery Delays and Lost Package Policy</w:t>
      </w:r>
    </w:p>
    <w:p>
      <w:r>
        <w:rPr>
          <w:b/>
        </w:rPr>
        <w:t>Category: Delivery &amp; Shipping | Version: v1.5 | Status: Active | Effective: 2024-03-01</w:t>
      </w:r>
    </w:p>
    <w:p>
      <w:pPr>
        <w:pStyle w:val="Heading1"/>
      </w:pPr>
      <w:r>
        <w:t>1.0 Delivery Delay Thresholds</w:t>
      </w:r>
    </w:p>
    <w:p>
      <w:r>
        <w:t>If a package is delayed by more than 48 hours past the estimated delivery date, the logistics team must initiate a courier trace and provide daily updates.</w:t>
      </w:r>
    </w:p>
    <w:p>
      <w:pPr>
        <w:pStyle w:val="Heading1"/>
      </w:pPr>
      <w:r>
        <w:t>2.0 Package Deemed Lost in Transit</w:t>
      </w:r>
    </w:p>
    <w:p>
      <w:r>
        <w:t>If tracking shows no movement for 7 consecutive business days, the shipment is classified as lost. Customer is immediately entitled to re-shipment or full refund plus a $15 courtesy credit.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