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POL-ESC-14: Enterprise Escalation Hierarchy &amp; Tiers Matrix</w:t>
      </w:r>
    </w:p>
    <w:p>
      <w:r>
        <w:rPr>
          <w:b/>
        </w:rPr>
        <w:t>Category: Management Escalations | Version: v3.0 | Status: Active | Effective: 2024-01-01</w:t>
      </w:r>
    </w:p>
    <w:p>
      <w:pPr>
        <w:pStyle w:val="Heading1"/>
      </w:pPr>
      <w:r>
        <w:t>1.0 Escalation Tier Definitions</w:t>
      </w:r>
    </w:p>
    <w:p>
      <w:r>
        <w:t>Tier 1: Frontline Agent | Tier 2: Senior Specialist | Tier 3: Department Manager | Tier 4: Compliance &amp; Legal | Tier 5: Executive Board.</w:t>
      </w:r>
    </w:p>
    <w:p>
      <w:pPr>
        <w:pStyle w:val="Heading1"/>
      </w:pPr>
      <w:r>
        <w:t>2.0 Legal Threat Trigger</w:t>
      </w:r>
    </w:p>
    <w:p>
      <w:r>
        <w:t>Any communication explicitly threatening legal action or attorney involvement must immediately be escalated to Tier 4 Legal &amp;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