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POL-PRV-09: Data Privacy and GDPR Right-to-be-Forgotten Policy</w:t>
      </w:r>
    </w:p>
    <w:p>
      <w:r>
        <w:rPr>
          <w:b/>
        </w:rPr>
        <w:t>Category: Data Privacy | Version: v1.8 | Status: Active | Effective: 2024-01-01</w:t>
      </w:r>
    </w:p>
    <w:p>
      <w:pPr>
        <w:pStyle w:val="Heading1"/>
      </w:pPr>
      <w:r>
        <w:t>1.0 Data Deletion Requests</w:t>
      </w:r>
    </w:p>
    <w:p>
      <w:r>
        <w:t>Customer requests for personal data deletion must be fulfilled within 30 calendar days in compliance with GDPR / CCPA.</w:t>
      </w:r>
    </w:p>
    <w:p>
      <w:pPr>
        <w:pStyle w:val="Heading1"/>
      </w:pPr>
      <w:r>
        <w:t>2.0 Marketing Opt-Out</w:t>
      </w:r>
    </w:p>
    <w:p>
      <w:r>
        <w:t>Unsubscribe requests from promotional emails and SMS must take effect within 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