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POL-REP-03: Product Replacement and Exchange Standard Operating Procedure</w:t>
      </w:r>
    </w:p>
    <w:p>
      <w:r>
        <w:rPr>
          <w:b/>
        </w:rPr>
        <w:t>Category: Product Defect | Version: v2.0 | Status: Active | Effective: 2024-01-10</w:t>
      </w:r>
    </w:p>
    <w:p>
      <w:pPr>
        <w:pStyle w:val="Heading1"/>
      </w:pPr>
      <w:r>
        <w:t>1.0 Dead on Arrival (DOA) Replacements</w:t>
      </w:r>
    </w:p>
    <w:p>
      <w:r>
        <w:t>Any consumer electronics device failing within 7 days of delivery qualifies for immediate Priority Express replacement without waiting for the defective unit to be inspected.</w:t>
      </w:r>
    </w:p>
    <w:p>
      <w:pPr>
        <w:pStyle w:val="Heading1"/>
      </w:pPr>
      <w:r>
        <w:t>2.0 Out of Stock Exchange</w:t>
      </w:r>
    </w:p>
    <w:p>
      <w:r>
        <w:t>If identical SKU is unavailable for replacement, customer must be offered an upgraded model of equal or greater value or an instant full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