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POL-SAF-05: Product Safety Hazard and Critical Incident Protocol</w:t>
      </w:r>
    </w:p>
    <w:p>
      <w:r>
        <w:rPr>
          <w:b/>
        </w:rPr>
        <w:t>Category: Safety Hazard | Version: v3.0 | Status: Active | Effective: 2024-01-01</w:t>
      </w:r>
    </w:p>
    <w:p>
      <w:pPr>
        <w:pStyle w:val="Heading1"/>
      </w:pPr>
      <w:r>
        <w:t>1.0 Critical Safety Triggers</w:t>
      </w:r>
    </w:p>
    <w:p>
      <w:r>
        <w:t>Any report mentioning electrical shock, sparks, battery swelling, fire, explosion, or chemical leakage is automatically designated Priority P0 Critical.</w:t>
      </w:r>
    </w:p>
    <w:p>
      <w:pPr>
        <w:pStyle w:val="Heading1"/>
      </w:pPr>
      <w:r>
        <w:t>2.0 Mandatory Tier 5 Escalation</w:t>
      </w:r>
    </w:p>
    <w:p>
      <w:r>
        <w:t>All safety hazard complaints must be immediately routed to the Product Safety &amp; Legal Compliance Committee within 30 minutes. Frontline agents are strictly forbidden from dismissing safety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