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POL-VIP-13: VIP &amp; Corporate Enterprise SLA Guidelines</w:t>
      </w:r>
    </w:p>
    <w:p>
      <w:r>
        <w:rPr>
          <w:b/>
        </w:rPr>
        <w:t>Category: Customer Relations | Version: v1.5 | Status: Active | Effective: 2024-01-01</w:t>
      </w:r>
    </w:p>
    <w:p>
      <w:pPr>
        <w:pStyle w:val="Heading1"/>
      </w:pPr>
      <w:r>
        <w:t>1.0 VIP Customer Identification</w:t>
      </w:r>
    </w:p>
    <w:p>
      <w:r>
        <w:t>Customers with annual spend exceeding $10,000 or holding 'Titanium Executive' status receive dedicated account manager routing.</w:t>
      </w:r>
    </w:p>
    <w:p>
      <w:pPr>
        <w:pStyle w:val="Heading1"/>
      </w:pPr>
      <w:r>
        <w:t>2.0 Expedited SLA</w:t>
      </w:r>
    </w:p>
    <w:p>
      <w:r>
        <w:t>VIP ticket response target is within 30 minutes, and maximum resolution time is 8 business 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