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POL-WAR-07: Hardware Warranty and Repair Services Policy</w:t>
      </w:r>
    </w:p>
    <w:p>
      <w:r>
        <w:rPr>
          <w:b/>
        </w:rPr>
        <w:t>Category: Warranty Claim | Version: v2.2 | Status: Active | Effective: 2024-02-01</w:t>
      </w:r>
    </w:p>
    <w:p>
      <w:pPr>
        <w:pStyle w:val="Heading1"/>
      </w:pPr>
      <w:r>
        <w:t>1.0 Standard 1-Year Limited Warranty</w:t>
      </w:r>
    </w:p>
    <w:p>
      <w:r>
        <w:t>All NovaTech manufactured hardware includes a 1-year limited warranty covering manufacturing defects in materials and workmanship.</w:t>
      </w:r>
    </w:p>
    <w:p>
      <w:pPr>
        <w:pStyle w:val="Heading1"/>
      </w:pPr>
      <w:r>
        <w:t>2.0 Exclusions</w:t>
      </w:r>
    </w:p>
    <w:p>
      <w:r>
        <w:t>Accidental drops, liquid submersion (unless IP68 certified), and unauthorized modifications void the warranty.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