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0"/>
      </w:pPr>
    </w:p>
    <w:p>
      <w:pPr>
        <w:spacing w:before="0" w:after="60"/>
        <w:jc w:val="center"/>
      </w:pPr>
      <w:r>
        <w:rPr>
          <w:rFonts w:ascii="Arial" w:cs="Arial" w:eastAsia="Arial" w:hAnsi="Arial"/>
          <w:b/>
          <w:bCs/>
          <w:color w:val="1B4F72"/>
          <w:sz w:val="52"/>
          <w:szCs w:val="52"/>
        </w:rPr>
        <w:t xml:space="preserve">FRAUD DETECTION USING</w:t>
      </w:r>
    </w:p>
    <w:p>
      <w:pPr>
        <w:spacing w:before="0" w:after="200"/>
        <w:jc w:val="center"/>
      </w:pPr>
      <w:r>
        <w:rPr>
          <w:rFonts w:ascii="Arial" w:cs="Arial" w:eastAsia="Arial" w:hAnsi="Arial"/>
          <w:b/>
          <w:bCs/>
          <w:color w:val="2E86AB"/>
          <w:sz w:val="52"/>
          <w:szCs w:val="52"/>
        </w:rPr>
        <w:t xml:space="preserve">GRAPH NEURAL NETWORKS</w:t>
      </w:r>
    </w:p>
    <w:p>
      <w:pPr>
        <w:pBdr>
          <w:bottom w:val="thick" w:color="C0392B" w:sz="12" w:space="10"/>
        </w:pBdr>
        <w:spacing w:before="0" w:after="80"/>
        <w:jc w:val="center"/>
      </w:pPr>
      <w:r>
        <w:rPr>
          <w:rFonts w:ascii="Arial" w:cs="Arial" w:eastAsia="Arial" w:hAnsi="Arial"/>
          <w:i/>
          <w:iCs/>
          <w:color w:val="555555"/>
          <w:sz w:val="30"/>
          <w:szCs w:val="30"/>
        </w:rPr>
        <w:t xml:space="preserve">A Deep Theory Guide</w:t>
      </w:r>
    </w:p>
    <w:p>
      <w:pPr>
        <w:spacing w:before="0" w:after="100"/>
      </w:pPr>
    </w:p>
    <w:p>
      <w:pPr>
        <w:jc w:val="center"/>
      </w:pPr>
      <w:r>
        <w:rPr>
          <w:rFonts w:ascii="Arial" w:cs="Arial" w:eastAsia="Arial" w:hAnsi="Arial"/>
          <w:color w:val="777777"/>
          <w:sz w:val="22"/>
          <w:szCs w:val="22"/>
        </w:rPr>
        <w:t xml:space="preserve">Problem Statement  ·  Graph Theory  ·  GNN Architecture  ·  Solution Design</w:t>
      </w:r>
    </w:p>
    <w:p>
      <w:pPr>
        <w:spacing w:before="0" w:after="600"/>
      </w:pPr>
    </w:p>
    <w:p>
      <w:r>
        <w:br w:type="page"/>
      </w:r>
    </w:p>
    <w:p>
      <w:pPr>
        <w:pStyle w:val="Heading1"/>
        <w:pBdr>
          <w:bottom w:val="thick" w:color="1B4F72" w:sz="8" w:space="6"/>
        </w:pBdr>
        <w:spacing w:before="400" w:after="200"/>
      </w:pPr>
      <w:r>
        <w:rPr>
          <w:rFonts w:ascii="Arial" w:cs="Arial" w:eastAsia="Arial" w:hAnsi="Arial"/>
          <w:b/>
          <w:bCs/>
          <w:color w:val="1B4F72"/>
          <w:sz w:val="36"/>
          <w:szCs w:val="36"/>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thick" w:color="1B4F72" w:sz="8" w:space="6"/>
        </w:pBdr>
        <w:spacing w:before="400" w:after="200"/>
      </w:pPr>
      <w:r>
        <w:rPr>
          <w:rFonts w:ascii="Arial" w:cs="Arial" w:eastAsia="Arial" w:hAnsi="Arial"/>
          <w:b/>
          <w:bCs/>
          <w:color w:val="1B4F72"/>
          <w:sz w:val="36"/>
          <w:szCs w:val="36"/>
        </w:rPr>
        <w:t xml:space="preserve">1. The Problem Statement</w:t>
      </w:r>
    </w:p>
    <w:p>
      <w:pPr>
        <w:spacing w:before="0" w:after="60"/>
      </w:pPr>
    </w:p>
    <w:p>
      <w:pPr>
        <w:pStyle w:val="Heading2"/>
        <w:spacing w:before="300" w:after="140"/>
      </w:pPr>
      <w:r>
        <w:rPr>
          <w:rFonts w:ascii="Arial" w:cs="Arial" w:eastAsia="Arial" w:hAnsi="Arial"/>
          <w:b/>
          <w:bCs/>
          <w:color w:val="2E86AB"/>
          <w:sz w:val="28"/>
          <w:szCs w:val="28"/>
        </w:rPr>
        <w:t xml:space="preserve">1.1 What Is Financial Fraud?</w:t>
      </w:r>
    </w:p>
    <w:p>
      <w:pPr>
        <w:spacing w:before="80" w:after="120"/>
      </w:pPr>
      <w:r>
        <w:rPr>
          <w:rFonts w:ascii="Arial" w:cs="Arial" w:eastAsia="Arial" w:hAnsi="Arial"/>
          <w:sz w:val="22"/>
          <w:szCs w:val="22"/>
        </w:rPr>
        <w:t xml:space="preserve">Financial fraud is any deliberate deception carried out to secure an unlawful financial gain. In the context of digital payment networks, fraud manifests in several distinct forms: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Fraud Type</w:t>
            </w:r>
          </w:p>
        </w:tc>
        <w:tc>
          <w:tcPr>
            <w:tcW w:type="dxa" w:w="4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6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Scale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Card Fraud</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Stolen card credentials used to make unauthorized transactions</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$32B/year globally</w:t>
            </w:r>
          </w:p>
        </w:tc>
      </w:tr>
      <w:tr>
        <w:tc>
          <w:tcPr>
            <w:tcW w:type="dxa" w:w="22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Account Takeover</w:t>
            </w:r>
          </w:p>
        </w:tc>
        <w:tc>
          <w:tcPr>
            <w:tcW w:type="dxa" w:w="45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Attacker gains access to a legitimate user account</w:t>
            </w:r>
          </w:p>
        </w:tc>
        <w:tc>
          <w:tcPr>
            <w:tcW w:type="dxa" w:w="266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$11B/year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Money Laundering</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Illicit funds routed through legitimate accounts to obscure origin</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$2T/year</w:t>
            </w:r>
          </w:p>
        </w:tc>
      </w:tr>
      <w:tr>
        <w:tc>
          <w:tcPr>
            <w:tcW w:type="dxa" w:w="22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Synthetic Identity</w:t>
            </w:r>
          </w:p>
        </w:tc>
        <w:tc>
          <w:tcPr>
            <w:tcW w:type="dxa" w:w="45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Fake identities constructed from real &amp; fictitious data</w:t>
            </w:r>
          </w:p>
        </w:tc>
        <w:tc>
          <w:tcPr>
            <w:tcW w:type="dxa" w:w="266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$20B/year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Crypto Crime</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Illicit Bitcoin/Ethereum transactions (Elliptic dataset)</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$10B/year</w:t>
            </w:r>
          </w:p>
        </w:tc>
      </w:tr>
    </w:tbl>
    <w:p>
      <w:pPr>
        <w:spacing w:before="0" w:after="160"/>
      </w:pPr>
    </w:p>
    <w:p>
      <w:pPr>
        <w:pStyle w:val="Heading2"/>
        <w:spacing w:before="300" w:after="140"/>
      </w:pPr>
      <w:r>
        <w:rPr>
          <w:rFonts w:ascii="Arial" w:cs="Arial" w:eastAsia="Arial" w:hAnsi="Arial"/>
          <w:b/>
          <w:bCs/>
          <w:color w:val="2E86AB"/>
          <w:sz w:val="28"/>
          <w:szCs w:val="28"/>
        </w:rPr>
        <w:t xml:space="preserve">1.2 Why Is It Hard?</w:t>
      </w:r>
    </w:p>
    <w:p>
      <w:pPr>
        <w:spacing w:before="80" w:after="120"/>
      </w:pPr>
      <w:r>
        <w:rPr>
          <w:rFonts w:ascii="Arial" w:cs="Arial" w:eastAsia="Arial" w:hAnsi="Arial"/>
          <w:sz w:val="22"/>
          <w:szCs w:val="22"/>
        </w:rPr>
        <w:t xml:space="preserve">Fraud detection is not a simple classification problem. It faces four interlocking challenges that make it uniquely difficult:</w:t>
      </w:r>
    </w:p>
    <w:p>
      <w:pPr>
        <w:spacing w:before="0" w:after="80"/>
      </w:pPr>
    </w:p>
    <w:p>
      <w:pPr>
        <w:pStyle w:val="Heading3"/>
        <w:spacing w:before="220" w:after="100"/>
      </w:pPr>
      <w:r>
        <w:rPr>
          <w:rFonts w:ascii="Arial" w:cs="Arial" w:eastAsia="Arial" w:hAnsi="Arial"/>
          <w:b/>
          <w:bCs/>
          <w:color w:val="2C3E50"/>
          <w:sz w:val="24"/>
          <w:szCs w:val="24"/>
        </w:rPr>
        <w:t xml:space="preserve">Challenge 1: Extreme Class Imbalance</w:t>
      </w:r>
    </w:p>
    <w:p>
      <w:pPr>
        <w:spacing w:before="80" w:after="120"/>
      </w:pPr>
      <w:r>
        <w:rPr>
          <w:rFonts w:ascii="Arial" w:cs="Arial" w:eastAsia="Arial" w:hAnsi="Arial"/>
          <w:sz w:val="22"/>
          <w:szCs w:val="22"/>
        </w:rPr>
        <w:t xml:space="preserve">In the </w:t>
      </w:r>
      <w:r>
        <w:rPr>
          <w:rFonts w:ascii="Arial" w:cs="Arial" w:eastAsia="Arial" w:hAnsi="Arial"/>
          <w:b/>
          <w:bCs/>
          <w:sz w:val="22"/>
          <w:szCs w:val="22"/>
        </w:rPr>
        <w:t xml:space="preserve">Elliptic Bitcoin Dataset</w:t>
      </w:r>
      <w:r>
        <w:rPr>
          <w:rFonts w:ascii="Arial" w:cs="Arial" w:eastAsia="Arial" w:hAnsi="Arial"/>
          <w:sz w:val="22"/>
          <w:szCs w:val="22"/>
        </w:rPr>
        <w:t xml:space="preserve">, only </w:t>
      </w:r>
      <w:r>
        <w:rPr>
          <w:rFonts w:ascii="Arial" w:cs="Arial" w:eastAsia="Arial" w:hAnsi="Arial"/>
          <w:b/>
          <w:bCs/>
          <w:color w:val="C0392B"/>
          <w:sz w:val="22"/>
          <w:szCs w:val="22"/>
        </w:rPr>
        <w:t xml:space="preserve">~2% of transactions are illicit</w:t>
      </w:r>
      <w:r>
        <w:rPr>
          <w:rFonts w:ascii="Arial" w:cs="Arial" w:eastAsia="Arial" w:hAnsi="Arial"/>
          <w:sz w:val="22"/>
          <w:szCs w:val="22"/>
        </w:rPr>
        <w:t xml:space="preserve">. In production payment systems, fraud rates can be as low as 0.01%. This means a model that predicts 'legit' for every transaction achieves 98-99.99% accuracy — but is completely useless. Standard accuracy metrics are meaningless. We must optimise for </w:t>
      </w:r>
      <w:r>
        <w:rPr>
          <w:rFonts w:ascii="Arial" w:cs="Arial" w:eastAsia="Arial" w:hAnsi="Arial"/>
          <w:b/>
          <w:bCs/>
          <w:sz w:val="22"/>
          <w:szCs w:val="22"/>
        </w:rPr>
        <w:t xml:space="preserve">Precision, Recall, F1, and AUC-PR</w:t>
      </w:r>
      <w:r>
        <w:rPr>
          <w:rFonts w:ascii="Arial" w:cs="Arial" w:eastAsia="Arial" w:hAnsi="Arial"/>
          <w:sz w:val="22"/>
          <w:szCs w:val="22"/>
        </w:rPr>
        <w:t xml:space="preserve">.</w:t>
      </w:r>
    </w:p>
    <w:p>
      <w:pPr>
        <w:spacing w:before="0" w:after="80"/>
      </w:pPr>
    </w:p>
    <w:p>
      <w:pPr>
        <w:pStyle w:val="Heading3"/>
        <w:spacing w:before="220" w:after="100"/>
      </w:pPr>
      <w:r>
        <w:rPr>
          <w:rFonts w:ascii="Arial" w:cs="Arial" w:eastAsia="Arial" w:hAnsi="Arial"/>
          <w:b/>
          <w:bCs/>
          <w:color w:val="2C3E50"/>
          <w:sz w:val="24"/>
          <w:szCs w:val="24"/>
        </w:rPr>
        <w:t xml:space="preserve">Challenge 2: Relational Structure Is Critical</w:t>
      </w:r>
    </w:p>
    <w:p>
      <w:pPr>
        <w:spacing w:before="80" w:after="120"/>
      </w:pPr>
      <w:r>
        <w:rPr>
          <w:rFonts w:ascii="Arial" w:cs="Arial" w:eastAsia="Arial" w:hAnsi="Arial"/>
          <w:sz w:val="22"/>
          <w:szCs w:val="22"/>
        </w:rPr>
        <w:t xml:space="preserve">Fraudsters don't operate in isolation. They form </w:t>
      </w:r>
      <w:r>
        <w:rPr>
          <w:rFonts w:ascii="Arial" w:cs="Arial" w:eastAsia="Arial" w:hAnsi="Arial"/>
          <w:b/>
          <w:bCs/>
          <w:sz w:val="22"/>
          <w:szCs w:val="22"/>
        </w:rPr>
        <w:t xml:space="preserve">mule networks</w:t>
      </w:r>
      <w:r>
        <w:rPr>
          <w:rFonts w:ascii="Arial" w:cs="Arial" w:eastAsia="Arial" w:hAnsi="Arial"/>
          <w:sz w:val="22"/>
          <w:szCs w:val="22"/>
        </w:rPr>
        <w:t xml:space="preserve">: rings of accounts that move money between each other to obscure the source. This relational structure — </w:t>
      </w:r>
      <w:r>
        <w:rPr>
          <w:rFonts w:ascii="Arial" w:cs="Arial" w:eastAsia="Arial" w:hAnsi="Arial"/>
          <w:i/>
          <w:iCs/>
          <w:sz w:val="22"/>
          <w:szCs w:val="22"/>
        </w:rPr>
        <w:t xml:space="preserve">who transacts with whom</w:t>
      </w:r>
      <w:r>
        <w:rPr>
          <w:rFonts w:ascii="Arial" w:cs="Arial" w:eastAsia="Arial" w:hAnsi="Arial"/>
          <w:sz w:val="22"/>
          <w:szCs w:val="22"/>
        </w:rPr>
        <w:t xml:space="preserve"> — is the richest signal. But standard machine learning treats each transaction as an </w:t>
      </w:r>
      <w:r>
        <w:rPr>
          <w:rFonts w:ascii="Arial" w:cs="Arial" w:eastAsia="Arial" w:hAnsi="Arial"/>
          <w:i/>
          <w:iCs/>
          <w:sz w:val="22"/>
          <w:szCs w:val="22"/>
        </w:rPr>
        <w:t xml:space="preserve">independent row in a table</w:t>
      </w:r>
      <w:r>
        <w:rPr>
          <w:rFonts w:ascii="Arial" w:cs="Arial" w:eastAsia="Arial" w:hAnsi="Arial"/>
          <w:sz w:val="22"/>
          <w:szCs w:val="22"/>
        </w:rPr>
        <w:t xml:space="preserve">, completely ignoring this graph structure. A model trained on per-node features alone misses the most informative pattern.</w:t>
      </w:r>
    </w:p>
    <w:p>
      <w:pPr>
        <w:spacing w:before="0" w:after="80"/>
      </w:pPr>
    </w:p>
    <w:p>
      <w:pPr>
        <w:pStyle w:val="Heading3"/>
        <w:spacing w:before="220" w:after="100"/>
      </w:pPr>
      <w:r>
        <w:rPr>
          <w:rFonts w:ascii="Arial" w:cs="Arial" w:eastAsia="Arial" w:hAnsi="Arial"/>
          <w:b/>
          <w:bCs/>
          <w:color w:val="2C3E50"/>
          <w:sz w:val="24"/>
          <w:szCs w:val="24"/>
        </w:rPr>
        <w:t xml:space="preserve">Challenge 3: Adversarial Adaptation</w:t>
      </w:r>
    </w:p>
    <w:p>
      <w:pPr>
        <w:spacing w:before="80" w:after="120"/>
      </w:pPr>
      <w:r>
        <w:rPr>
          <w:rFonts w:ascii="Arial" w:cs="Arial" w:eastAsia="Arial" w:hAnsi="Arial"/>
          <w:sz w:val="22"/>
          <w:szCs w:val="22"/>
        </w:rPr>
        <w:t xml:space="preserve">Fraudsters actively adapt to detection systems. As models improve, fraud patterns evolve. This creates a perpetual arms race where models must generalize to unseen fraud patterns, not just memorize known ones.</w:t>
      </w:r>
    </w:p>
    <w:p>
      <w:pPr>
        <w:spacing w:before="0" w:after="80"/>
      </w:pPr>
    </w:p>
    <w:p>
      <w:pPr>
        <w:pStyle w:val="Heading3"/>
        <w:spacing w:before="220" w:after="100"/>
      </w:pPr>
      <w:r>
        <w:rPr>
          <w:rFonts w:ascii="Arial" w:cs="Arial" w:eastAsia="Arial" w:hAnsi="Arial"/>
          <w:b/>
          <w:bCs/>
          <w:color w:val="2C3E50"/>
          <w:sz w:val="24"/>
          <w:szCs w:val="24"/>
        </w:rPr>
        <w:t xml:space="preserve">Challenge 4: Label Scarcity</w:t>
      </w:r>
    </w:p>
    <w:p>
      <w:pPr>
        <w:spacing w:before="80" w:after="120"/>
      </w:pPr>
      <w:r>
        <w:rPr>
          <w:rFonts w:ascii="Arial" w:cs="Arial" w:eastAsia="Arial" w:hAnsi="Arial"/>
          <w:sz w:val="22"/>
          <w:szCs w:val="22"/>
        </w:rPr>
        <w:t xml:space="preserve">In the Elliptic dataset, over 50% of nodes are unlabelled (class = 'unknown'). In real systems, ground truth labels arrive weeks after transactions when chargebacks are confirmed. Models must learn from partial labels and generalize to unlabelled nodes.</w:t>
      </w:r>
    </w:p>
    <w:p>
      <w:pPr>
        <w:spacing w:before="0"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C0392B"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KEY</w:t>
            </w:r>
          </w:p>
        </w:tc>
        <w:tc>
          <w:tcPr>
            <w:tcW w:type="dxa" w:w="8960"/>
            <w:tcBorders>
              <w:top w:val="none" w:color="FFFFFF" w:sz="0"/>
              <w:left w:val="none" w:color="FFFFFF" w:sz="0"/>
              <w:bottom w:val="none" w:color="FFFFFF" w:sz="0"/>
              <w:right w:val="none" w:color="FFFFFF" w:sz="0"/>
            </w:tcBorders>
            <w:shd w:fill="FDEDEC" w:val="clear"/>
            <w:tcMar>
              <w:top w:type="dxa" w:w="80"/>
              <w:left w:type="dxa" w:w="200"/>
              <w:bottom w:type="dxa" w:w="80"/>
              <w:right w:type="dxa" w:w="120"/>
            </w:tcMar>
          </w:tcPr>
          <w:p>
            <w:r>
              <w:rPr>
                <w:rFonts w:ascii="Arial" w:cs="Arial" w:eastAsia="Arial" w:hAnsi="Arial"/>
                <w:i/>
                <w:iCs/>
                <w:color w:val="1A252F"/>
                <w:sz w:val="20"/>
                <w:szCs w:val="20"/>
              </w:rPr>
              <w:t xml:space="preserve">The core insight: fraud is a relational phenomenon. A transaction is not fraudulent in isolation — it is fraudulent because of who initiated it, who received it, and the network of transactions surrounding it.</w:t>
            </w:r>
          </w:p>
        </w:tc>
      </w:tr>
    </w:tbl>
    <w:p>
      <w:pPr>
        <w:spacing w:before="0" w:after="200"/>
      </w:pPr>
    </w:p>
    <w:p>
      <w:pPr>
        <w:pStyle w:val="Heading2"/>
        <w:spacing w:before="300" w:after="140"/>
      </w:pPr>
      <w:r>
        <w:rPr>
          <w:rFonts w:ascii="Arial" w:cs="Arial" w:eastAsia="Arial" w:hAnsi="Arial"/>
          <w:b/>
          <w:bCs/>
          <w:color w:val="2E86AB"/>
          <w:sz w:val="28"/>
          <w:szCs w:val="28"/>
        </w:rPr>
        <w:t xml:space="preserve">1.3 The Datasets</w:t>
      </w:r>
    </w:p>
    <w:p>
      <w:pPr>
        <w:pStyle w:val="Heading3"/>
        <w:spacing w:before="220" w:after="100"/>
      </w:pPr>
      <w:r>
        <w:rPr>
          <w:rFonts w:ascii="Arial" w:cs="Arial" w:eastAsia="Arial" w:hAnsi="Arial"/>
          <w:b/>
          <w:bCs/>
          <w:color w:val="2C3E50"/>
          <w:sz w:val="24"/>
          <w:szCs w:val="24"/>
        </w:rPr>
        <w:t xml:space="preserve">Elliptic Bitcoin Dataset</w:t>
      </w:r>
    </w:p>
    <w:p>
      <w:pPr>
        <w:spacing w:before="80" w:after="120"/>
      </w:pPr>
      <w:r>
        <w:rPr>
          <w:rFonts w:ascii="Arial" w:cs="Arial" w:eastAsia="Arial" w:hAnsi="Arial"/>
          <w:sz w:val="22"/>
          <w:szCs w:val="22"/>
        </w:rPr>
        <w:t xml:space="preserve">The Elliptic dataset is a directed graph of Bitcoin transactions collected between 2011 and 2019, spanning 49 time steps (each ~2 weeks of blockchain data).</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5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Nodes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203,769 Bitcoin transactions</w:t>
            </w:r>
          </w:p>
        </w:tc>
      </w:tr>
      <w:tr>
        <w:tc>
          <w:tcPr>
            <w:tcW w:type="dxa" w:w="40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Edges</w:t>
            </w:r>
          </w:p>
        </w:tc>
        <w:tc>
          <w:tcPr>
            <w:tcW w:type="dxa" w:w="536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234,355 directed payment flows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Labelled nodes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46,564 (22.8%)</w:t>
            </w:r>
          </w:p>
        </w:tc>
      </w:tr>
      <w:tr>
        <w:tc>
          <w:tcPr>
            <w:tcW w:type="dxa" w:w="40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Illicit (fraud) nodes</w:t>
            </w:r>
          </w:p>
        </w:tc>
        <w:tc>
          <w:tcPr>
            <w:tcW w:type="dxa" w:w="536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4,545 (2.2% of all nodes)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Licit (legit) nodes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42,019 (20.6%)</w:t>
            </w:r>
          </w:p>
        </w:tc>
      </w:tr>
      <w:tr>
        <w:tc>
          <w:tcPr>
            <w:tcW w:type="dxa" w:w="40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Unknown nodes</w:t>
            </w:r>
          </w:p>
        </w:tc>
        <w:tc>
          <w:tcPr>
            <w:tcW w:type="dxa" w:w="536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157,205 (77.2%)</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Features per node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166 (94 local + 72 aggregated)</w:t>
            </w:r>
          </w:p>
        </w:tc>
      </w:tr>
      <w:tr>
        <w:tc>
          <w:tcPr>
            <w:tcW w:type="dxa" w:w="40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Time steps</w:t>
            </w:r>
          </w:p>
        </w:tc>
        <w:tc>
          <w:tcPr>
            <w:tcW w:type="dxa" w:w="536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49 (chronological, non-overlapping)</w:t>
            </w:r>
          </w:p>
        </w:tc>
      </w:tr>
    </w:tbl>
    <w:p>
      <w:pPr>
        <w:spacing w:before="0" w:after="120"/>
      </w:pPr>
    </w:p>
    <w:p>
      <w:pPr>
        <w:pStyle w:val="Heading3"/>
        <w:spacing w:before="220" w:after="100"/>
      </w:pPr>
      <w:r>
        <w:rPr>
          <w:rFonts w:ascii="Arial" w:cs="Arial" w:eastAsia="Arial" w:hAnsi="Arial"/>
          <w:b/>
          <w:bCs/>
          <w:color w:val="2C3E50"/>
          <w:sz w:val="24"/>
          <w:szCs w:val="24"/>
        </w:rPr>
        <w:t xml:space="preserve">IEEE-CIS Fraud Detection Dataset</w:t>
      </w:r>
    </w:p>
    <w:p>
      <w:pPr>
        <w:spacing w:before="80" w:after="120"/>
      </w:pPr>
      <w:r>
        <w:rPr>
          <w:rFonts w:ascii="Arial" w:cs="Arial" w:eastAsia="Arial" w:hAnsi="Arial"/>
          <w:sz w:val="22"/>
          <w:szCs w:val="22"/>
        </w:rPr>
        <w:t xml:space="preserve">A Kaggle competition dataset from Vesta Corporation containing e-commerce transactions with rich identity and behavioral features.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5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Transactions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590,540 rows</w:t>
            </w:r>
          </w:p>
        </w:tc>
      </w:tr>
      <w:tr>
        <w:tc>
          <w:tcPr>
            <w:tcW w:type="dxa" w:w="40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Fraud rate</w:t>
            </w:r>
          </w:p>
        </w:tc>
        <w:tc>
          <w:tcPr>
            <w:tcW w:type="dxa" w:w="536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3.5%</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Feature types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Transaction + identity (V1-V339 Vesta features)</w:t>
            </w:r>
          </w:p>
        </w:tc>
      </w:tr>
      <w:tr>
        <w:tc>
          <w:tcPr>
            <w:tcW w:type="dxa" w:w="40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Graph construction</w:t>
            </w:r>
          </w:p>
        </w:tc>
        <w:tc>
          <w:tcPr>
            <w:tcW w:type="dxa" w:w="536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Bipartite: cards ↔ transactions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Key challenge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Rich feature set but requires graph construction</w:t>
            </w:r>
          </w:p>
        </w:tc>
      </w:tr>
    </w:tbl>
    <w:p>
      <w:pPr>
        <w:spacing w:before="0" w:after="200"/>
      </w:pPr>
    </w:p>
    <w:p>
      <w:r>
        <w:br w:type="page"/>
      </w:r>
    </w:p>
    <w:p>
      <w:pPr>
        <w:pStyle w:val="Heading1"/>
        <w:pBdr>
          <w:bottom w:val="thick" w:color="1B4F72" w:sz="8" w:space="6"/>
        </w:pBdr>
        <w:spacing w:before="400" w:after="200"/>
      </w:pPr>
      <w:r>
        <w:rPr>
          <w:rFonts w:ascii="Arial" w:cs="Arial" w:eastAsia="Arial" w:hAnsi="Arial"/>
          <w:b/>
          <w:bCs/>
          <w:color w:val="1B4F72"/>
          <w:sz w:val="36"/>
          <w:szCs w:val="36"/>
        </w:rPr>
        <w:t xml:space="preserve">2. The Approach: Modeling Fraud as a Graph Problem</w:t>
      </w:r>
    </w:p>
    <w:p>
      <w:pPr>
        <w:spacing w:before="0" w:after="60"/>
      </w:pPr>
    </w:p>
    <w:p>
      <w:pPr>
        <w:pStyle w:val="Heading2"/>
        <w:spacing w:before="300" w:after="140"/>
      </w:pPr>
      <w:r>
        <w:rPr>
          <w:rFonts w:ascii="Arial" w:cs="Arial" w:eastAsia="Arial" w:hAnsi="Arial"/>
          <w:b/>
          <w:bCs/>
          <w:color w:val="2E86AB"/>
          <w:sz w:val="28"/>
          <w:szCs w:val="28"/>
        </w:rPr>
        <w:t xml:space="preserve">2.1 From Table to Graph</w:t>
      </w:r>
    </w:p>
    <w:p>
      <w:pPr>
        <w:spacing w:before="80" w:after="120"/>
      </w:pPr>
      <w:r>
        <w:rPr>
          <w:rFonts w:ascii="Arial" w:cs="Arial" w:eastAsia="Arial" w:hAnsi="Arial"/>
          <w:sz w:val="22"/>
          <w:szCs w:val="22"/>
        </w:rPr>
        <w:t xml:space="preserve">The fundamental shift in this system is from tabular ML to graph ML. Here is what that means concretely:</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Tabular ML (Baseline)</w:t>
            </w:r>
          </w:p>
        </w:tc>
        <w:tc>
          <w:tcPr>
            <w:tcW w:type="dxa" w:w="3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Graph ML (Our Approach)</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 model</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Each transaction = one row</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Each transaction = one node in a graph</w:t>
            </w:r>
          </w:p>
        </w:tc>
      </w:tr>
      <w:tr>
        <w:tc>
          <w:tcPr>
            <w:tcW w:type="dxa" w:w="20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Features</w:t>
            </w:r>
          </w:p>
        </w:tc>
        <w:tc>
          <w:tcPr>
            <w:tcW w:type="dxa" w:w="35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Per-transaction features only</w:t>
            </w:r>
          </w:p>
        </w:tc>
        <w:tc>
          <w:tcPr>
            <w:tcW w:type="dxa" w:w="386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Per-node features + neighborhood structure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Relationships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Ignored entirely</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Explicitly modeled as edges</w:t>
            </w:r>
          </w:p>
        </w:tc>
      </w:tr>
      <w:tr>
        <w:tc>
          <w:tcPr>
            <w:tcW w:type="dxa" w:w="20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Model</w:t>
            </w:r>
          </w:p>
        </w:tc>
        <w:tc>
          <w:tcPr>
            <w:tcW w:type="dxa" w:w="35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XGBoost, Random Forest</w:t>
            </w:r>
          </w:p>
        </w:tc>
        <w:tc>
          <w:tcPr>
            <w:tcW w:type="dxa" w:w="386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GraphSAGE, GAT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Key advantage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Fast, interpretable</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Captures ring fraud, mule networks</w:t>
            </w:r>
          </w:p>
        </w:tc>
      </w:tr>
      <w:tr>
        <w:tc>
          <w:tcPr>
            <w:tcW w:type="dxa" w:w="20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Key weakness</w:t>
            </w:r>
          </w:p>
        </w:tc>
        <w:tc>
          <w:tcPr>
            <w:tcW w:type="dxa" w:w="35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Misses relational fraud</w:t>
            </w:r>
          </w:p>
        </w:tc>
        <w:tc>
          <w:tcPr>
            <w:tcW w:type="dxa" w:w="386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More complex to implement</w:t>
            </w:r>
          </w:p>
        </w:tc>
      </w:tr>
    </w:tbl>
    <w:p>
      <w:pPr>
        <w:spacing w:before="0" w:after="160"/>
      </w:pPr>
    </w:p>
    <w:p>
      <w:pPr>
        <w:pStyle w:val="Heading2"/>
        <w:spacing w:before="300" w:after="140"/>
      </w:pPr>
      <w:r>
        <w:rPr>
          <w:rFonts w:ascii="Arial" w:cs="Arial" w:eastAsia="Arial" w:hAnsi="Arial"/>
          <w:b/>
          <w:bCs/>
          <w:color w:val="2E86AB"/>
          <w:sz w:val="28"/>
          <w:szCs w:val="28"/>
        </w:rPr>
        <w:t xml:space="preserve">2.2 Graph Construction</w:t>
      </w:r>
    </w:p>
    <w:p>
      <w:pPr>
        <w:spacing w:before="80" w:after="120"/>
      </w:pPr>
      <w:r>
        <w:rPr>
          <w:rFonts w:ascii="Arial" w:cs="Arial" w:eastAsia="Arial" w:hAnsi="Arial"/>
          <w:sz w:val="22"/>
          <w:szCs w:val="22"/>
        </w:rPr>
        <w:t xml:space="preserve">The first design decision is: what are nodes and what are edges?</w:t>
      </w:r>
    </w:p>
    <w:p>
      <w:pPr>
        <w:spacing w:before="0" w:after="80"/>
      </w:pPr>
    </w:p>
    <w:p>
      <w:pPr>
        <w:pStyle w:val="Heading3"/>
        <w:spacing w:before="220" w:after="100"/>
      </w:pPr>
      <w:r>
        <w:rPr>
          <w:rFonts w:ascii="Arial" w:cs="Arial" w:eastAsia="Arial" w:hAnsi="Arial"/>
          <w:b/>
          <w:bCs/>
          <w:color w:val="2C3E50"/>
          <w:sz w:val="24"/>
          <w:szCs w:val="24"/>
        </w:rPr>
        <w:t xml:space="preserve">Option A: Transaction Graph (Elliptic)</w:t>
      </w:r>
    </w:p>
    <w:p>
      <w:pPr>
        <w:spacing w:before="80" w:after="120"/>
      </w:pPr>
      <w:r>
        <w:rPr>
          <w:rFonts w:ascii="Arial" w:cs="Arial" w:eastAsia="Arial" w:hAnsi="Arial"/>
          <w:sz w:val="22"/>
          <w:szCs w:val="22"/>
        </w:rPr>
        <w:t xml:space="preserve">Each node is a Bitcoin transaction. Edges represent bitcoin flowing from one transaction to another (the output of transaction A becomes the input of transaction B).</w:t>
      </w:r>
    </w:p>
    <w:p>
      <w:pPr>
        <w:spacing w:before="0" w:after="60"/>
      </w:pPr>
    </w:p>
    <w:p>
      <w:pPr>
        <w:shd w:fill="F4F6F7" w:val="clear"/>
        <w:spacing w:before="0" w:after="0"/>
      </w:pPr>
      <w:r>
        <w:rPr>
          <w:rFonts w:ascii="Courier New" w:cs="Courier New" w:eastAsia="Courier New" w:hAnsi="Courier New"/>
          <w:color w:val="2C3E50"/>
          <w:sz w:val="18"/>
          <w:szCs w:val="18"/>
        </w:rPr>
        <w:t xml:space="preserve">  Node:  Transaction txID_12345</w:t>
      </w:r>
    </w:p>
    <w:p>
      <w:pPr>
        <w:shd w:fill="F4F6F7" w:val="clear"/>
        <w:spacing w:before="0" w:after="0"/>
      </w:pPr>
      <w:r>
        <w:rPr>
          <w:rFonts w:ascii="Courier New" w:cs="Courier New" w:eastAsia="Courier New" w:hAnsi="Courier New"/>
          <w:color w:val="2C3E50"/>
          <w:sz w:val="18"/>
          <w:szCs w:val="18"/>
        </w:rPr>
        <w:t xml:space="preserve">         features: [amount, time_step, v1, v2, ... v164]</w:t>
      </w:r>
    </w:p>
    <w:p>
      <w:pPr>
        <w:shd w:fill="F4F6F7" w:val="clear"/>
        <w:spacing w:before="0" w:after="0"/>
      </w:pPr>
      <w:r>
        <w:rPr>
          <w:rFonts w:ascii="Courier New" w:cs="Courier New" w:eastAsia="Courier New" w:hAnsi="Courier New"/>
          <w:color w:val="2C3E50"/>
          <w:sz w:val="18"/>
          <w:szCs w:val="18"/>
        </w:rPr>
        <w:t xml:space="preserve">         label:    0 (legit) | 1 (fraud) | -1 (unknown)</w:t>
      </w:r>
    </w:p>
    <w:p>
      <w:pPr>
        <w:shd w:fill="F4F6F7" w:val="clear"/>
        <w:spacing w:before="0" w:after="0"/>
      </w:pPr>
      <w:r>
        <w:rPr>
          <w:rFonts w:ascii="Courier New" w:cs="Courier New" w:eastAsia="Courier New" w:hAnsi="Courier New"/>
          <w:color w:val="2C3E50"/>
          <w:sz w:val="18"/>
          <w:szCs w:val="18"/>
        </w:rPr>
        <w:t xml:space="preserve"> </w:t>
      </w:r>
    </w:p>
    <w:p>
      <w:pPr>
        <w:shd w:fill="F4F6F7" w:val="clear"/>
        <w:spacing w:before="0" w:after="0"/>
      </w:pPr>
      <w:r>
        <w:rPr>
          <w:rFonts w:ascii="Courier New" w:cs="Courier New" w:eastAsia="Courier New" w:hAnsi="Courier New"/>
          <w:color w:val="2C3E50"/>
          <w:sz w:val="18"/>
          <w:szCs w:val="18"/>
        </w:rPr>
        <w:t xml:space="preserve">  Edge:  txID_12345 --[bitcoin flow]--&gt; txID_67890</w:t>
      </w:r>
    </w:p>
    <w:p>
      <w:pPr>
        <w:shd w:fill="F4F6F7" w:val="clear"/>
        <w:spacing w:before="0" w:after="0"/>
      </w:pPr>
      <w:r>
        <w:rPr>
          <w:rFonts w:ascii="Courier New" w:cs="Courier New" w:eastAsia="Courier New" w:hAnsi="Courier New"/>
          <w:color w:val="2C3E50"/>
          <w:sz w:val="18"/>
          <w:szCs w:val="18"/>
        </w:rPr>
        <w:t xml:space="preserve">         meaning:  output of tx_12345 is input to tx_67890</w:t>
      </w:r>
    </w:p>
    <w:p>
      <w:pPr>
        <w:spacing w:before="0" w:after="120"/>
      </w:pPr>
    </w:p>
    <w:p>
      <w:pPr>
        <w:pStyle w:val="Heading3"/>
        <w:spacing w:before="220" w:after="100"/>
      </w:pPr>
      <w:r>
        <w:rPr>
          <w:rFonts w:ascii="Arial" w:cs="Arial" w:eastAsia="Arial" w:hAnsi="Arial"/>
          <w:b/>
          <w:bCs/>
          <w:color w:val="2C3E50"/>
          <w:sz w:val="24"/>
          <w:szCs w:val="24"/>
        </w:rPr>
        <w:t xml:space="preserve">Option B: Bipartite Card-Transaction Graph (IEEE-CIS)</w:t>
      </w:r>
    </w:p>
    <w:p>
      <w:pPr>
        <w:spacing w:before="80" w:after="120"/>
      </w:pPr>
      <w:r>
        <w:rPr>
          <w:rFonts w:ascii="Arial" w:cs="Arial" w:eastAsia="Arial" w:hAnsi="Arial"/>
          <w:sz w:val="22"/>
          <w:szCs w:val="22"/>
        </w:rPr>
        <w:t xml:space="preserve">Two node types: credit cards and transactions. An edge connects a card to every transaction it made. This naturally encodes the account-activity relationship.</w:t>
      </w:r>
    </w:p>
    <w:p>
      <w:pPr>
        <w:spacing w:before="0" w:after="60"/>
      </w:pPr>
    </w:p>
    <w:p>
      <w:pPr>
        <w:shd w:fill="F4F6F7" w:val="clear"/>
        <w:spacing w:before="0" w:after="0"/>
      </w:pPr>
      <w:r>
        <w:rPr>
          <w:rFonts w:ascii="Courier New" w:cs="Courier New" w:eastAsia="Courier New" w:hAnsi="Courier New"/>
          <w:color w:val="2C3E50"/>
          <w:sz w:val="18"/>
          <w:szCs w:val="18"/>
        </w:rPr>
        <w:t xml:space="preserve">  Node type 1:  Card  (card1 + card2 + card4 as composite key)</w:t>
      </w:r>
    </w:p>
    <w:p>
      <w:pPr>
        <w:shd w:fill="F4F6F7" w:val="clear"/>
        <w:spacing w:before="0" w:after="0"/>
      </w:pPr>
      <w:r>
        <w:rPr>
          <w:rFonts w:ascii="Courier New" w:cs="Courier New" w:eastAsia="Courier New" w:hAnsi="Courier New"/>
          <w:color w:val="2C3E50"/>
          <w:sz w:val="18"/>
          <w:szCs w:val="18"/>
        </w:rPr>
        <w:t xml:space="preserve">  Node type 2:  Transaction</w:t>
      </w:r>
    </w:p>
    <w:p>
      <w:pPr>
        <w:shd w:fill="F4F6F7" w:val="clear"/>
        <w:spacing w:before="0" w:after="0"/>
      </w:pPr>
      <w:r>
        <w:rPr>
          <w:rFonts w:ascii="Courier New" w:cs="Courier New" w:eastAsia="Courier New" w:hAnsi="Courier New"/>
          <w:color w:val="2C3E50"/>
          <w:sz w:val="18"/>
          <w:szCs w:val="18"/>
        </w:rPr>
        <w:t xml:space="preserve"> </w:t>
      </w:r>
    </w:p>
    <w:p>
      <w:pPr>
        <w:shd w:fill="F4F6F7" w:val="clear"/>
        <w:spacing w:before="0" w:after="0"/>
      </w:pPr>
      <w:r>
        <w:rPr>
          <w:rFonts w:ascii="Courier New" w:cs="Courier New" w:eastAsia="Courier New" w:hAnsi="Courier New"/>
          <w:color w:val="2C3E50"/>
          <w:sz w:val="18"/>
          <w:szCs w:val="18"/>
        </w:rPr>
        <w:t xml:space="preserve">  Edge:  card_ABC --[made]--&gt; txn_12345</w:t>
      </w:r>
    </w:p>
    <w:p>
      <w:pPr>
        <w:shd w:fill="F4F6F7" w:val="clear"/>
        <w:spacing w:before="0" w:after="0"/>
      </w:pPr>
      <w:r>
        <w:rPr>
          <w:rFonts w:ascii="Courier New" w:cs="Courier New" w:eastAsia="Courier New" w:hAnsi="Courier New"/>
          <w:color w:val="2C3E50"/>
          <w:sz w:val="18"/>
          <w:szCs w:val="18"/>
        </w:rPr>
        <w:t xml:space="preserve">         card_ABC --[made]--&gt; txn_67890</w:t>
      </w:r>
    </w:p>
    <w:p>
      <w:pPr>
        <w:shd w:fill="F4F6F7" w:val="clear"/>
        <w:spacing w:before="0" w:after="0"/>
      </w:pPr>
      <w:r>
        <w:rPr>
          <w:rFonts w:ascii="Courier New" w:cs="Courier New" w:eastAsia="Courier New" w:hAnsi="Courier New"/>
          <w:color w:val="2C3E50"/>
          <w:sz w:val="18"/>
          <w:szCs w:val="18"/>
        </w:rPr>
        <w:t xml:space="preserve"> </w:t>
      </w:r>
    </w:p>
    <w:p>
      <w:pPr>
        <w:shd w:fill="F4F6F7" w:val="clear"/>
        <w:spacing w:before="0" w:after="0"/>
      </w:pPr>
      <w:r>
        <w:rPr>
          <w:rFonts w:ascii="Courier New" w:cs="Courier New" w:eastAsia="Courier New" w:hAnsi="Courier New"/>
          <w:color w:val="2C3E50"/>
          <w:sz w:val="18"/>
          <w:szCs w:val="18"/>
        </w:rPr>
        <w:t xml:space="preserve">  Fraud pattern: card_ABC made many transactions in rapid succession</w:t>
      </w:r>
    </w:p>
    <w:p>
      <w:pPr>
        <w:shd w:fill="F4F6F7" w:val="clear"/>
        <w:spacing w:before="0" w:after="0"/>
      </w:pPr>
      <w:r>
        <w:rPr>
          <w:rFonts w:ascii="Courier New" w:cs="Courier New" w:eastAsia="Courier New" w:hAnsi="Courier New"/>
          <w:color w:val="2C3E50"/>
          <w:sz w:val="18"/>
          <w:szCs w:val="18"/>
        </w:rPr>
        <w:t xml:space="preserve">  → card node is central hub; its neighborhood is suspicious</w:t>
      </w:r>
    </w:p>
    <w:p>
      <w:pPr>
        <w:spacing w:before="0" w:after="160"/>
      </w:pPr>
    </w:p>
    <w:p>
      <w:pPr>
        <w:pStyle w:val="Heading2"/>
        <w:spacing w:before="300" w:after="140"/>
      </w:pPr>
      <w:r>
        <w:rPr>
          <w:rFonts w:ascii="Arial" w:cs="Arial" w:eastAsia="Arial" w:hAnsi="Arial"/>
          <w:b/>
          <w:bCs/>
          <w:color w:val="2E86AB"/>
          <w:sz w:val="28"/>
          <w:szCs w:val="28"/>
        </w:rPr>
        <w:t xml:space="preserve">2.3 Node Classification vs Edge Classification</w:t>
      </w:r>
    </w:p>
    <w:p>
      <w:pPr>
        <w:spacing w:before="80" w:after="120"/>
      </w:pPr>
      <w:r>
        <w:rPr>
          <w:rFonts w:ascii="Arial" w:cs="Arial" w:eastAsia="Arial" w:hAnsi="Arial"/>
          <w:sz w:val="22"/>
          <w:szCs w:val="22"/>
        </w:rPr>
        <w:t xml:space="preserve">Our problem is node-level binary classification: for each node, predict P(fraud). This is the standard setup for the Elliptic dataset. Alternatively, one could do edge classification (is this transaction edge fraudulent?) — useful for detecting specific fraudulent transfers in a larger network.</w:t>
      </w:r>
    </w:p>
    <w:p>
      <w:pPr>
        <w:spacing w:before="0"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2E86AB"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INSIGHT</w:t>
            </w:r>
          </w:p>
        </w:tc>
        <w:tc>
          <w:tcPr>
            <w:tcW w:type="dxa" w:w="8960"/>
            <w:tcBorders>
              <w:top w:val="none" w:color="FFFFFF" w:sz="0"/>
              <w:left w:val="none" w:color="FFFFFF" w:sz="0"/>
              <w:bottom w:val="none" w:color="FFFFFF" w:sz="0"/>
              <w:right w:val="none" w:color="FFFFFF" w:sz="0"/>
            </w:tcBorders>
            <w:shd w:fill="EBF5FB" w:val="clear"/>
            <w:tcMar>
              <w:top w:type="dxa" w:w="80"/>
              <w:left w:type="dxa" w:w="200"/>
              <w:bottom w:type="dxa" w:w="80"/>
              <w:right w:type="dxa" w:w="120"/>
            </w:tcMar>
          </w:tcPr>
          <w:p>
            <w:r>
              <w:rPr>
                <w:rFonts w:ascii="Arial" w:cs="Arial" w:eastAsia="Arial" w:hAnsi="Arial"/>
                <w:i/>
                <w:iCs/>
                <w:color w:val="1A252F"/>
                <w:sz w:val="20"/>
                <w:szCs w:val="20"/>
              </w:rPr>
              <w:t xml:space="preserve">In the Elliptic graph, the node features alone give ~88% AUC. Adding the graph structure via GNN pushes it to ~92-95% AUC. The neighborhood topology encodes information that no per-node feature can capture.</w:t>
            </w:r>
          </w:p>
        </w:tc>
      </w:tr>
    </w:tbl>
    <w:p>
      <w:pPr>
        <w:spacing w:before="0" w:after="200"/>
      </w:pPr>
    </w:p>
    <w:p>
      <w:r>
        <w:br w:type="page"/>
      </w:r>
    </w:p>
    <w:p>
      <w:pPr>
        <w:pStyle w:val="Heading1"/>
        <w:pBdr>
          <w:bottom w:val="thick" w:color="1B4F72" w:sz="8" w:space="6"/>
        </w:pBdr>
        <w:spacing w:before="400" w:after="200"/>
      </w:pPr>
      <w:r>
        <w:rPr>
          <w:rFonts w:ascii="Arial" w:cs="Arial" w:eastAsia="Arial" w:hAnsi="Arial"/>
          <w:b/>
          <w:bCs/>
          <w:color w:val="1B4F72"/>
          <w:sz w:val="36"/>
          <w:szCs w:val="36"/>
        </w:rPr>
        <w:t xml:space="preserve">3. Graph Neural Networks: Deep Theory</w:t>
      </w:r>
    </w:p>
    <w:p>
      <w:pPr>
        <w:spacing w:before="0" w:after="60"/>
      </w:pPr>
    </w:p>
    <w:p>
      <w:pPr>
        <w:pStyle w:val="Heading2"/>
        <w:spacing w:before="300" w:after="140"/>
      </w:pPr>
      <w:r>
        <w:rPr>
          <w:rFonts w:ascii="Arial" w:cs="Arial" w:eastAsia="Arial" w:hAnsi="Arial"/>
          <w:b/>
          <w:bCs/>
          <w:color w:val="2E86AB"/>
          <w:sz w:val="28"/>
          <w:szCs w:val="28"/>
        </w:rPr>
        <w:t xml:space="preserve">3.1 The Core Idea: Message Passing</w:t>
      </w:r>
    </w:p>
    <w:p>
      <w:pPr>
        <w:spacing w:before="80" w:after="120"/>
      </w:pPr>
      <w:r>
        <w:rPr>
          <w:rFonts w:ascii="Arial" w:cs="Arial" w:eastAsia="Arial" w:hAnsi="Arial"/>
          <w:sz w:val="22"/>
          <w:szCs w:val="22"/>
        </w:rPr>
        <w:t xml:space="preserve">Every GNN is built on one idea: a node should update its representation by aggregating information from its neighbors. This is called the Message Passing Neural Network (MPNN) framework.</w:t>
      </w:r>
    </w:p>
    <w:p>
      <w:pPr>
        <w:spacing w:before="0" w:after="80"/>
      </w:pPr>
    </w:p>
    <w:p>
      <w:pPr>
        <w:spacing w:before="80" w:after="120"/>
      </w:pPr>
      <w:r>
        <w:rPr>
          <w:rFonts w:ascii="Arial" w:cs="Arial" w:eastAsia="Arial" w:hAnsi="Arial"/>
          <w:b/>
          <w:bCs/>
          <w:sz w:val="22"/>
          <w:szCs w:val="22"/>
        </w:rPr>
        <w:t xml:space="preserve">Informal intuition: </w:t>
      </w:r>
      <w:r>
        <w:rPr>
          <w:rFonts w:ascii="Arial" w:cs="Arial" w:eastAsia="Arial" w:hAnsi="Arial"/>
          <w:sz w:val="22"/>
          <w:szCs w:val="22"/>
        </w:rPr>
        <w:t xml:space="preserve">Imagine you are a transaction. You want to know if you are fraudulent. You look at your neighbors — the transactions you sent money to and received money from. If your neighbors have suspicious patterns, you are more likely to be suspicious too. Now imagine your neighbors do the same — they look at their neighbors. After several rounds of this, every node has a representation that encodes its entire local neighborhood.</w:t>
      </w:r>
    </w:p>
    <w:p>
      <w:pPr>
        <w:spacing w:before="0" w:after="120"/>
      </w:pPr>
    </w:p>
    <w:p>
      <w:pPr>
        <w:pStyle w:val="Heading3"/>
        <w:spacing w:before="220" w:after="100"/>
      </w:pPr>
      <w:r>
        <w:rPr>
          <w:rFonts w:ascii="Arial" w:cs="Arial" w:eastAsia="Arial" w:hAnsi="Arial"/>
          <w:b/>
          <w:bCs/>
          <w:color w:val="2C3E50"/>
          <w:sz w:val="24"/>
          <w:szCs w:val="24"/>
        </w:rPr>
        <w:t xml:space="preserve">3.1.1 The MPNN Framework (Formal)</w:t>
      </w:r>
    </w:p>
    <w:p>
      <w:pPr>
        <w:spacing w:before="80" w:after="120"/>
      </w:pPr>
      <w:r>
        <w:rPr>
          <w:rFonts w:ascii="Arial" w:cs="Arial" w:eastAsia="Arial" w:hAnsi="Arial"/>
          <w:sz w:val="22"/>
          <w:szCs w:val="22"/>
        </w:rPr>
        <w:t xml:space="preserve">At each layer l, every node v updates its representation via two steps:</w:t>
      </w:r>
    </w:p>
    <w:p>
      <w:pPr>
        <w:spacing w:before="0" w:after="80"/>
      </w:pPr>
    </w:p>
    <w:p>
      <w:pPr>
        <w:spacing w:before="80" w:after="120"/>
      </w:pPr>
      <w:r>
        <w:rPr>
          <w:rFonts w:ascii="Arial" w:cs="Arial" w:eastAsia="Arial" w:hAnsi="Arial"/>
          <w:b/>
          <w:bCs/>
          <w:sz w:val="22"/>
          <w:szCs w:val="22"/>
        </w:rPr>
        <w:t xml:space="preserve">Step 1 — Aggregation</w:t>
      </w:r>
      <w:r>
        <w:rPr>
          <w:rFonts w:ascii="Arial" w:cs="Arial" w:eastAsia="Arial" w:hAnsi="Arial"/>
          <w:sz w:val="22"/>
          <w:szCs w:val="22"/>
        </w:rPr>
        <w:t xml:space="preserve"> (collect messages from neighbors):</w:t>
      </w:r>
    </w:p>
    <w:p>
      <w:pPr>
        <w:pBdr>
          <w:left w:val="thick" w:color="2E86AB" w:sz="10" w:space="10"/>
        </w:pBdr>
        <w:shd w:fill="EBF5FB" w:val="clear"/>
        <w:spacing w:before="140" w:after="140"/>
        <w:ind w:left="720"/>
      </w:pPr>
      <w:r>
        <w:rPr>
          <w:rFonts w:ascii="Courier New" w:cs="Courier New" w:eastAsia="Courier New" w:hAnsi="Courier New"/>
          <w:b/>
          <w:bCs/>
          <w:color w:val="154360"/>
          <w:sz w:val="22"/>
          <w:szCs w:val="22"/>
        </w:rPr>
        <w:t xml:space="preserve">a_v^(l) = AGGREGATE^(l)  ({ h_u^(l-1) : u ∈ N(v) })</w:t>
      </w:r>
    </w:p>
    <w:p>
      <w:pPr>
        <w:spacing w:before="0" w:after="60"/>
      </w:pPr>
    </w:p>
    <w:p>
      <w:pPr>
        <w:spacing w:before="80" w:after="120"/>
      </w:pPr>
      <w:r>
        <w:rPr>
          <w:rFonts w:ascii="Arial" w:cs="Arial" w:eastAsia="Arial" w:hAnsi="Arial"/>
          <w:sz w:val="22"/>
          <w:szCs w:val="22"/>
        </w:rPr>
        <w:t xml:space="preserve">where </w:t>
      </w:r>
      <w:r>
        <w:rPr>
          <w:rFonts w:ascii="Courier New" w:cs="Courier New" w:eastAsia="Courier New" w:hAnsi="Courier New"/>
          <w:color w:val="C0392B"/>
          <w:sz w:val="20"/>
          <w:szCs w:val="20"/>
        </w:rPr>
        <w:t xml:space="preserve">N(v)</w:t>
      </w:r>
      <w:r>
        <w:rPr>
          <w:rFonts w:ascii="Arial" w:cs="Arial" w:eastAsia="Arial" w:hAnsi="Arial"/>
          <w:sz w:val="22"/>
          <w:szCs w:val="22"/>
        </w:rPr>
        <w:t xml:space="preserve"> is the set of neighbors of node v, and </w:t>
      </w:r>
      <w:r>
        <w:rPr>
          <w:rFonts w:ascii="Courier New" w:cs="Courier New" w:eastAsia="Courier New" w:hAnsi="Courier New"/>
          <w:color w:val="C0392B"/>
          <w:sz w:val="20"/>
          <w:szCs w:val="20"/>
        </w:rPr>
        <w:t xml:space="preserve">h_u^(l-1)</w:t>
      </w:r>
      <w:r>
        <w:rPr>
          <w:rFonts w:ascii="Arial" w:cs="Arial" w:eastAsia="Arial" w:hAnsi="Arial"/>
          <w:sz w:val="22"/>
          <w:szCs w:val="22"/>
        </w:rPr>
        <w:t xml:space="preserve"> is the representation of neighbor u from the previous layer.</w:t>
      </w:r>
    </w:p>
    <w:p>
      <w:pPr>
        <w:spacing w:before="0" w:after="100"/>
      </w:pPr>
    </w:p>
    <w:p>
      <w:pPr>
        <w:spacing w:before="80" w:after="120"/>
      </w:pPr>
      <w:r>
        <w:rPr>
          <w:rFonts w:ascii="Arial" w:cs="Arial" w:eastAsia="Arial" w:hAnsi="Arial"/>
          <w:b/>
          <w:bCs/>
          <w:sz w:val="22"/>
          <w:szCs w:val="22"/>
        </w:rPr>
        <w:t xml:space="preserve">Step 2 — Update</w:t>
      </w:r>
      <w:r>
        <w:rPr>
          <w:rFonts w:ascii="Arial" w:cs="Arial" w:eastAsia="Arial" w:hAnsi="Arial"/>
          <w:sz w:val="22"/>
          <w:szCs w:val="22"/>
        </w:rPr>
        <w:t xml:space="preserve"> (combine with own representation):</w:t>
      </w:r>
    </w:p>
    <w:p>
      <w:pPr>
        <w:pBdr>
          <w:left w:val="thick" w:color="2E86AB" w:sz="10" w:space="10"/>
        </w:pBdr>
        <w:shd w:fill="EBF5FB" w:val="clear"/>
        <w:spacing w:before="140" w:after="140"/>
        <w:ind w:left="720"/>
      </w:pPr>
      <w:r>
        <w:rPr>
          <w:rFonts w:ascii="Courier New" w:cs="Courier New" w:eastAsia="Courier New" w:hAnsi="Courier New"/>
          <w:b/>
          <w:bCs/>
          <w:color w:val="154360"/>
          <w:sz w:val="22"/>
          <w:szCs w:val="22"/>
        </w:rPr>
        <w:t xml:space="preserve">h_v^(l) = UPDATE^(l)  (h_v^(l-1),  a_v^(l))</w:t>
      </w:r>
    </w:p>
    <w:p>
      <w:pPr>
        <w:spacing w:before="0" w:after="60"/>
      </w:pPr>
    </w:p>
    <w:p>
      <w:pPr>
        <w:spacing w:before="80" w:after="120"/>
      </w:pPr>
      <w:r>
        <w:rPr>
          <w:rFonts w:ascii="Arial" w:cs="Arial" w:eastAsia="Arial" w:hAnsi="Arial"/>
          <w:sz w:val="22"/>
          <w:szCs w:val="22"/>
        </w:rPr>
        <w:t xml:space="preserve">After L layers, </w:t>
      </w:r>
      <w:r>
        <w:rPr>
          <w:rFonts w:ascii="Courier New" w:cs="Courier New" w:eastAsia="Courier New" w:hAnsi="Courier New"/>
          <w:color w:val="C0392B"/>
          <w:sz w:val="20"/>
          <w:szCs w:val="20"/>
        </w:rPr>
        <w:t xml:space="preserve">h_v^(L)</w:t>
      </w:r>
      <w:r>
        <w:rPr>
          <w:rFonts w:ascii="Arial" w:cs="Arial" w:eastAsia="Arial" w:hAnsi="Arial"/>
          <w:sz w:val="22"/>
          <w:szCs w:val="22"/>
        </w:rPr>
        <w:t xml:space="preserve"> encodes information from the </w:t>
      </w:r>
      <w:r>
        <w:rPr>
          <w:rFonts w:ascii="Arial" w:cs="Arial" w:eastAsia="Arial" w:hAnsi="Arial"/>
          <w:b/>
          <w:bCs/>
          <w:sz w:val="22"/>
          <w:szCs w:val="22"/>
        </w:rPr>
        <w:t xml:space="preserve">L-hop neighborhood</w:t>
      </w:r>
      <w:r>
        <w:rPr>
          <w:rFonts w:ascii="Arial" w:cs="Arial" w:eastAsia="Arial" w:hAnsi="Arial"/>
          <w:sz w:val="22"/>
          <w:szCs w:val="22"/>
        </w:rPr>
        <w:t xml:space="preserve"> of node v. With L=3 layers, each node sees 3 hops = its 3rd-degree connections.</w:t>
      </w:r>
    </w:p>
    <w:p>
      <w:pPr>
        <w:spacing w:before="0"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6C3483"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MATH</w:t>
            </w:r>
          </w:p>
        </w:tc>
        <w:tc>
          <w:tcPr>
            <w:tcW w:type="dxa" w:w="8960"/>
            <w:tcBorders>
              <w:top w:val="none" w:color="FFFFFF" w:sz="0"/>
              <w:left w:val="none" w:color="FFFFFF" w:sz="0"/>
              <w:bottom w:val="none" w:color="FFFFFF" w:sz="0"/>
              <w:right w:val="none" w:color="FFFFFF" w:sz="0"/>
            </w:tcBorders>
            <w:shd w:fill="F5EEF8" w:val="clear"/>
            <w:tcMar>
              <w:top w:type="dxa" w:w="80"/>
              <w:left w:type="dxa" w:w="200"/>
              <w:bottom w:type="dxa" w:w="80"/>
              <w:right w:type="dxa" w:w="120"/>
            </w:tcMar>
          </w:tcPr>
          <w:p>
            <w:r>
              <w:rPr>
                <w:rFonts w:ascii="Arial" w:cs="Arial" w:eastAsia="Arial" w:hAnsi="Arial"/>
                <w:i/>
                <w:iCs/>
                <w:color w:val="1A252F"/>
                <w:sz w:val="20"/>
                <w:szCs w:val="20"/>
              </w:rPr>
              <w:t xml:space="preserve">The key parameter is L (number of layers). With L=1: node sees only direct neighbors. L=2: sees neighbors-of-neighbors. L=3: sees 3 hops out. In a fraud ring of diameter 3, L=3 means every node in the ring can influence every other node's representation.</w:t>
            </w:r>
          </w:p>
        </w:tc>
      </w:tr>
    </w:tbl>
    <w:p>
      <w:pPr>
        <w:spacing w:before="0" w:after="180"/>
      </w:pPr>
    </w:p>
    <w:p>
      <w:pPr>
        <w:pStyle w:val="Heading2"/>
        <w:spacing w:before="300" w:after="140"/>
      </w:pPr>
      <w:r>
        <w:rPr>
          <w:rFonts w:ascii="Arial" w:cs="Arial" w:eastAsia="Arial" w:hAnsi="Arial"/>
          <w:b/>
          <w:bCs/>
          <w:color w:val="2E86AB"/>
          <w:sz w:val="28"/>
          <w:szCs w:val="28"/>
        </w:rPr>
        <w:t xml:space="preserve">3.2 GraphSAGE: Scalable Inductive Learning</w:t>
      </w:r>
    </w:p>
    <w:p>
      <w:pPr>
        <w:spacing w:before="80" w:after="120"/>
      </w:pPr>
      <w:r>
        <w:rPr>
          <w:rFonts w:ascii="Arial" w:cs="Arial" w:eastAsia="Arial" w:hAnsi="Arial"/>
          <w:b/>
          <w:bCs/>
          <w:sz w:val="22"/>
          <w:szCs w:val="22"/>
        </w:rPr>
        <w:t xml:space="preserve">GraphSAGE</w:t>
      </w:r>
      <w:r>
        <w:rPr>
          <w:rFonts w:ascii="Arial" w:cs="Arial" w:eastAsia="Arial" w:hAnsi="Arial"/>
          <w:sz w:val="22"/>
          <w:szCs w:val="22"/>
        </w:rPr>
        <w:t xml:space="preserve"> (Hamilton et al., 2017 — SAmple and agGrEgate) was designed to handle graphs too large to fit in memory. It introduces two key innovations: neighborhood sampling and learnable aggregation functions.</w:t>
      </w:r>
    </w:p>
    <w:p>
      <w:pPr>
        <w:spacing w:before="0" w:after="100"/>
      </w:pPr>
    </w:p>
    <w:p>
      <w:pPr>
        <w:pStyle w:val="Heading3"/>
        <w:spacing w:before="220" w:after="100"/>
      </w:pPr>
      <w:r>
        <w:rPr>
          <w:rFonts w:ascii="Arial" w:cs="Arial" w:eastAsia="Arial" w:hAnsi="Arial"/>
          <w:b/>
          <w:bCs/>
          <w:color w:val="2C3E50"/>
          <w:sz w:val="24"/>
          <w:szCs w:val="24"/>
        </w:rPr>
        <w:t xml:space="preserve">3.2.1 The GraphSAGE Update Rule</w:t>
      </w:r>
    </w:p>
    <w:p>
      <w:pPr>
        <w:pBdr>
          <w:left w:val="thick" w:color="2E86AB" w:sz="10" w:space="10"/>
        </w:pBdr>
        <w:shd w:fill="EBF5FB" w:val="clear"/>
        <w:spacing w:before="140" w:after="140"/>
        <w:ind w:left="720"/>
      </w:pPr>
      <w:r>
        <w:rPr>
          <w:rFonts w:ascii="Courier New" w:cs="Courier New" w:eastAsia="Courier New" w:hAnsi="Courier New"/>
          <w:b/>
          <w:bCs/>
          <w:color w:val="154360"/>
          <w:sz w:val="22"/>
          <w:szCs w:val="22"/>
        </w:rPr>
        <w:t xml:space="preserve">h_N(v)^(l)  =  AGGREGATE_l ({ h_u^(l-1) : u ∈ Sample(N(v), k) })</w:t>
      </w:r>
    </w:p>
    <w:p>
      <w:pPr>
        <w:pBdr>
          <w:left w:val="thick" w:color="2E86AB" w:sz="10" w:space="10"/>
        </w:pBdr>
        <w:shd w:fill="EBF5FB" w:val="clear"/>
        <w:spacing w:before="140" w:after="140"/>
        <w:ind w:left="720"/>
      </w:pPr>
      <w:r>
        <w:rPr>
          <w:rFonts w:ascii="Courier New" w:cs="Courier New" w:eastAsia="Courier New" w:hAnsi="Courier New"/>
          <w:b/>
          <w:bCs/>
          <w:color w:val="154360"/>
          <w:sz w:val="22"/>
          <w:szCs w:val="22"/>
        </w:rPr>
        <w:t xml:space="preserve">h_v^(l)     =  σ( W^(l) · CONCAT[ h_v^(l-1),  h_N(v)^(l) ] )</w:t>
      </w:r>
    </w:p>
    <w:p>
      <w:pPr>
        <w:spacing w:before="0" w:after="80"/>
      </w:pPr>
    </w:p>
    <w:p>
      <w:pPr>
        <w:spacing w:before="80" w:after="120"/>
      </w:pPr>
      <w:r>
        <w:rPr>
          <w:rFonts w:ascii="Arial" w:cs="Arial" w:eastAsia="Arial" w:hAnsi="Arial"/>
          <w:sz w:val="22"/>
          <w:szCs w:val="22"/>
        </w:rPr>
        <w:t xml:space="preserve">Key components: </w:t>
      </w:r>
      <w:r>
        <w:rPr>
          <w:rFonts w:ascii="Courier New" w:cs="Courier New" w:eastAsia="Courier New" w:hAnsi="Courier New"/>
          <w:color w:val="C0392B"/>
          <w:sz w:val="20"/>
          <w:szCs w:val="20"/>
        </w:rPr>
        <w:t xml:space="preserve">Sample(N(v), k)</w:t>
      </w:r>
      <w:r>
        <w:rPr>
          <w:rFonts w:ascii="Arial" w:cs="Arial" w:eastAsia="Arial" w:hAnsi="Arial"/>
          <w:sz w:val="22"/>
          <w:szCs w:val="22"/>
        </w:rPr>
        <w:t xml:space="preserve"> samples k neighbors (not all of them — this is what makes it scalable). </w:t>
      </w:r>
      <w:r>
        <w:rPr>
          <w:rFonts w:ascii="Courier New" w:cs="Courier New" w:eastAsia="Courier New" w:hAnsi="Courier New"/>
          <w:color w:val="C0392B"/>
          <w:sz w:val="20"/>
          <w:szCs w:val="20"/>
        </w:rPr>
        <w:t xml:space="preserve">W^(l)</w:t>
      </w:r>
      <w:r>
        <w:rPr>
          <w:rFonts w:ascii="Arial" w:cs="Arial" w:eastAsia="Arial" w:hAnsi="Arial"/>
          <w:sz w:val="22"/>
          <w:szCs w:val="22"/>
        </w:rPr>
        <w:t xml:space="preserve"> is a learned weight matrix. </w:t>
      </w:r>
      <w:r>
        <w:rPr>
          <w:rFonts w:ascii="Courier New" w:cs="Courier New" w:eastAsia="Courier New" w:hAnsi="Courier New"/>
          <w:color w:val="C0392B"/>
          <w:sz w:val="20"/>
          <w:szCs w:val="20"/>
        </w:rPr>
        <w:t xml:space="preserve">CONCAT</w:t>
      </w:r>
      <w:r>
        <w:rPr>
          <w:rFonts w:ascii="Arial" w:cs="Arial" w:eastAsia="Arial" w:hAnsi="Arial"/>
          <w:sz w:val="22"/>
          <w:szCs w:val="22"/>
        </w:rPr>
        <w:t xml:space="preserve"> preserves both the node's own history and the aggregated neighborhood signal. </w:t>
      </w:r>
      <w:r>
        <w:rPr>
          <w:rFonts w:ascii="Courier New" w:cs="Courier New" w:eastAsia="Courier New" w:hAnsi="Courier New"/>
          <w:color w:val="C0392B"/>
          <w:sz w:val="20"/>
          <w:szCs w:val="20"/>
        </w:rPr>
        <w:t xml:space="preserve">σ</w:t>
      </w:r>
      <w:r>
        <w:rPr>
          <w:rFonts w:ascii="Arial" w:cs="Arial" w:eastAsia="Arial" w:hAnsi="Arial"/>
          <w:sz w:val="22"/>
          <w:szCs w:val="22"/>
        </w:rPr>
        <w:t xml:space="preserve"> is a non-linear activation (ReLU).</w:t>
      </w:r>
    </w:p>
    <w:p>
      <w:pPr>
        <w:spacing w:before="0" w:after="120"/>
      </w:pPr>
    </w:p>
    <w:p>
      <w:pPr>
        <w:pStyle w:val="Heading3"/>
        <w:spacing w:before="220" w:after="100"/>
      </w:pPr>
      <w:r>
        <w:rPr>
          <w:rFonts w:ascii="Arial" w:cs="Arial" w:eastAsia="Arial" w:hAnsi="Arial"/>
          <w:b/>
          <w:bCs/>
          <w:color w:val="2C3E50"/>
          <w:sz w:val="24"/>
          <w:szCs w:val="24"/>
        </w:rPr>
        <w:t xml:space="preserve">3.2.2 Aggregation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500"/>
        <w:gridCol w:w="2560"/>
      </w:tblGrid>
      <w:tr>
        <w:trPr>
          <w:tblHeader/>
        </w:trPr>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Aggregator</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Behavior</w:t>
            </w:r>
          </w:p>
        </w:tc>
        <w:tc>
          <w:tcPr>
            <w:tcW w:type="dxa" w:w="2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Mean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h_N = mean({h_u})</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Averages all neighbor features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Most common; robust to node degree variation</w:t>
            </w:r>
          </w:p>
        </w:tc>
      </w:tr>
      <w:tr>
        <w:tc>
          <w:tcPr>
            <w:tcW w:type="dxa" w:w="15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Max-Pooling</w:t>
            </w:r>
          </w:p>
        </w:tc>
        <w:tc>
          <w:tcPr>
            <w:tcW w:type="dxa" w:w="28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h_N = max({ReLU(W·h_u)})</w:t>
            </w:r>
          </w:p>
        </w:tc>
        <w:tc>
          <w:tcPr>
            <w:tcW w:type="dxa" w:w="25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Takes element-wise max after MLP</w:t>
            </w:r>
          </w:p>
        </w:tc>
        <w:tc>
          <w:tcPr>
            <w:tcW w:type="dxa" w:w="256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Captures most extreme neighborhood feature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LSTM</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h_N = LSTM({h_u})</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Sequential processing of neighbors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When neighbor order carries meaning</w:t>
            </w:r>
          </w:p>
        </w:tc>
      </w:tr>
    </w:tbl>
    <w:p>
      <w:pPr>
        <w:spacing w:before="0" w:after="160"/>
      </w:pPr>
    </w:p>
    <w:p>
      <w:pPr>
        <w:pStyle w:val="Heading3"/>
        <w:spacing w:before="220" w:after="100"/>
      </w:pPr>
      <w:r>
        <w:rPr>
          <w:rFonts w:ascii="Arial" w:cs="Arial" w:eastAsia="Arial" w:hAnsi="Arial"/>
          <w:b/>
          <w:bCs/>
          <w:color w:val="2C3E50"/>
          <w:sz w:val="24"/>
          <w:szCs w:val="24"/>
        </w:rPr>
        <w:t xml:space="preserve">3.2.3 Why GraphSAGE Is Inductive</w:t>
      </w:r>
    </w:p>
    <w:p>
      <w:pPr>
        <w:spacing w:before="80" w:after="120"/>
      </w:pPr>
      <w:r>
        <w:rPr>
          <w:rFonts w:ascii="Arial" w:cs="Arial" w:eastAsia="Arial" w:hAnsi="Arial"/>
          <w:b/>
          <w:bCs/>
          <w:sz w:val="22"/>
          <w:szCs w:val="22"/>
        </w:rPr>
        <w:t xml:space="preserve">Transductive</w:t>
      </w:r>
      <w:r>
        <w:rPr>
          <w:rFonts w:ascii="Arial" w:cs="Arial" w:eastAsia="Arial" w:hAnsi="Arial"/>
          <w:sz w:val="22"/>
          <w:szCs w:val="22"/>
        </w:rPr>
        <w:t xml:space="preserve"> models (e.g., spectral GCN) must be retrained when new nodes are added. </w:t>
      </w:r>
      <w:r>
        <w:rPr>
          <w:rFonts w:ascii="Arial" w:cs="Arial" w:eastAsia="Arial" w:hAnsi="Arial"/>
          <w:b/>
          <w:bCs/>
          <w:sz w:val="22"/>
          <w:szCs w:val="22"/>
        </w:rPr>
        <w:t xml:space="preserve">GraphSAGE is inductive</w:t>
      </w:r>
      <w:r>
        <w:rPr>
          <w:rFonts w:ascii="Arial" w:cs="Arial" w:eastAsia="Arial" w:hAnsi="Arial"/>
          <w:sz w:val="22"/>
          <w:szCs w:val="22"/>
        </w:rPr>
        <w:t xml:space="preserve">: it learns </w:t>
      </w:r>
      <w:r>
        <w:rPr>
          <w:rFonts w:ascii="Arial" w:cs="Arial" w:eastAsia="Arial" w:hAnsi="Arial"/>
          <w:i/>
          <w:iCs/>
          <w:sz w:val="22"/>
          <w:szCs w:val="22"/>
        </w:rPr>
        <w:t xml:space="preserve">aggregation functions</w:t>
      </w:r>
      <w:r>
        <w:rPr>
          <w:rFonts w:ascii="Arial" w:cs="Arial" w:eastAsia="Arial" w:hAnsi="Arial"/>
          <w:sz w:val="22"/>
          <w:szCs w:val="22"/>
        </w:rPr>
        <w:t xml:space="preserve">, not per-node embeddings. So when a new Bitcoin transaction arrives, GraphSAGE can immediately generate its embedding by aggregating its neighbors — no retraining required. This is critical for a live fraud detection system where new transactions arrive every second.</w:t>
      </w:r>
    </w:p>
    <w:p>
      <w:pPr>
        <w:spacing w:before="0" w:after="180"/>
      </w:pPr>
    </w:p>
    <w:p>
      <w:pPr>
        <w:pStyle w:val="Heading2"/>
        <w:spacing w:before="300" w:after="140"/>
      </w:pPr>
      <w:r>
        <w:rPr>
          <w:rFonts w:ascii="Arial" w:cs="Arial" w:eastAsia="Arial" w:hAnsi="Arial"/>
          <w:b/>
          <w:bCs/>
          <w:color w:val="2E86AB"/>
          <w:sz w:val="28"/>
          <w:szCs w:val="28"/>
        </w:rPr>
        <w:t xml:space="preserve">3.3 Graph Attention Network (GAT)</w:t>
      </w:r>
    </w:p>
    <w:p>
      <w:pPr>
        <w:spacing w:before="80" w:after="120"/>
      </w:pPr>
      <w:r>
        <w:rPr>
          <w:rFonts w:ascii="Arial" w:cs="Arial" w:eastAsia="Arial" w:hAnsi="Arial"/>
          <w:b/>
          <w:bCs/>
          <w:sz w:val="22"/>
          <w:szCs w:val="22"/>
        </w:rPr>
        <w:t xml:space="preserve">GAT</w:t>
      </w:r>
      <w:r>
        <w:rPr>
          <w:rFonts w:ascii="Arial" w:cs="Arial" w:eastAsia="Arial" w:hAnsi="Arial"/>
          <w:sz w:val="22"/>
          <w:szCs w:val="22"/>
        </w:rPr>
        <w:t xml:space="preserve"> (Velickovic et al., 2018) replaces fixed aggregation with learned attention weights. Instead of treating all neighbors equally, GAT learns which neighbors to pay attention to — crucial for fraud detection where most of a fraudster's neighbors may be legitimate.</w:t>
      </w:r>
    </w:p>
    <w:p>
      <w:pPr>
        <w:spacing w:before="0" w:after="100"/>
      </w:pPr>
    </w:p>
    <w:p>
      <w:pPr>
        <w:pStyle w:val="Heading3"/>
        <w:spacing w:before="220" w:after="100"/>
      </w:pPr>
      <w:r>
        <w:rPr>
          <w:rFonts w:ascii="Arial" w:cs="Arial" w:eastAsia="Arial" w:hAnsi="Arial"/>
          <w:b/>
          <w:bCs/>
          <w:color w:val="2C3E50"/>
          <w:sz w:val="24"/>
          <w:szCs w:val="24"/>
        </w:rPr>
        <w:t xml:space="preserve">3.3.1 Attention Mechanism</w:t>
      </w:r>
    </w:p>
    <w:p>
      <w:pPr>
        <w:spacing w:before="80" w:after="120"/>
      </w:pPr>
      <w:r>
        <w:rPr>
          <w:rFonts w:ascii="Arial" w:cs="Arial" w:eastAsia="Arial" w:hAnsi="Arial"/>
          <w:sz w:val="22"/>
          <w:szCs w:val="22"/>
        </w:rPr>
        <w:t xml:space="preserve">The attention coefficient between node v and neighbor u is:</w:t>
      </w:r>
    </w:p>
    <w:p>
      <w:pPr>
        <w:pBdr>
          <w:left w:val="thick" w:color="2E86AB" w:sz="10" w:space="10"/>
        </w:pBdr>
        <w:shd w:fill="EBF5FB" w:val="clear"/>
        <w:spacing w:before="140" w:after="140"/>
        <w:ind w:left="720"/>
      </w:pPr>
      <w:r>
        <w:rPr>
          <w:rFonts w:ascii="Courier New" w:cs="Courier New" w:eastAsia="Courier New" w:hAnsi="Courier New"/>
          <w:b/>
          <w:bCs/>
          <w:color w:val="154360"/>
          <w:sz w:val="22"/>
          <w:szCs w:val="22"/>
        </w:rPr>
        <w:t xml:space="preserve">e_vu  =  LeakyReLU( a^T · [ W·h_v  ||  W·h_u ] )</w:t>
      </w:r>
    </w:p>
    <w:p>
      <w:pPr>
        <w:spacing w:before="0" w:after="60"/>
      </w:pPr>
    </w:p>
    <w:p>
      <w:pPr>
        <w:spacing w:before="80" w:after="120"/>
      </w:pPr>
      <w:r>
        <w:rPr>
          <w:rFonts w:ascii="Arial" w:cs="Arial" w:eastAsia="Arial" w:hAnsi="Arial"/>
          <w:sz w:val="22"/>
          <w:szCs w:val="22"/>
        </w:rPr>
        <w:t xml:space="preserve">where a is a learnable attention vector, W is a weight matrix, and || denotes concatenation. This raw score is then normalized across all neighbors:</w:t>
      </w:r>
    </w:p>
    <w:p>
      <w:pPr>
        <w:pBdr>
          <w:left w:val="thick" w:color="2E86AB" w:sz="10" w:space="10"/>
        </w:pBdr>
        <w:shd w:fill="EBF5FB" w:val="clear"/>
        <w:spacing w:before="140" w:after="140"/>
        <w:ind w:left="720"/>
      </w:pPr>
      <w:r>
        <w:rPr>
          <w:rFonts w:ascii="Courier New" w:cs="Courier New" w:eastAsia="Courier New" w:hAnsi="Courier New"/>
          <w:b/>
          <w:bCs/>
          <w:color w:val="154360"/>
          <w:sz w:val="22"/>
          <w:szCs w:val="22"/>
        </w:rPr>
        <w:t xml:space="preserve">α_vu  =  softmax_u(e_vu)  =  exp(e_vu) / Σ_{k∈N(v)} exp(e_vk)</w:t>
      </w:r>
    </w:p>
    <w:p>
      <w:pPr>
        <w:spacing w:before="0" w:after="60"/>
      </w:pPr>
    </w:p>
    <w:p>
      <w:pPr>
        <w:spacing w:before="80" w:after="120"/>
      </w:pPr>
      <w:r>
        <w:rPr>
          <w:rFonts w:ascii="Arial" w:cs="Arial" w:eastAsia="Arial" w:hAnsi="Arial"/>
          <w:sz w:val="22"/>
          <w:szCs w:val="22"/>
        </w:rPr>
        <w:t xml:space="preserve">The final update aggregates neighbors weighted by their attention scores:</w:t>
      </w:r>
    </w:p>
    <w:p>
      <w:pPr>
        <w:pBdr>
          <w:left w:val="thick" w:color="2E86AB" w:sz="10" w:space="10"/>
        </w:pBdr>
        <w:shd w:fill="EBF5FB" w:val="clear"/>
        <w:spacing w:before="140" w:after="140"/>
        <w:ind w:left="720"/>
      </w:pPr>
      <w:r>
        <w:rPr>
          <w:rFonts w:ascii="Courier New" w:cs="Courier New" w:eastAsia="Courier New" w:hAnsi="Courier New"/>
          <w:b/>
          <w:bCs/>
          <w:color w:val="154360"/>
          <w:sz w:val="22"/>
          <w:szCs w:val="22"/>
        </w:rPr>
        <w:t xml:space="preserve">h_v^(l)  =  σ( Σ_{u∈N(v)} α_vu · W·h_u^(l-1) )</w:t>
      </w:r>
    </w:p>
    <w:p>
      <w:pPr>
        <w:spacing w:before="0" w:after="120"/>
      </w:pPr>
    </w:p>
    <w:p>
      <w:pPr>
        <w:pStyle w:val="Heading3"/>
        <w:spacing w:before="220" w:after="100"/>
      </w:pPr>
      <w:r>
        <w:rPr>
          <w:rFonts w:ascii="Arial" w:cs="Arial" w:eastAsia="Arial" w:hAnsi="Arial"/>
          <w:b/>
          <w:bCs/>
          <w:color w:val="2C3E50"/>
          <w:sz w:val="24"/>
          <w:szCs w:val="24"/>
        </w:rPr>
        <w:t xml:space="preserve">3.3.2 Multi-Head Attention</w:t>
      </w:r>
    </w:p>
    <w:p>
      <w:pPr>
        <w:spacing w:before="80" w:after="120"/>
      </w:pPr>
      <w:r>
        <w:rPr>
          <w:rFonts w:ascii="Arial" w:cs="Arial" w:eastAsia="Arial" w:hAnsi="Arial"/>
          <w:sz w:val="22"/>
          <w:szCs w:val="22"/>
        </w:rPr>
        <w:t xml:space="preserve">GAT uses K independent attention heads. Each head learns different attention patterns — one might focus on high-value transactions, another on temporal patterns. Their outputs are concatenated (hidden layers) or averaged (final layer):</w:t>
      </w:r>
    </w:p>
    <w:p>
      <w:pPr>
        <w:pBdr>
          <w:left w:val="thick" w:color="2E86AB" w:sz="10" w:space="10"/>
        </w:pBdr>
        <w:shd w:fill="EBF5FB" w:val="clear"/>
        <w:spacing w:before="140" w:after="140"/>
        <w:ind w:left="720"/>
      </w:pPr>
      <w:r>
        <w:rPr>
          <w:rFonts w:ascii="Courier New" w:cs="Courier New" w:eastAsia="Courier New" w:hAnsi="Courier New"/>
          <w:b/>
          <w:bCs/>
          <w:color w:val="154360"/>
          <w:sz w:val="22"/>
          <w:szCs w:val="22"/>
        </w:rPr>
        <w:t xml:space="preserve">h_v^(l)  =  ||_{k=1}^{K}  σ( Σ_{u∈N(v)} α_vu^k · W^k · h_u^(l-1) )   [concat, hidden]</w:t>
      </w:r>
    </w:p>
    <w:p>
      <w:pPr>
        <w:pBdr>
          <w:left w:val="thick" w:color="2E86AB" w:sz="10" w:space="10"/>
        </w:pBdr>
        <w:shd w:fill="EBF5FB" w:val="clear"/>
        <w:spacing w:before="140" w:after="140"/>
        <w:ind w:left="720"/>
      </w:pPr>
      <w:r>
        <w:rPr>
          <w:rFonts w:ascii="Courier New" w:cs="Courier New" w:eastAsia="Courier New" w:hAnsi="Courier New"/>
          <w:b/>
          <w:bCs/>
          <w:color w:val="154360"/>
          <w:sz w:val="22"/>
          <w:szCs w:val="22"/>
        </w:rPr>
        <w:t xml:space="preserve">h_v^(l)  =  σ( (1/K) Σ_{k=1}^{K} Σ_{u∈N(v)} α_vu^k · W^k · h_u^(l-1) )  [avg, final]</w:t>
      </w:r>
    </w:p>
    <w:p>
      <w:pPr>
        <w:spacing w:before="0" w:after="120"/>
      </w:pPr>
    </w:p>
    <w:p>
      <w:pPr>
        <w:pStyle w:val="Heading3"/>
        <w:spacing w:before="220" w:after="100"/>
      </w:pPr>
      <w:r>
        <w:rPr>
          <w:rFonts w:ascii="Arial" w:cs="Arial" w:eastAsia="Arial" w:hAnsi="Arial"/>
          <w:b/>
          <w:bCs/>
          <w:color w:val="2C3E50"/>
          <w:sz w:val="24"/>
          <w:szCs w:val="24"/>
        </w:rPr>
        <w:t xml:space="preserve">3.3.3 Why GAT Is Better for Fraud Detection</w:t>
      </w:r>
    </w:p>
    <w:p>
      <w:pPr>
        <w:spacing w:before="80" w:after="120"/>
      </w:pPr>
      <w:r>
        <w:rPr>
          <w:rFonts w:ascii="Arial" w:cs="Arial" w:eastAsia="Arial" w:hAnsi="Arial"/>
          <w:sz w:val="22"/>
          <w:szCs w:val="22"/>
        </w:rPr>
        <w:t xml:space="preserve">In a fraud ring, a fraudulent node is connected to both other fraudulent nodes </w:t>
      </w:r>
      <w:r>
        <w:rPr>
          <w:rFonts w:ascii="Arial" w:cs="Arial" w:eastAsia="Arial" w:hAnsi="Arial"/>
          <w:b/>
          <w:bCs/>
          <w:color w:val="C0392B"/>
          <w:sz w:val="22"/>
          <w:szCs w:val="22"/>
        </w:rPr>
        <w:t xml:space="preserve">(relevant)</w:t>
      </w:r>
      <w:r>
        <w:rPr>
          <w:rFonts w:ascii="Arial" w:cs="Arial" w:eastAsia="Arial" w:hAnsi="Arial"/>
          <w:sz w:val="22"/>
          <w:szCs w:val="22"/>
        </w:rPr>
        <w:t xml:space="preserve"> and innocent legitimate nodes </w:t>
      </w:r>
      <w:r>
        <w:rPr>
          <w:rFonts w:ascii="Arial" w:cs="Arial" w:eastAsia="Arial" w:hAnsi="Arial"/>
          <w:b/>
          <w:bCs/>
          <w:color w:val="1A5276"/>
          <w:sz w:val="22"/>
          <w:szCs w:val="22"/>
        </w:rPr>
        <w:t xml:space="preserve">(noise)</w:t>
      </w:r>
      <w:r>
        <w:rPr>
          <w:rFonts w:ascii="Arial" w:cs="Arial" w:eastAsia="Arial" w:hAnsi="Arial"/>
          <w:sz w:val="22"/>
          <w:szCs w:val="22"/>
        </w:rPr>
        <w:t xml:space="preserve">. GraphSAGE's mean aggregator dilutes the fraud signal with noise from legitimate neighbors. GAT learns to assign high attention to the fraudulent connections and low attention to the legitimate ones, effectively </w:t>
      </w:r>
      <w:r>
        <w:rPr>
          <w:rFonts w:ascii="Arial" w:cs="Arial" w:eastAsia="Arial" w:hAnsi="Arial"/>
          <w:b/>
          <w:bCs/>
          <w:sz w:val="22"/>
          <w:szCs w:val="22"/>
        </w:rPr>
        <w:t xml:space="preserve">filtering out the noise</w:t>
      </w:r>
      <w:r>
        <w:rPr>
          <w:rFonts w:ascii="Arial" w:cs="Arial" w:eastAsia="Arial" w:hAnsi="Arial"/>
          <w:sz w:val="22"/>
          <w:szCs w:val="22"/>
        </w:rPr>
        <w:t xml:space="preserve"> and amplifying the fraud signal.</w:t>
      </w:r>
    </w:p>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GraphSAGE</w:t>
            </w:r>
          </w:p>
        </w:tc>
        <w:tc>
          <w:tcPr>
            <w:tcW w:type="dxa" w:w="36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GAT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Aggregation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Fixed (mean/max/LSTM)</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Learned attention weights</w:t>
            </w:r>
          </w:p>
        </w:tc>
      </w:tr>
      <w:tr>
        <w:tc>
          <w:tcPr>
            <w:tcW w:type="dxa" w:w="22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Neighbor weighting</w:t>
            </w:r>
          </w:p>
        </w:tc>
        <w:tc>
          <w:tcPr>
            <w:tcW w:type="dxa" w:w="35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Equal or degree-based</w:t>
            </w:r>
          </w:p>
        </w:tc>
        <w:tc>
          <w:tcPr>
            <w:tcW w:type="dxa" w:w="366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Content-dependent (adaptive)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Parameters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Fewer (faster)</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More (K attention heads × W^k)</w:t>
            </w:r>
          </w:p>
        </w:tc>
      </w:tr>
      <w:tr>
        <w:tc>
          <w:tcPr>
            <w:tcW w:type="dxa" w:w="22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Scalability</w:t>
            </w:r>
          </w:p>
        </w:tc>
        <w:tc>
          <w:tcPr>
            <w:tcW w:type="dxa" w:w="35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Excellent (NeighborLoader)</w:t>
            </w:r>
          </w:p>
        </w:tc>
        <w:tc>
          <w:tcPr>
            <w:tcW w:type="dxa" w:w="366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Good (slightly heavier)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Noise robustness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Moderate</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 (attends away from noise)</w:t>
            </w:r>
          </w:p>
        </w:tc>
      </w:tr>
      <w:tr>
        <w:tc>
          <w:tcPr>
            <w:tcW w:type="dxa" w:w="22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Best for</w:t>
            </w:r>
          </w:p>
        </w:tc>
        <w:tc>
          <w:tcPr>
            <w:tcW w:type="dxa" w:w="35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Large graphs, fast inference</w:t>
            </w:r>
          </w:p>
        </w:tc>
        <w:tc>
          <w:tcPr>
            <w:tcW w:type="dxa" w:w="366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Graphs with noisy neighborhoods</w:t>
            </w:r>
          </w:p>
        </w:tc>
      </w:tr>
    </w:tbl>
    <w:p>
      <w:pPr>
        <w:spacing w:before="0" w:after="200"/>
      </w:pPr>
    </w:p>
    <w:p>
      <w:r>
        <w:br w:type="page"/>
      </w:r>
    </w:p>
    <w:p>
      <w:pPr>
        <w:pStyle w:val="Heading2"/>
        <w:spacing w:before="300" w:after="140"/>
      </w:pPr>
      <w:r>
        <w:rPr>
          <w:rFonts w:ascii="Arial" w:cs="Arial" w:eastAsia="Arial" w:hAnsi="Arial"/>
          <w:b/>
          <w:bCs/>
          <w:color w:val="2E86AB"/>
          <w:sz w:val="28"/>
          <w:szCs w:val="28"/>
        </w:rPr>
        <w:t xml:space="preserve">3.4 JumpingKnowledge: Multi-Scale Representations</w:t>
      </w:r>
    </w:p>
    <w:p>
      <w:pPr>
        <w:spacing w:before="80" w:after="120"/>
      </w:pPr>
      <w:r>
        <w:rPr>
          <w:rFonts w:ascii="Arial" w:cs="Arial" w:eastAsia="Arial" w:hAnsi="Arial"/>
          <w:sz w:val="22"/>
          <w:szCs w:val="22"/>
        </w:rPr>
        <w:t xml:space="preserve">One subtle but powerful technique in our implementation is </w:t>
      </w:r>
      <w:r>
        <w:rPr>
          <w:rFonts w:ascii="Arial" w:cs="Arial" w:eastAsia="Arial" w:hAnsi="Arial"/>
          <w:b/>
          <w:bCs/>
          <w:sz w:val="22"/>
          <w:szCs w:val="22"/>
        </w:rPr>
        <w:t xml:space="preserve">JumpingKnowledge (JK)</w:t>
      </w:r>
      <w:r>
        <w:rPr>
          <w:rFonts w:ascii="Arial" w:cs="Arial" w:eastAsia="Arial" w:hAnsi="Arial"/>
          <w:sz w:val="22"/>
          <w:szCs w:val="22"/>
        </w:rPr>
        <w:t xml:space="preserve"> (Xu et al., 2018). In standard deep GNNs, the representation at layer L only reflects the L-hop neighborhood. But different nodes benefit from different neighborhood sizes — a hub node in a fraud ring is best identified from far-range context, while a leaf node is better characterized by its immediate neighbors.</w:t>
      </w:r>
    </w:p>
    <w:p>
      <w:pPr>
        <w:spacing w:before="0" w:after="80"/>
      </w:pPr>
    </w:p>
    <w:p>
      <w:pPr>
        <w:spacing w:before="80" w:after="120"/>
      </w:pPr>
      <w:r>
        <w:rPr>
          <w:rFonts w:ascii="Arial" w:cs="Arial" w:eastAsia="Arial" w:hAnsi="Arial"/>
          <w:sz w:val="22"/>
          <w:szCs w:val="22"/>
        </w:rPr>
        <w:t xml:space="preserve">JK concatenates the output of every layer:</w:t>
      </w:r>
    </w:p>
    <w:p>
      <w:pPr>
        <w:pBdr>
          <w:left w:val="thick" w:color="2E86AB" w:sz="10" w:space="10"/>
        </w:pBdr>
        <w:shd w:fill="EBF5FB" w:val="clear"/>
        <w:spacing w:before="140" w:after="140"/>
        <w:ind w:left="720"/>
      </w:pPr>
      <w:r>
        <w:rPr>
          <w:rFonts w:ascii="Courier New" w:cs="Courier New" w:eastAsia="Courier New" w:hAnsi="Courier New"/>
          <w:b/>
          <w:bCs/>
          <w:color w:val="154360"/>
          <w:sz w:val="22"/>
          <w:szCs w:val="22"/>
        </w:rPr>
        <w:t xml:space="preserve">h_v^final  =  CONCAT[ h_v^(1),  h_v^(2),  ...,  h_v^(L) ]</w:t>
      </w:r>
    </w:p>
    <w:p>
      <w:pPr>
        <w:spacing w:before="0" w:after="80"/>
      </w:pPr>
    </w:p>
    <w:p>
      <w:pPr>
        <w:spacing w:before="80" w:after="120"/>
      </w:pPr>
      <w:r>
        <w:rPr>
          <w:rFonts w:ascii="Arial" w:cs="Arial" w:eastAsia="Arial" w:hAnsi="Arial"/>
          <w:sz w:val="22"/>
          <w:szCs w:val="22"/>
        </w:rPr>
        <w:t xml:space="preserve">This gives the classifier access to representations at all scales simultaneously — it learns which depth is most informative for each node type. With 3 layers and hidden dim 128, the JK output has dimensionality 128×3 = 384.</w:t>
      </w:r>
    </w:p>
    <w:p>
      <w:pPr>
        <w:spacing w:before="0" w:after="160"/>
      </w:pPr>
    </w:p>
    <w:p>
      <w:pPr>
        <w:pStyle w:val="Heading2"/>
        <w:spacing w:before="300" w:after="140"/>
      </w:pPr>
      <w:r>
        <w:rPr>
          <w:rFonts w:ascii="Arial" w:cs="Arial" w:eastAsia="Arial" w:hAnsi="Arial"/>
          <w:b/>
          <w:bCs/>
          <w:color w:val="2E86AB"/>
          <w:sz w:val="28"/>
          <w:szCs w:val="28"/>
        </w:rPr>
        <w:t xml:space="preserve">3.5 Over-Smoothing: The Deep GNN Problem</w:t>
      </w:r>
    </w:p>
    <w:p>
      <w:pPr>
        <w:spacing w:before="80" w:after="120"/>
      </w:pPr>
      <w:r>
        <w:rPr>
          <w:rFonts w:ascii="Arial" w:cs="Arial" w:eastAsia="Arial" w:hAnsi="Arial"/>
          <w:sz w:val="22"/>
          <w:szCs w:val="22"/>
        </w:rPr>
        <w:t xml:space="preserve">A fundamental challenge with deep GNNs is </w:t>
      </w:r>
      <w:r>
        <w:rPr>
          <w:rFonts w:ascii="Arial" w:cs="Arial" w:eastAsia="Arial" w:hAnsi="Arial"/>
          <w:b/>
          <w:bCs/>
          <w:sz w:val="22"/>
          <w:szCs w:val="22"/>
        </w:rPr>
        <w:t xml:space="preserve">over-smoothing</w:t>
      </w:r>
      <w:r>
        <w:rPr>
          <w:rFonts w:ascii="Arial" w:cs="Arial" w:eastAsia="Arial" w:hAnsi="Arial"/>
          <w:sz w:val="22"/>
          <w:szCs w:val="22"/>
        </w:rPr>
        <w:t xml:space="preserve">: as the number of layers increases, all node representations converge to the same vector (they become indistinguishable). Intuitively, after many hops, every node's representation is influenced by a large portion of the entire graph — all representations blend together.</w:t>
      </w:r>
    </w:p>
    <w:p>
      <w:pPr>
        <w:spacing w:before="0" w:after="80"/>
      </w:pPr>
    </w:p>
    <w:p>
      <w:pPr>
        <w:spacing w:before="80" w:after="120"/>
      </w:pPr>
      <w:r>
        <w:rPr>
          <w:rFonts w:ascii="Arial" w:cs="Arial" w:eastAsia="Arial" w:hAnsi="Arial"/>
          <w:sz w:val="22"/>
          <w:szCs w:val="22"/>
        </w:rPr>
        <w:t xml:space="preserve">The mathematical reason: repeated averaging contracts all vectors toward the graph's dominant eigenvector. For fraud detection this is catastrophic — fraud and legit nodes must remain distinguishable. Our design mitigates this via:</w:t>
      </w:r>
    </w:p>
    <w:p>
      <w:pPr>
        <w:spacing w:before="0" w:after="60"/>
      </w:pPr>
    </w:p>
    <w:p>
      <w:pPr>
        <w:pStyle w:val="ListParagraph"/>
        <w:numPr>
          <w:ilvl w:val="0"/>
          <w:numId w:val="2"/>
        </w:numPr>
        <w:spacing w:before="60" w:after="60"/>
      </w:pPr>
      <w:r>
        <w:rPr>
          <w:rFonts w:ascii="Arial" w:cs="Arial" w:eastAsia="Arial" w:hAnsi="Arial"/>
          <w:b/>
          <w:bCs/>
          <w:sz w:val="22"/>
          <w:szCs w:val="22"/>
        </w:rPr>
        <w:t xml:space="preserve">BatchNormalization</w:t>
      </w:r>
      <w:r>
        <w:rPr>
          <w:rFonts w:ascii="Arial" w:cs="Arial" w:eastAsia="Arial" w:hAnsi="Arial"/>
          <w:sz w:val="22"/>
          <w:szCs w:val="22"/>
        </w:rPr>
        <w:t xml:space="preserve">: re-centers and rescales representations at each layer, preventing collapse</w:t>
      </w:r>
    </w:p>
    <w:p>
      <w:pPr>
        <w:pStyle w:val="ListParagraph"/>
        <w:numPr>
          <w:ilvl w:val="0"/>
          <w:numId w:val="2"/>
        </w:numPr>
        <w:spacing w:before="60" w:after="60"/>
      </w:pPr>
      <w:r>
        <w:rPr>
          <w:rFonts w:ascii="Arial" w:cs="Arial" w:eastAsia="Arial" w:hAnsi="Arial"/>
          <w:b/>
          <w:bCs/>
          <w:sz w:val="22"/>
          <w:szCs w:val="22"/>
        </w:rPr>
        <w:t xml:space="preserve">Dropout</w:t>
      </w:r>
      <w:r>
        <w:rPr>
          <w:rFonts w:ascii="Arial" w:cs="Arial" w:eastAsia="Arial" w:hAnsi="Arial"/>
          <w:sz w:val="22"/>
          <w:szCs w:val="22"/>
        </w:rPr>
        <w:t xml:space="preserve">: randomly zeroes features, introducing diversity that resists smoothing</w:t>
      </w:r>
    </w:p>
    <w:p>
      <w:pPr>
        <w:pStyle w:val="ListParagraph"/>
        <w:numPr>
          <w:ilvl w:val="0"/>
          <w:numId w:val="2"/>
        </w:numPr>
        <w:spacing w:before="60" w:after="60"/>
      </w:pPr>
      <w:r>
        <w:rPr>
          <w:rFonts w:ascii="Arial" w:cs="Arial" w:eastAsia="Arial" w:hAnsi="Arial"/>
          <w:b/>
          <w:bCs/>
          <w:sz w:val="22"/>
          <w:szCs w:val="22"/>
        </w:rPr>
        <w:t xml:space="preserve">JumpingKnowledge</w:t>
      </w:r>
      <w:r>
        <w:rPr>
          <w:rFonts w:ascii="Arial" w:cs="Arial" w:eastAsia="Arial" w:hAnsi="Arial"/>
          <w:sz w:val="22"/>
          <w:szCs w:val="22"/>
        </w:rPr>
        <w:t xml:space="preserve">: preserves shallow (less-smoothed) representations alongside deep ones</w:t>
      </w:r>
    </w:p>
    <w:p>
      <w:pPr>
        <w:pStyle w:val="ListParagraph"/>
        <w:numPr>
          <w:ilvl w:val="0"/>
          <w:numId w:val="2"/>
        </w:numPr>
        <w:spacing w:before="60" w:after="60"/>
      </w:pPr>
      <w:r>
        <w:rPr>
          <w:rFonts w:ascii="Arial" w:cs="Arial" w:eastAsia="Arial" w:hAnsi="Arial"/>
          <w:b/>
          <w:bCs/>
          <w:sz w:val="22"/>
          <w:szCs w:val="22"/>
        </w:rPr>
        <w:t xml:space="preserve">Limited depth</w:t>
      </w:r>
      <w:r>
        <w:rPr>
          <w:rFonts w:ascii="Arial" w:cs="Arial" w:eastAsia="Arial" w:hAnsi="Arial"/>
          <w:sz w:val="22"/>
          <w:szCs w:val="22"/>
        </w:rPr>
        <w:t xml:space="preserve">: we use 3 layers — sufficient to cover fraud ring diameter without over-smoothing</w:t>
      </w:r>
    </w:p>
    <w:p>
      <w:pPr>
        <w:spacing w:before="0" w:after="200"/>
      </w:pPr>
    </w:p>
    <w:p>
      <w:r>
        <w:br w:type="page"/>
      </w:r>
    </w:p>
    <w:p>
      <w:pPr>
        <w:pStyle w:val="Heading1"/>
        <w:pBdr>
          <w:bottom w:val="thick" w:color="1B4F72" w:sz="8" w:space="6"/>
        </w:pBdr>
        <w:spacing w:before="400" w:after="200"/>
      </w:pPr>
      <w:r>
        <w:rPr>
          <w:rFonts w:ascii="Arial" w:cs="Arial" w:eastAsia="Arial" w:hAnsi="Arial"/>
          <w:b/>
          <w:bCs/>
          <w:color w:val="1B4F72"/>
          <w:sz w:val="36"/>
          <w:szCs w:val="36"/>
        </w:rPr>
        <w:t xml:space="preserve">4. How We Solve the Problem</w:t>
      </w:r>
    </w:p>
    <w:p>
      <w:pPr>
        <w:spacing w:before="0" w:after="60"/>
      </w:pPr>
    </w:p>
    <w:p>
      <w:pPr>
        <w:pStyle w:val="Heading2"/>
        <w:spacing w:before="300" w:after="140"/>
      </w:pPr>
      <w:r>
        <w:rPr>
          <w:rFonts w:ascii="Arial" w:cs="Arial" w:eastAsia="Arial" w:hAnsi="Arial"/>
          <w:b/>
          <w:bCs/>
          <w:color w:val="2E86AB"/>
          <w:sz w:val="28"/>
          <w:szCs w:val="28"/>
        </w:rPr>
        <w:t xml:space="preserve">4.1 Full Pipeline Architecture</w:t>
      </w:r>
    </w:p>
    <w:p>
      <w:pPr>
        <w:spacing w:before="80" w:after="120"/>
      </w:pPr>
      <w:r>
        <w:rPr>
          <w:rFonts w:ascii="Arial" w:cs="Arial" w:eastAsia="Arial" w:hAnsi="Arial"/>
          <w:sz w:val="22"/>
          <w:szCs w:val="22"/>
        </w:rPr>
        <w:t xml:space="preserve">The solution flows through seven sequential stages: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data_loader.py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Raw CSV → PyG Data object (nodes, edges, features, labels, masks)</w:t>
            </w:r>
          </w:p>
        </w:tc>
      </w:tr>
      <w:tr>
        <w:tc>
          <w:tcPr>
            <w:tcW w:type="dxa" w:w="6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data_loader.py</w:t>
            </w:r>
          </w:p>
        </w:tc>
        <w:tc>
          <w:tcPr>
            <w:tcW w:type="dxa" w:w="656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Compute class weights for imbalance handling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graph_eda.py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Degree distribution, feature analysis, temporal patterns plotted</w:t>
            </w:r>
          </w:p>
        </w:tc>
      </w:tr>
      <w:tr>
        <w:tc>
          <w:tcPr>
            <w:tcW w:type="dxa" w:w="6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models/gnn.py</w:t>
            </w:r>
          </w:p>
        </w:tc>
        <w:tc>
          <w:tcPr>
            <w:tcW w:type="dxa" w:w="656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GraphSAGE or GAT model instantiated from config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train.py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Mini-batch training with NeighborLoader + early stopping</w:t>
            </w:r>
          </w:p>
        </w:tc>
      </w:tr>
      <w:tr>
        <w:tc>
          <w:tcPr>
            <w:tcW w:type="dxa" w:w="6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evaluate.py</w:t>
            </w:r>
          </w:p>
        </w:tc>
        <w:tc>
          <w:tcPr>
            <w:tcW w:type="dxa" w:w="656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Precision/Recall/F1/AUC + threshold optimization on test set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visualize.py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Fraud subgraph, t-SNE embeddings, probability heatmap</w:t>
            </w:r>
          </w:p>
        </w:tc>
      </w:tr>
    </w:tbl>
    <w:p>
      <w:pPr>
        <w:spacing w:before="0" w:after="180"/>
      </w:pPr>
    </w:p>
    <w:p>
      <w:pPr>
        <w:pStyle w:val="Heading2"/>
        <w:spacing w:before="300" w:after="140"/>
      </w:pPr>
      <w:r>
        <w:rPr>
          <w:rFonts w:ascii="Arial" w:cs="Arial" w:eastAsia="Arial" w:hAnsi="Arial"/>
          <w:b/>
          <w:bCs/>
          <w:color w:val="2E86AB"/>
          <w:sz w:val="28"/>
          <w:szCs w:val="28"/>
        </w:rPr>
        <w:t xml:space="preserve">4.2 Handling Class Imbalance</w:t>
      </w:r>
    </w:p>
    <w:p>
      <w:pPr>
        <w:spacing w:before="80" w:after="120"/>
      </w:pPr>
      <w:r>
        <w:rPr>
          <w:rFonts w:ascii="Arial" w:cs="Arial" w:eastAsia="Arial" w:hAnsi="Arial"/>
          <w:sz w:val="22"/>
          <w:szCs w:val="22"/>
        </w:rPr>
        <w:t xml:space="preserve">This is the most important engineering decision in the pipeline. With 2% fraud, naive training is dominated by the majority class. Three complementary strategies are implemented:</w:t>
      </w:r>
    </w:p>
    <w:p>
      <w:pPr>
        <w:spacing w:before="0" w:after="100"/>
      </w:pPr>
    </w:p>
    <w:p>
      <w:pPr>
        <w:pStyle w:val="Heading3"/>
        <w:spacing w:before="220" w:after="100"/>
      </w:pPr>
      <w:r>
        <w:rPr>
          <w:rFonts w:ascii="Arial" w:cs="Arial" w:eastAsia="Arial" w:hAnsi="Arial"/>
          <w:b/>
          <w:bCs/>
          <w:color w:val="2C3E50"/>
          <w:sz w:val="24"/>
          <w:szCs w:val="24"/>
        </w:rPr>
        <w:t xml:space="preserve">Strategy 1: Weighted Cross-Entropy Loss</w:t>
      </w:r>
    </w:p>
    <w:p>
      <w:pPr>
        <w:spacing w:before="80" w:after="120"/>
      </w:pPr>
      <w:r>
        <w:rPr>
          <w:rFonts w:ascii="Arial" w:cs="Arial" w:eastAsia="Arial" w:hAnsi="Arial"/>
          <w:sz w:val="22"/>
          <w:szCs w:val="22"/>
        </w:rPr>
        <w:t xml:space="preserve">Standard cross-entropy treats all errors equally. Weighted cross-entropy assigns higher penalty to misclassifying fraud nodes:</w:t>
      </w:r>
    </w:p>
    <w:p>
      <w:pPr>
        <w:pBdr>
          <w:left w:val="thick" w:color="2E86AB" w:sz="10" w:space="10"/>
        </w:pBdr>
        <w:shd w:fill="EBF5FB" w:val="clear"/>
        <w:spacing w:before="140" w:after="140"/>
        <w:ind w:left="720"/>
      </w:pPr>
      <w:r>
        <w:rPr>
          <w:rFonts w:ascii="Courier New" w:cs="Courier New" w:eastAsia="Courier New" w:hAnsi="Courier New"/>
          <w:b/>
          <w:bCs/>
          <w:color w:val="154360"/>
          <w:sz w:val="22"/>
          <w:szCs w:val="22"/>
        </w:rPr>
        <w:t xml:space="preserve">w_fraud  =  N_total / (2 × N_fraud)</w:t>
      </w:r>
    </w:p>
    <w:p>
      <w:pPr>
        <w:pBdr>
          <w:left w:val="thick" w:color="2E86AB" w:sz="10" w:space="10"/>
        </w:pBdr>
        <w:shd w:fill="EBF5FB" w:val="clear"/>
        <w:spacing w:before="140" w:after="140"/>
        <w:ind w:left="720"/>
      </w:pPr>
      <w:r>
        <w:rPr>
          <w:rFonts w:ascii="Courier New" w:cs="Courier New" w:eastAsia="Courier New" w:hAnsi="Courier New"/>
          <w:b/>
          <w:bCs/>
          <w:color w:val="154360"/>
          <w:sz w:val="22"/>
          <w:szCs w:val="22"/>
        </w:rPr>
        <w:t xml:space="preserve">w_legit  =  N_total / (2 × N_legit)</w:t>
      </w:r>
    </w:p>
    <w:p>
      <w:pPr>
        <w:pBdr>
          <w:left w:val="thick" w:color="2E86AB" w:sz="10" w:space="10"/>
        </w:pBdr>
        <w:shd w:fill="EBF5FB" w:val="clear"/>
        <w:spacing w:before="140" w:after="140"/>
        <w:ind w:left="720"/>
      </w:pPr>
      <w:r>
        <w:rPr>
          <w:rFonts w:ascii="Courier New" w:cs="Courier New" w:eastAsia="Courier New" w:hAnsi="Courier New"/>
          <w:b/>
          <w:bCs/>
          <w:color w:val="154360"/>
          <w:sz w:val="22"/>
          <w:szCs w:val="22"/>
        </w:rPr>
        <w:t xml:space="preserve">L_weighted  =  -(w_fraud · y · log(p)  +  w_legit · (1-y) · log(1-p))</w:t>
      </w:r>
    </w:p>
    <w:p>
      <w:pPr>
        <w:spacing w:before="0" w:after="80"/>
      </w:pPr>
    </w:p>
    <w:p>
      <w:pPr>
        <w:spacing w:before="80" w:after="120"/>
      </w:pPr>
      <w:r>
        <w:rPr>
          <w:rFonts w:ascii="Arial" w:cs="Arial" w:eastAsia="Arial" w:hAnsi="Arial"/>
          <w:sz w:val="22"/>
          <w:szCs w:val="22"/>
        </w:rPr>
        <w:t xml:space="preserve">With 2% fraud: w_fraud ≈ 25×, w_legit ≈ 0.51×. Misclassifying a fraud node costs 25× more than misclassifying a legit node. This directly guides the gradient to prioritize catching fraud.</w:t>
      </w:r>
    </w:p>
    <w:p>
      <w:pPr>
        <w:spacing w:before="0" w:after="120"/>
      </w:pPr>
    </w:p>
    <w:p>
      <w:pPr>
        <w:pStyle w:val="Heading3"/>
        <w:spacing w:before="220" w:after="100"/>
      </w:pPr>
      <w:r>
        <w:rPr>
          <w:rFonts w:ascii="Arial" w:cs="Arial" w:eastAsia="Arial" w:hAnsi="Arial"/>
          <w:b/>
          <w:bCs/>
          <w:color w:val="2C3E50"/>
          <w:sz w:val="24"/>
          <w:szCs w:val="24"/>
        </w:rPr>
        <w:t xml:space="preserve">Strategy 2: Fraud-Biased Node Oversampling</w:t>
      </w:r>
    </w:p>
    <w:p>
      <w:pPr>
        <w:spacing w:before="80" w:after="120"/>
      </w:pPr>
      <w:r>
        <w:rPr>
          <w:rFonts w:ascii="Arial" w:cs="Arial" w:eastAsia="Arial" w:hAnsi="Arial"/>
          <w:sz w:val="22"/>
          <w:szCs w:val="22"/>
        </w:rPr>
        <w:t xml:space="preserve">Rather than sampling seed nodes uniformly for mini-batches, we oversample fraud nodes as batch seeds. Each mini-batch is constructed as: </w:t>
      </w:r>
      <w:r>
        <w:rPr>
          <w:rFonts w:ascii="Courier New" w:cs="Courier New" w:eastAsia="Courier New" w:hAnsi="Courier New"/>
          <w:color w:val="C0392B"/>
          <w:sz w:val="20"/>
          <w:szCs w:val="20"/>
        </w:rPr>
        <w:t xml:space="preserve">30% fraud seeds + 70% legit seeds</w:t>
      </w:r>
      <w:r>
        <w:rPr>
          <w:rFonts w:ascii="Arial" w:cs="Arial" w:eastAsia="Arial" w:hAnsi="Arial"/>
          <w:sz w:val="22"/>
          <w:szCs w:val="22"/>
        </w:rPr>
        <w:t xml:space="preserve"> (vs. the natural 2%/98% split). Since NeighborLoader expands around each seed node, this means every batch has 15× more fraud neighborhoods than random sampling would provide, giving the model far more fraud signal per gradient update.</w:t>
      </w:r>
    </w:p>
    <w:p>
      <w:pPr>
        <w:spacing w:before="0" w:after="120"/>
      </w:pPr>
    </w:p>
    <w:p>
      <w:pPr>
        <w:pStyle w:val="Heading3"/>
        <w:spacing w:before="220" w:after="100"/>
      </w:pPr>
      <w:r>
        <w:rPr>
          <w:rFonts w:ascii="Arial" w:cs="Arial" w:eastAsia="Arial" w:hAnsi="Arial"/>
          <w:b/>
          <w:bCs/>
          <w:color w:val="2C3E50"/>
          <w:sz w:val="24"/>
          <w:szCs w:val="24"/>
        </w:rPr>
        <w:t xml:space="preserve">Strategy 3: Threshold Optimization</w:t>
      </w:r>
    </w:p>
    <w:p>
      <w:pPr>
        <w:spacing w:before="80" w:after="120"/>
      </w:pPr>
      <w:r>
        <w:rPr>
          <w:rFonts w:ascii="Arial" w:cs="Arial" w:eastAsia="Arial" w:hAnsi="Arial"/>
          <w:sz w:val="22"/>
          <w:szCs w:val="22"/>
        </w:rPr>
        <w:t xml:space="preserve">At inference time, the default classification threshold of 0.5 is rarely optimal under imbalance. We sweep thresholds from 0.1 to 0.9 on the validation set and find the value that maximizes F1:</w:t>
      </w:r>
    </w:p>
    <w:p>
      <w:pPr>
        <w:pBdr>
          <w:left w:val="thick" w:color="2E86AB" w:sz="10" w:space="10"/>
        </w:pBdr>
        <w:shd w:fill="EBF5FB" w:val="clear"/>
        <w:spacing w:before="140" w:after="140"/>
        <w:ind w:left="720"/>
      </w:pPr>
      <w:r>
        <w:rPr>
          <w:rFonts w:ascii="Courier New" w:cs="Courier New" w:eastAsia="Courier New" w:hAnsi="Courier New"/>
          <w:b/>
          <w:bCs/>
          <w:color w:val="154360"/>
          <w:sz w:val="22"/>
          <w:szCs w:val="22"/>
        </w:rPr>
        <w:t xml:space="preserve">threshold*  =  argmax_{t ∈ [0.1, 0.9]}  F1(y_val,  predictions_{prob &gt; t})</w:t>
      </w:r>
    </w:p>
    <w:p>
      <w:pPr>
        <w:spacing w:before="0" w:after="80"/>
      </w:pPr>
    </w:p>
    <w:p>
      <w:pPr>
        <w:spacing w:before="80" w:after="120"/>
      </w:pPr>
      <w:r>
        <w:rPr>
          <w:rFonts w:ascii="Arial" w:cs="Arial" w:eastAsia="Arial" w:hAnsi="Arial"/>
          <w:sz w:val="22"/>
          <w:szCs w:val="22"/>
        </w:rPr>
        <w:t xml:space="preserve">In practice, the optimal threshold for a 2% fraud dataset is often 0.2-0.35, not 0.5. This significantly boosts recall with a controlled precision trade-off.</w:t>
      </w:r>
    </w:p>
    <w:p>
      <w:pPr>
        <w:spacing w:before="0" w:after="180"/>
      </w:pPr>
    </w:p>
    <w:p>
      <w:pPr>
        <w:pStyle w:val="Heading2"/>
        <w:spacing w:before="300" w:after="140"/>
      </w:pPr>
      <w:r>
        <w:rPr>
          <w:rFonts w:ascii="Arial" w:cs="Arial" w:eastAsia="Arial" w:hAnsi="Arial"/>
          <w:b/>
          <w:bCs/>
          <w:color w:val="2E86AB"/>
          <w:sz w:val="28"/>
          <w:szCs w:val="28"/>
        </w:rPr>
        <w:t xml:space="preserve">4.3 Mini-Batch Training with NeighborLoader</w:t>
      </w:r>
    </w:p>
    <w:p>
      <w:pPr>
        <w:spacing w:before="80" w:after="120"/>
      </w:pPr>
      <w:r>
        <w:rPr>
          <w:rFonts w:ascii="Arial" w:cs="Arial" w:eastAsia="Arial" w:hAnsi="Arial"/>
          <w:sz w:val="22"/>
          <w:szCs w:val="22"/>
        </w:rPr>
        <w:t xml:space="preserve">The Elliptic graph has 200K+ nodes. Full-batch training (forward pass on entire graph) doesn't fit in GPU memory for large datasets. PyTorch Geometric's NeighborLoader solves this by sampling k-hop neighborhoods around seed nodes:</w:t>
      </w:r>
    </w:p>
    <w:p>
      <w:pPr>
        <w:spacing w:before="0" w:after="80"/>
      </w:pPr>
    </w:p>
    <w:p>
      <w:pPr>
        <w:shd w:fill="F4F6F7" w:val="clear"/>
        <w:spacing w:before="0" w:after="0"/>
      </w:pPr>
      <w:r>
        <w:rPr>
          <w:rFonts w:ascii="Courier New" w:cs="Courier New" w:eastAsia="Courier New" w:hAnsi="Courier New"/>
          <w:color w:val="2C3E50"/>
          <w:sz w:val="18"/>
          <w:szCs w:val="18"/>
        </w:rPr>
        <w:t xml:space="preserve">  NeighborLoader(</w:t>
      </w:r>
    </w:p>
    <w:p>
      <w:pPr>
        <w:shd w:fill="F4F6F7" w:val="clear"/>
        <w:spacing w:before="0" w:after="0"/>
      </w:pPr>
      <w:r>
        <w:rPr>
          <w:rFonts w:ascii="Courier New" w:cs="Courier New" w:eastAsia="Courier New" w:hAnsi="Courier New"/>
          <w:color w:val="2C3E50"/>
          <w:sz w:val="18"/>
          <w:szCs w:val="18"/>
        </w:rPr>
        <w:t xml:space="preserve">    data,</w:t>
      </w:r>
    </w:p>
    <w:p>
      <w:pPr>
        <w:shd w:fill="F4F6F7" w:val="clear"/>
        <w:spacing w:before="0" w:after="0"/>
      </w:pPr>
      <w:r>
        <w:rPr>
          <w:rFonts w:ascii="Courier New" w:cs="Courier New" w:eastAsia="Courier New" w:hAnsi="Courier New"/>
          <w:color w:val="2C3E50"/>
          <w:sz w:val="18"/>
          <w:szCs w:val="18"/>
        </w:rPr>
        <w:t xml:space="preserve">    num_neighbors=[10, 5, 5],   # sample 10 neighbors at hop 1,</w:t>
      </w:r>
    </w:p>
    <w:p>
      <w:pPr>
        <w:shd w:fill="F4F6F7" w:val="clear"/>
        <w:spacing w:before="0" w:after="0"/>
      </w:pPr>
      <w:r>
        <w:rPr>
          <w:rFonts w:ascii="Courier New" w:cs="Courier New" w:eastAsia="Courier New" w:hAnsi="Courier New"/>
          <w:color w:val="2C3E50"/>
          <w:sz w:val="18"/>
          <w:szCs w:val="18"/>
        </w:rPr>
        <w:t xml:space="preserve">                                 #         5 at hop 2, 5 at hop 3</w:t>
      </w:r>
    </w:p>
    <w:p>
      <w:pPr>
        <w:shd w:fill="F4F6F7" w:val="clear"/>
        <w:spacing w:before="0" w:after="0"/>
      </w:pPr>
      <w:r>
        <w:rPr>
          <w:rFonts w:ascii="Courier New" w:cs="Courier New" w:eastAsia="Courier New" w:hAnsi="Courier New"/>
          <w:color w:val="2C3E50"/>
          <w:sz w:val="18"/>
          <w:szCs w:val="18"/>
        </w:rPr>
        <w:t xml:space="preserve">    batch_size=512,              # 512 seed nodes per batch</w:t>
      </w:r>
    </w:p>
    <w:p>
      <w:pPr>
        <w:shd w:fill="F4F6F7" w:val="clear"/>
        <w:spacing w:before="0" w:after="0"/>
      </w:pPr>
      <w:r>
        <w:rPr>
          <w:rFonts w:ascii="Courier New" w:cs="Courier New" w:eastAsia="Courier New" w:hAnsi="Courier New"/>
          <w:color w:val="2C3E50"/>
          <w:sz w:val="18"/>
          <w:szCs w:val="18"/>
        </w:rPr>
        <w:t xml:space="preserve">    input_nodes=train_mask,      # only seed from training nodes</w:t>
      </w:r>
    </w:p>
    <w:p>
      <w:pPr>
        <w:shd w:fill="F4F6F7" w:val="clear"/>
        <w:spacing w:before="0" w:after="0"/>
      </w:pPr>
      <w:r>
        <w:rPr>
          <w:rFonts w:ascii="Courier New" w:cs="Courier New" w:eastAsia="Courier New" w:hAnsi="Courier New"/>
          <w:color w:val="2C3E50"/>
          <w:sz w:val="18"/>
          <w:szCs w:val="18"/>
        </w:rPr>
        <w:t xml:space="preserve">  )</w:t>
      </w:r>
    </w:p>
    <w:p>
      <w:pPr>
        <w:shd w:fill="F4F6F7" w:val="clear"/>
        <w:spacing w:before="0" w:after="0"/>
      </w:pPr>
      <w:r>
        <w:rPr>
          <w:rFonts w:ascii="Courier New" w:cs="Courier New" w:eastAsia="Courier New" w:hAnsi="Courier New"/>
          <w:color w:val="2C3E50"/>
          <w:sz w:val="18"/>
          <w:szCs w:val="18"/>
        </w:rPr>
        <w:t xml:space="preserve"> </w:t>
      </w:r>
    </w:p>
    <w:p>
      <w:pPr>
        <w:shd w:fill="F4F6F7" w:val="clear"/>
        <w:spacing w:before="0" w:after="0"/>
      </w:pPr>
      <w:r>
        <w:rPr>
          <w:rFonts w:ascii="Courier New" w:cs="Courier New" w:eastAsia="Courier New" w:hAnsi="Courier New"/>
          <w:color w:val="2C3E50"/>
          <w:sz w:val="18"/>
          <w:szCs w:val="18"/>
        </w:rPr>
        <w:t xml:space="preserve">  Result: each batch is a subgraph containing 512 seed nodes</w:t>
      </w:r>
    </w:p>
    <w:p>
      <w:pPr>
        <w:shd w:fill="F4F6F7" w:val="clear"/>
        <w:spacing w:before="0" w:after="0"/>
      </w:pPr>
      <w:r>
        <w:rPr>
          <w:rFonts w:ascii="Courier New" w:cs="Courier New" w:eastAsia="Courier New" w:hAnsi="Courier New"/>
          <w:color w:val="2C3E50"/>
          <w:sz w:val="18"/>
          <w:szCs w:val="18"/>
        </w:rPr>
        <w:t xml:space="preserve">          + their sampled 3-hop neighborhoods (~5,000-15,000 nodes total)</w:t>
      </w:r>
    </w:p>
    <w:p>
      <w:pPr>
        <w:shd w:fill="F4F6F7" w:val="clear"/>
        <w:spacing w:before="0" w:after="0"/>
      </w:pPr>
      <w:r>
        <w:rPr>
          <w:rFonts w:ascii="Courier New" w:cs="Courier New" w:eastAsia="Courier New" w:hAnsi="Courier New"/>
          <w:color w:val="2C3E50"/>
          <w:sz w:val="18"/>
          <w:szCs w:val="18"/>
        </w:rPr>
        <w:t xml:space="preserve">  Loss computed: ONLY on the 512 seed nodes (not the neighborhood nodes)</w:t>
      </w:r>
    </w:p>
    <w:p>
      <w:pPr>
        <w:spacing w:before="0" w:after="160"/>
      </w:pPr>
    </w:p>
    <w:p>
      <w:pPr>
        <w:pStyle w:val="Heading2"/>
        <w:spacing w:before="300" w:after="140"/>
      </w:pPr>
      <w:r>
        <w:rPr>
          <w:rFonts w:ascii="Arial" w:cs="Arial" w:eastAsia="Arial" w:hAnsi="Arial"/>
          <w:b/>
          <w:bCs/>
          <w:color w:val="2E86AB"/>
          <w:sz w:val="28"/>
          <w:szCs w:val="28"/>
        </w:rPr>
        <w:t xml:space="preserve">4.4 Evaluation Metrics (Why Accuracy Is Useless)</w:t>
      </w:r>
    </w:p>
    <w:p>
      <w:pPr>
        <w:spacing w:before="80" w:after="120"/>
      </w:pPr>
      <w:r>
        <w:rPr>
          <w:rFonts w:ascii="Arial" w:cs="Arial" w:eastAsia="Arial" w:hAnsi="Arial"/>
          <w:sz w:val="22"/>
          <w:szCs w:val="22"/>
        </w:rPr>
        <w:t xml:space="preserve">A model that predicts LEGIT for every transaction achieves 98% accuracy. We must use metrics that properly account for imbalance: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300"/>
        <w:gridCol w:w="2660"/>
      </w:tblGrid>
      <w:tr>
        <w:trPr>
          <w:tblHeader/>
        </w:trPr>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33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c>
          <w:tcPr>
            <w:tcW w:type="dxa" w:w="26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Goal</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Precision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TP / (TP + FP)</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Of all flagged fraud, how many are actually fraud?</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Minimize false alarms</w:t>
            </w:r>
          </w:p>
        </w:tc>
      </w:tr>
      <w:tr>
        <w:tc>
          <w:tcPr>
            <w:tcW w:type="dxa" w:w="14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Recall</w:t>
            </w:r>
          </w:p>
        </w:tc>
        <w:tc>
          <w:tcPr>
            <w:tcW w:type="dxa" w:w="20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TP / (TP + FN)</w:t>
            </w:r>
          </w:p>
        </w:tc>
        <w:tc>
          <w:tcPr>
            <w:tcW w:type="dxa" w:w="33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Of all actual fraud, how many did we catch?</w:t>
            </w:r>
          </w:p>
        </w:tc>
        <w:tc>
          <w:tcPr>
            <w:tcW w:type="dxa" w:w="266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Minimize missed fraud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F1 Score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 × (P×R)/(P+R)</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Harmonic mean: balanced precision/recall</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Overall fraud detection quality</w:t>
            </w:r>
          </w:p>
        </w:tc>
      </w:tr>
      <w:tr>
        <w:tc>
          <w:tcPr>
            <w:tcW w:type="dxa" w:w="14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AUC-ROC</w:t>
            </w:r>
          </w:p>
        </w:tc>
        <w:tc>
          <w:tcPr>
            <w:tcW w:type="dxa" w:w="20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Area under ROC curve</w:t>
            </w:r>
          </w:p>
        </w:tc>
        <w:tc>
          <w:tcPr>
            <w:tcW w:type="dxa" w:w="33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Ranking quality across all thresholds</w:t>
            </w:r>
          </w:p>
        </w:tc>
        <w:tc>
          <w:tcPr>
            <w:tcW w:type="dxa" w:w="266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Model discrimination power</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AUC-PR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Area under PR curve</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Performance specifically on the rare class</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Best metric under imbalance</w:t>
            </w:r>
          </w:p>
        </w:tc>
      </w:tr>
    </w:tbl>
    <w:p>
      <w:pPr>
        <w:spacing w:before="0"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C0392B"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KEY</w:t>
            </w:r>
          </w:p>
        </w:tc>
        <w:tc>
          <w:tcPr>
            <w:tcW w:type="dxa" w:w="8960"/>
            <w:tcBorders>
              <w:top w:val="none" w:color="FFFFFF" w:sz="0"/>
              <w:left w:val="none" w:color="FFFFFF" w:sz="0"/>
              <w:bottom w:val="none" w:color="FFFFFF" w:sz="0"/>
              <w:right w:val="none" w:color="FFFFFF" w:sz="0"/>
            </w:tcBorders>
            <w:shd w:fill="FDEDEC" w:val="clear"/>
            <w:tcMar>
              <w:top w:type="dxa" w:w="80"/>
              <w:left w:type="dxa" w:w="200"/>
              <w:bottom w:type="dxa" w:w="80"/>
              <w:right w:type="dxa" w:w="120"/>
            </w:tcMar>
          </w:tcPr>
          <w:p>
            <w:r>
              <w:rPr>
                <w:rFonts w:ascii="Arial" w:cs="Arial" w:eastAsia="Arial" w:hAnsi="Arial"/>
                <w:i/>
                <w:iCs/>
                <w:color w:val="1A252F"/>
                <w:sz w:val="20"/>
                <w:szCs w:val="20"/>
              </w:rPr>
              <w:t xml:space="preserve">AUC-PR (Precision-Recall Area) is the most informative metric for fraud detection. A random classifier has AUC-PR equal to the fraud rate (~0.02). A model that achieves AUC-PR of 0.80 is enormously better than a random baseline.</w:t>
            </w:r>
          </w:p>
        </w:tc>
      </w:tr>
    </w:tbl>
    <w:p>
      <w:pPr>
        <w:spacing w:before="0" w:after="180"/>
      </w:pPr>
    </w:p>
    <w:p>
      <w:pPr>
        <w:pStyle w:val="Heading2"/>
        <w:spacing w:before="300" w:after="140"/>
      </w:pPr>
      <w:r>
        <w:rPr>
          <w:rFonts w:ascii="Arial" w:cs="Arial" w:eastAsia="Arial" w:hAnsi="Arial"/>
          <w:b/>
          <w:bCs/>
          <w:color w:val="2E86AB"/>
          <w:sz w:val="28"/>
          <w:szCs w:val="28"/>
        </w:rPr>
        <w:t xml:space="preserve">4.5 Fraud Subgraph Visualization</w:t>
      </w:r>
    </w:p>
    <w:p>
      <w:pPr>
        <w:spacing w:before="80" w:after="120"/>
      </w:pPr>
      <w:r>
        <w:rPr>
          <w:rFonts w:ascii="Arial" w:cs="Arial" w:eastAsia="Arial" w:hAnsi="Arial"/>
          <w:sz w:val="22"/>
          <w:szCs w:val="22"/>
        </w:rPr>
        <w:t xml:space="preserve">After training, we extract k-hop ego-networks around the highest-probability fraud nodes and visualize them using NetworkX's spring layout. This provides qualitative validation:</w:t>
      </w:r>
    </w:p>
    <w:p>
      <w:pPr>
        <w:spacing w:before="0" w:after="80"/>
      </w:pPr>
    </w:p>
    <w:p>
      <w:pPr>
        <w:pStyle w:val="ListParagraph"/>
        <w:numPr>
          <w:ilvl w:val="0"/>
          <w:numId w:val="2"/>
        </w:numPr>
        <w:spacing w:before="60" w:after="60"/>
      </w:pPr>
      <w:r>
        <w:rPr>
          <w:rFonts w:ascii="Arial" w:cs="Arial" w:eastAsia="Arial" w:hAnsi="Arial"/>
          <w:b/>
          <w:bCs/>
          <w:sz w:val="22"/>
          <w:szCs w:val="22"/>
        </w:rPr>
        <w:t xml:space="preserve">Node color</w:t>
      </w:r>
      <w:r>
        <w:rPr>
          <w:rFonts w:ascii="Arial" w:cs="Arial" w:eastAsia="Arial" w:hAnsi="Arial"/>
          <w:sz w:val="22"/>
          <w:szCs w:val="22"/>
        </w:rPr>
        <w:t xml:space="preserve">: red = true fraud, blue = true legit, gray = unknown</w:t>
      </w:r>
    </w:p>
    <w:p>
      <w:pPr>
        <w:pStyle w:val="ListParagraph"/>
        <w:numPr>
          <w:ilvl w:val="0"/>
          <w:numId w:val="2"/>
        </w:numPr>
        <w:spacing w:before="60" w:after="60"/>
      </w:pPr>
      <w:r>
        <w:rPr>
          <w:rFonts w:ascii="Arial" w:cs="Arial" w:eastAsia="Arial" w:hAnsi="Arial"/>
          <w:b/>
          <w:bCs/>
          <w:sz w:val="22"/>
          <w:szCs w:val="22"/>
        </w:rPr>
        <w:t xml:space="preserve">Node size</w:t>
      </w:r>
      <w:r>
        <w:rPr>
          <w:rFonts w:ascii="Arial" w:cs="Arial" w:eastAsia="Arial" w:hAnsi="Arial"/>
          <w:sz w:val="22"/>
          <w:szCs w:val="22"/>
        </w:rPr>
        <w:t xml:space="preserve">: proportional to P(fraud) — larger nodes are more likely to be fraudulent</w:t>
      </w:r>
    </w:p>
    <w:p>
      <w:pPr>
        <w:pStyle w:val="ListParagraph"/>
        <w:numPr>
          <w:ilvl w:val="0"/>
          <w:numId w:val="2"/>
        </w:numPr>
        <w:spacing w:before="60" w:after="60"/>
      </w:pPr>
      <w:r>
        <w:rPr>
          <w:rFonts w:ascii="Arial" w:cs="Arial" w:eastAsia="Arial" w:hAnsi="Arial"/>
          <w:b/>
          <w:bCs/>
          <w:sz w:val="22"/>
          <w:szCs w:val="22"/>
        </w:rPr>
        <w:t xml:space="preserve">Edge color</w:t>
      </w:r>
      <w:r>
        <w:rPr>
          <w:rFonts w:ascii="Arial" w:cs="Arial" w:eastAsia="Arial" w:hAnsi="Arial"/>
          <w:sz w:val="22"/>
          <w:szCs w:val="22"/>
        </w:rPr>
        <w:t xml:space="preserve">: red edges connect two fraud-predicted nodes (highlighting the fraud ring)</w:t>
      </w:r>
    </w:p>
    <w:p>
      <w:pPr>
        <w:pStyle w:val="ListParagraph"/>
        <w:numPr>
          <w:ilvl w:val="0"/>
          <w:numId w:val="2"/>
        </w:numPr>
        <w:spacing w:before="60" w:after="60"/>
      </w:pPr>
      <w:r>
        <w:rPr>
          <w:rFonts w:ascii="Arial" w:cs="Arial" w:eastAsia="Arial" w:hAnsi="Arial"/>
          <w:b/>
          <w:bCs/>
          <w:sz w:val="22"/>
          <w:szCs w:val="22"/>
        </w:rPr>
        <w:t xml:space="preserve">Star marker</w:t>
      </w:r>
      <w:r>
        <w:rPr>
          <w:rFonts w:ascii="Arial" w:cs="Arial" w:eastAsia="Arial" w:hAnsi="Arial"/>
          <w:sz w:val="22"/>
          <w:szCs w:val="22"/>
        </w:rPr>
        <w:t xml:space="preserve">: marks the seed (top predicted fraud) nodes</w:t>
      </w:r>
    </w:p>
    <w:p>
      <w:pPr>
        <w:spacing w:before="0" w:after="120"/>
      </w:pPr>
    </w:p>
    <w:p>
      <w:pPr>
        <w:spacing w:before="80" w:after="120"/>
      </w:pPr>
      <w:r>
        <w:rPr>
          <w:rFonts w:ascii="Arial" w:cs="Arial" w:eastAsia="Arial" w:hAnsi="Arial"/>
          <w:sz w:val="22"/>
          <w:szCs w:val="22"/>
        </w:rPr>
        <w:t xml:space="preserve">The visualization exposes the ring topology of fraud: fraud nodes cluster together, connected by red edges, surrounded by gray unknowns that may themselves be fraudulent but unlabelled.</w:t>
      </w:r>
    </w:p>
    <w:p>
      <w:pPr>
        <w:spacing w:before="0" w:after="160"/>
      </w:pPr>
    </w:p>
    <w:p>
      <w:pPr>
        <w:pStyle w:val="Heading2"/>
        <w:spacing w:before="300" w:after="140"/>
      </w:pPr>
      <w:r>
        <w:rPr>
          <w:rFonts w:ascii="Arial" w:cs="Arial" w:eastAsia="Arial" w:hAnsi="Arial"/>
          <w:b/>
          <w:bCs/>
          <w:color w:val="2E86AB"/>
          <w:sz w:val="28"/>
          <w:szCs w:val="28"/>
        </w:rPr>
        <w:t xml:space="preserve">4.6 t-SNE Embedding Visualization</w:t>
      </w:r>
    </w:p>
    <w:p>
      <w:pPr>
        <w:spacing w:before="80" w:after="120"/>
      </w:pPr>
      <w:r>
        <w:rPr>
          <w:rFonts w:ascii="Arial" w:cs="Arial" w:eastAsia="Arial" w:hAnsi="Arial"/>
          <w:sz w:val="22"/>
          <w:szCs w:val="22"/>
        </w:rPr>
        <w:t xml:space="preserve">The GNN produces a 384-dimensional embedding for each node (128 × 3 layers with JK-cat). We reduce this to 2D with t-SNE and scatter-plot by label. A well-trained model produces clearly separated fraud and legit clusters — providing a visual proof that the GNN has learned a meaningful representation space where fraud occupies a distinct region.</w:t>
      </w:r>
    </w:p>
    <w:p>
      <w:pPr>
        <w:spacing w:before="0" w:after="200"/>
      </w:pPr>
    </w:p>
    <w:p>
      <w:r>
        <w:br w:type="page"/>
      </w:r>
    </w:p>
    <w:p>
      <w:pPr>
        <w:pStyle w:val="Heading1"/>
        <w:pBdr>
          <w:bottom w:val="thick" w:color="1B4F72" w:sz="8" w:space="6"/>
        </w:pBdr>
        <w:spacing w:before="400" w:after="200"/>
      </w:pPr>
      <w:r>
        <w:rPr>
          <w:rFonts w:ascii="Arial" w:cs="Arial" w:eastAsia="Arial" w:hAnsi="Arial"/>
          <w:b/>
          <w:bCs/>
          <w:color w:val="1B4F72"/>
          <w:sz w:val="36"/>
          <w:szCs w:val="36"/>
        </w:rPr>
        <w:t xml:space="preserve">5. Code Architecture Walkthrough</w:t>
      </w:r>
    </w:p>
    <w:p>
      <w:pPr>
        <w:spacing w:before="0" w:after="60"/>
      </w:pPr>
    </w:p>
    <w:p>
      <w:pPr>
        <w:pStyle w:val="Heading2"/>
        <w:spacing w:before="300" w:after="140"/>
      </w:pPr>
      <w:r>
        <w:rPr>
          <w:rFonts w:ascii="Arial" w:cs="Arial" w:eastAsia="Arial" w:hAnsi="Arial"/>
          <w:b/>
          <w:bCs/>
          <w:color w:val="2E86AB"/>
          <w:sz w:val="28"/>
          <w:szCs w:val="28"/>
        </w:rPr>
        <w:t xml:space="preserve">5.1 config.py — The Single Source of Truth</w:t>
      </w:r>
    </w:p>
    <w:p>
      <w:pPr>
        <w:spacing w:before="80" w:after="120"/>
      </w:pPr>
      <w:r>
        <w:rPr>
          <w:rFonts w:ascii="Arial" w:cs="Arial" w:eastAsia="Arial" w:hAnsi="Arial"/>
          <w:sz w:val="22"/>
          <w:szCs w:val="22"/>
        </w:rPr>
        <w:t xml:space="preserve">Every hyperparameter lives in a @dataclass Config object. This pattern (called a 'config-driven design') means the entire pipeline can be controlled from a single import — no scattered magic numbers. Key design decision: architecture, imbalance strategy, model depth, and dataset are all runtime-swappable without touching model code.</w:t>
      </w:r>
    </w:p>
    <w:p>
      <w:pPr>
        <w:spacing w:before="0" w:after="120"/>
      </w:pPr>
    </w:p>
    <w:p>
      <w:pPr>
        <w:pStyle w:val="Heading2"/>
        <w:spacing w:before="300" w:after="140"/>
      </w:pPr>
      <w:r>
        <w:rPr>
          <w:rFonts w:ascii="Arial" w:cs="Arial" w:eastAsia="Arial" w:hAnsi="Arial"/>
          <w:b/>
          <w:bCs/>
          <w:color w:val="2E86AB"/>
          <w:sz w:val="28"/>
          <w:szCs w:val="28"/>
        </w:rPr>
        <w:t xml:space="preserve">5.2 data_loader.py — Graph Construction</w:t>
      </w:r>
    </w:p>
    <w:p>
      <w:pPr>
        <w:spacing w:before="80" w:after="120"/>
      </w:pPr>
      <w:r>
        <w:rPr>
          <w:rFonts w:ascii="Arial" w:cs="Arial" w:eastAsia="Arial" w:hAnsi="Arial"/>
          <w:b/>
          <w:bCs/>
          <w:sz w:val="22"/>
          <w:szCs w:val="22"/>
        </w:rPr>
        <w:t xml:space="preserve">Elliptic loader</w:t>
      </w:r>
      <w:r>
        <w:rPr>
          <w:rFonts w:ascii="Arial" w:cs="Arial" w:eastAsia="Arial" w:hAnsi="Arial"/>
          <w:sz w:val="22"/>
          <w:szCs w:val="22"/>
        </w:rPr>
        <w:t xml:space="preserve">: reads 3 CSVs (features, edges, labels), builds a txId → index mapping, normalizes 166 features with StandardScaler, maps labels (1→fraud, 2→legit, unknown→-1), and does a stratified train/val/test split that preserves the fraud ratio in each split. The result is a PyG Data object with x, edge_index, y, and train/val/test masks.</w:t>
      </w:r>
    </w:p>
    <w:p>
      <w:pPr>
        <w:spacing w:before="0" w:after="80"/>
      </w:pPr>
    </w:p>
    <w:p>
      <w:pPr>
        <w:spacing w:before="80" w:after="120"/>
      </w:pPr>
      <w:r>
        <w:rPr>
          <w:rFonts w:ascii="Arial" w:cs="Arial" w:eastAsia="Arial" w:hAnsi="Arial"/>
          <w:b/>
          <w:bCs/>
          <w:sz w:val="22"/>
          <w:szCs w:val="22"/>
        </w:rPr>
        <w:t xml:space="preserve">IEEE-CIS loader</w:t>
      </w:r>
      <w:r>
        <w:rPr>
          <w:rFonts w:ascii="Arial" w:cs="Arial" w:eastAsia="Arial" w:hAnsi="Arial"/>
          <w:sz w:val="22"/>
          <w:szCs w:val="22"/>
        </w:rPr>
        <w:t xml:space="preserve">: constructs a bipartite graph rather than reading a pre-built edgelist. Card nodes (node type 0) are offset by n_cards, so transaction node indices start at n_cards. Card nodes have zero features (unknown). The bipartite structure means the GNN propagates information between cards and their transactions — a card that made many fraudulent transactions will develop a fraud-like representation even without explicit features.</w:t>
      </w:r>
    </w:p>
    <w:p>
      <w:pPr>
        <w:spacing w:before="0" w:after="120"/>
      </w:pPr>
    </w:p>
    <w:p>
      <w:pPr>
        <w:pStyle w:val="Heading2"/>
        <w:spacing w:before="300" w:after="140"/>
      </w:pPr>
      <w:r>
        <w:rPr>
          <w:rFonts w:ascii="Arial" w:cs="Arial" w:eastAsia="Arial" w:hAnsi="Arial"/>
          <w:b/>
          <w:bCs/>
          <w:color w:val="2E86AB"/>
          <w:sz w:val="28"/>
          <w:szCs w:val="28"/>
        </w:rPr>
        <w:t xml:space="preserve">5.3 models/gnn.py — The GNN Architectures</w:t>
      </w:r>
    </w:p>
    <w:p>
      <w:pPr>
        <w:spacing w:before="80" w:after="120"/>
      </w:pPr>
      <w:r>
        <w:rPr>
          <w:rFonts w:ascii="Arial" w:cs="Arial" w:eastAsia="Arial" w:hAnsi="Arial"/>
          <w:b/>
          <w:bCs/>
          <w:sz w:val="22"/>
          <w:szCs w:val="22"/>
        </w:rPr>
        <w:t xml:space="preserve">GraphSAGE</w:t>
      </w:r>
      <w:r>
        <w:rPr>
          <w:rFonts w:ascii="Arial" w:cs="Arial" w:eastAsia="Arial" w:hAnsi="Arial"/>
          <w:sz w:val="22"/>
          <w:szCs w:val="22"/>
        </w:rPr>
        <w:t xml:space="preserve">: 3 SAGEConv layers, each followed by BatchNorm + ReLU + Dropout. JumpingKnowledge (mode=cat) concatenates all layer outputs → 384-dim representation → 2-layer MLP classifier. The aggr='mean' parameter selects mean aggregation.</w:t>
      </w:r>
    </w:p>
    <w:p>
      <w:pPr>
        <w:spacing w:before="0" w:after="80"/>
      </w:pPr>
    </w:p>
    <w:p>
      <w:pPr>
        <w:spacing w:before="80" w:after="120"/>
      </w:pPr>
      <w:r>
        <w:rPr>
          <w:rFonts w:ascii="Arial" w:cs="Arial" w:eastAsia="Arial" w:hAnsi="Arial"/>
          <w:b/>
          <w:bCs/>
          <w:sz w:val="22"/>
          <w:szCs w:val="22"/>
        </w:rPr>
        <w:t xml:space="preserve">GAT</w:t>
      </w:r>
      <w:r>
        <w:rPr>
          <w:rFonts w:ascii="Arial" w:cs="Arial" w:eastAsia="Arial" w:hAnsi="Arial"/>
          <w:sz w:val="22"/>
          <w:szCs w:val="22"/>
        </w:rPr>
        <w:t xml:space="preserve">: 3 GATConv layers. First two use K=4 heads with concat=True (output dim = 128×4 = 512). Final layer uses 1 head to reduce back to 128-dim. ELU activation (smoother gradient than ReLU for attention-based models). The attention dropout is applied inside GATConv.</w:t>
      </w:r>
    </w:p>
    <w:p>
      <w:pPr>
        <w:spacing w:before="0" w:after="120"/>
      </w:pPr>
    </w:p>
    <w:p>
      <w:pPr>
        <w:pStyle w:val="Heading2"/>
        <w:spacing w:before="300" w:after="140"/>
      </w:pPr>
      <w:r>
        <w:rPr>
          <w:rFonts w:ascii="Arial" w:cs="Arial" w:eastAsia="Arial" w:hAnsi="Arial"/>
          <w:b/>
          <w:bCs/>
          <w:color w:val="2E86AB"/>
          <w:sz w:val="28"/>
          <w:szCs w:val="28"/>
        </w:rPr>
        <w:t xml:space="preserve">5.4 train.py — The Training Loop</w:t>
      </w:r>
    </w:p>
    <w:p>
      <w:pPr>
        <w:spacing w:before="80" w:after="120"/>
      </w:pPr>
      <w:r>
        <w:rPr>
          <w:rFonts w:ascii="Arial" w:cs="Arial" w:eastAsia="Arial" w:hAnsi="Arial"/>
          <w:sz w:val="22"/>
          <w:szCs w:val="22"/>
        </w:rPr>
        <w:t xml:space="preserve">Five components work together in train.py:</w:t>
      </w:r>
    </w:p>
    <w:p>
      <w:pPr>
        <w:spacing w:before="0" w:after="60"/>
      </w:pPr>
    </w:p>
    <w:p>
      <w:pPr>
        <w:pStyle w:val="ListParagraph"/>
        <w:numPr>
          <w:ilvl w:val="0"/>
          <w:numId w:val="3"/>
        </w:numPr>
        <w:spacing w:before="60" w:after="60"/>
      </w:pPr>
      <w:r>
        <w:rPr>
          <w:rFonts w:ascii="Arial" w:cs="Arial" w:eastAsia="Arial" w:hAnsi="Arial"/>
          <w:b/>
          <w:bCs/>
          <w:sz w:val="22"/>
          <w:szCs w:val="22"/>
        </w:rPr>
        <w:t xml:space="preserve">NeighborLoader</w:t>
      </w:r>
      <w:r>
        <w:rPr>
          <w:rFonts w:ascii="Arial" w:cs="Arial" w:eastAsia="Arial" w:hAnsi="Arial"/>
          <w:sz w:val="22"/>
          <w:szCs w:val="22"/>
        </w:rPr>
        <w:t xml:space="preserve"> builds mini-batches by sampling k-hop neighborhoods</w:t>
      </w:r>
    </w:p>
    <w:p>
      <w:pPr>
        <w:pStyle w:val="ListParagraph"/>
        <w:numPr>
          <w:ilvl w:val="0"/>
          <w:numId w:val="3"/>
        </w:numPr>
        <w:spacing w:before="60" w:after="60"/>
      </w:pPr>
      <w:r>
        <w:rPr>
          <w:rFonts w:ascii="Arial" w:cs="Arial" w:eastAsia="Arial" w:hAnsi="Arial"/>
          <w:b/>
          <w:bCs/>
          <w:sz w:val="22"/>
          <w:szCs w:val="22"/>
        </w:rPr>
        <w:t xml:space="preserve">Weighted loss</w:t>
      </w:r>
      <w:r>
        <w:rPr>
          <w:rFonts w:ascii="Arial" w:cs="Arial" w:eastAsia="Arial" w:hAnsi="Arial"/>
          <w:sz w:val="22"/>
          <w:szCs w:val="22"/>
        </w:rPr>
        <w:t xml:space="preserve"> assigns 25× penalty to fraud misclassification</w:t>
      </w:r>
    </w:p>
    <w:p>
      <w:pPr>
        <w:pStyle w:val="ListParagraph"/>
        <w:numPr>
          <w:ilvl w:val="0"/>
          <w:numId w:val="3"/>
        </w:numPr>
        <w:spacing w:before="60" w:after="60"/>
      </w:pPr>
      <w:r>
        <w:rPr>
          <w:rFonts w:ascii="Arial" w:cs="Arial" w:eastAsia="Arial" w:hAnsi="Arial"/>
          <w:b/>
          <w:bCs/>
          <w:sz w:val="22"/>
          <w:szCs w:val="22"/>
        </w:rPr>
        <w:t xml:space="preserve">Fraud oversampling</w:t>
      </w:r>
      <w:r>
        <w:rPr>
          <w:rFonts w:ascii="Arial" w:cs="Arial" w:eastAsia="Arial" w:hAnsi="Arial"/>
          <w:sz w:val="22"/>
          <w:szCs w:val="22"/>
        </w:rPr>
        <w:t xml:space="preserve"> ensures 30% of batch seeds are fraud nodes</w:t>
      </w:r>
    </w:p>
    <w:p>
      <w:pPr>
        <w:pStyle w:val="ListParagraph"/>
        <w:numPr>
          <w:ilvl w:val="0"/>
          <w:numId w:val="3"/>
        </w:numPr>
        <w:spacing w:before="60" w:after="60"/>
      </w:pPr>
      <w:r>
        <w:rPr>
          <w:rFonts w:ascii="Arial" w:cs="Arial" w:eastAsia="Arial" w:hAnsi="Arial"/>
          <w:b/>
          <w:bCs/>
          <w:sz w:val="22"/>
          <w:szCs w:val="22"/>
        </w:rPr>
        <w:t xml:space="preserve">Gradient clipping</w:t>
      </w:r>
      <w:r>
        <w:rPr>
          <w:rFonts w:ascii="Arial" w:cs="Arial" w:eastAsia="Arial" w:hAnsi="Arial"/>
          <w:sz w:val="22"/>
          <w:szCs w:val="22"/>
        </w:rPr>
        <w:t xml:space="preserve"> (max_norm=1.0) prevents exploding gradients in attention layers</w:t>
      </w:r>
    </w:p>
    <w:p>
      <w:pPr>
        <w:pStyle w:val="ListParagraph"/>
        <w:numPr>
          <w:ilvl w:val="0"/>
          <w:numId w:val="3"/>
        </w:numPr>
        <w:spacing w:before="60" w:after="60"/>
      </w:pPr>
      <w:r>
        <w:rPr>
          <w:rFonts w:ascii="Arial" w:cs="Arial" w:eastAsia="Arial" w:hAnsi="Arial"/>
          <w:b/>
          <w:bCs/>
          <w:sz w:val="22"/>
          <w:szCs w:val="22"/>
        </w:rPr>
        <w:t xml:space="preserve">EarlyStopping</w:t>
      </w:r>
      <w:r>
        <w:rPr>
          <w:rFonts w:ascii="Arial" w:cs="Arial" w:eastAsia="Arial" w:hAnsi="Arial"/>
          <w:sz w:val="22"/>
          <w:szCs w:val="22"/>
        </w:rPr>
        <w:t xml:space="preserve"> monitors val F1 (not loss); restores the best checkpoint after patience exhaustion</w:t>
      </w:r>
    </w:p>
    <w:p>
      <w:pPr>
        <w:spacing w:before="0" w:after="120"/>
      </w:pPr>
    </w:p>
    <w:p>
      <w:pPr>
        <w:spacing w:before="80" w:after="120"/>
      </w:pPr>
      <w:r>
        <w:rPr>
          <w:rFonts w:ascii="Arial" w:cs="Arial" w:eastAsia="Arial" w:hAnsi="Arial"/>
          <w:b/>
          <w:bCs/>
          <w:sz w:val="22"/>
          <w:szCs w:val="22"/>
        </w:rPr>
        <w:t xml:space="preserve">Critical implementation detail</w:t>
      </w:r>
      <w:r>
        <w:rPr>
          <w:rFonts w:ascii="Arial" w:cs="Arial" w:eastAsia="Arial" w:hAnsi="Arial"/>
          <w:sz w:val="22"/>
          <w:szCs w:val="22"/>
        </w:rPr>
        <w:t xml:space="preserve">: when using NeighborLoader, the batch contains both seed nodes and their sampled neighborhoods. Loss must only be computed on the seed nodes (</w:t>
      </w:r>
      <w:r>
        <w:rPr>
          <w:rFonts w:ascii="Courier New" w:cs="Courier New" w:eastAsia="Courier New" w:hAnsi="Courier New"/>
          <w:color w:val="C0392B"/>
          <w:sz w:val="20"/>
          <w:szCs w:val="20"/>
        </w:rPr>
        <w:t xml:space="preserve">logits[:batch.batch_size]</w:t>
      </w:r>
      <w:r>
        <w:rPr>
          <w:rFonts w:ascii="Arial" w:cs="Arial" w:eastAsia="Arial" w:hAnsi="Arial"/>
          <w:sz w:val="22"/>
          <w:szCs w:val="22"/>
        </w:rPr>
        <w:t xml:space="preserve">), not the neighborhood nodes, which are only present to provide context for message passing.</w:t>
      </w:r>
    </w:p>
    <w:p>
      <w:pPr>
        <w:spacing w:before="0" w:after="200"/>
      </w:pPr>
    </w:p>
    <w:p>
      <w:pPr>
        <w:pStyle w:val="Heading1"/>
        <w:pBdr>
          <w:bottom w:val="thick" w:color="1B4F72" w:sz="8" w:space="6"/>
        </w:pBdr>
        <w:spacing w:before="400" w:after="200"/>
      </w:pPr>
      <w:r>
        <w:rPr>
          <w:rFonts w:ascii="Arial" w:cs="Arial" w:eastAsia="Arial" w:hAnsi="Arial"/>
          <w:b/>
          <w:bCs/>
          <w:color w:val="1B4F72"/>
          <w:sz w:val="36"/>
          <w:szCs w:val="36"/>
        </w:rPr>
        <w:t xml:space="preserve">6. Why GNN Beats Other Approaches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2200"/>
        <w:gridCol w:w="3060"/>
      </w:tblGrid>
      <w:tr>
        <w:trPr>
          <w:tblHeader/>
        </w:trPr>
        <w:tc>
          <w:tcPr>
            <w:tcW w:type="dxa" w:w="1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Cons</w:t>
            </w:r>
          </w:p>
        </w:tc>
        <w:tc>
          <w:tcPr>
            <w:tcW w:type="dxa" w:w="30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GNN Wins</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Logistic Regression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Fast, interpretable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Linear only, no graph structure</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Cannot capture ring patterns</w:t>
            </w:r>
          </w:p>
        </w:tc>
      </w:tr>
      <w:tr>
        <w:tc>
          <w:tcPr>
            <w:tcW w:type="dxa" w:w="19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XGBoost / Random Forest</w:t>
            </w:r>
          </w:p>
        </w:tc>
        <w:tc>
          <w:tcPr>
            <w:tcW w:type="dxa" w:w="22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High accuracy on tabular data</w:t>
            </w:r>
          </w:p>
        </w:tc>
        <w:tc>
          <w:tcPr>
            <w:tcW w:type="dxa" w:w="22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Still ignores graph structure</w:t>
            </w:r>
          </w:p>
        </w:tc>
        <w:tc>
          <w:tcPr>
            <w:tcW w:type="dxa" w:w="306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Misses relational fraud entirely</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Graph Statistics (NetworkX)</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Captures degree, centrality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learned features, not end-to-end</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Hand-crafted features miss subtle patterns</w:t>
            </w:r>
          </w:p>
        </w:tc>
      </w:tr>
      <w:tr>
        <w:tc>
          <w:tcPr>
            <w:tcW w:type="dxa" w:w="19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Spectral GCN</w:t>
            </w:r>
          </w:p>
        </w:tc>
        <w:tc>
          <w:tcPr>
            <w:tcW w:type="dxa" w:w="22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Theoretically grounded</w:t>
            </w:r>
          </w:p>
        </w:tc>
        <w:tc>
          <w:tcPr>
            <w:tcW w:type="dxa" w:w="22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Transductive, not scalable</w:t>
            </w:r>
          </w:p>
        </w:tc>
        <w:tc>
          <w:tcPr>
            <w:tcW w:type="dxa" w:w="306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Can't handle new transactions at inference</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GraphSAGE / GAT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Scalable, inductive, learns graph features end-to-end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More complex, needs tuning</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Jointly optimizes graph structure + features for fraud</w:t>
            </w:r>
          </w:p>
        </w:tc>
      </w:tr>
    </w:tbl>
    <w:p>
      <w:pPr>
        <w:spacing w:before="0" w:after="180"/>
      </w:pPr>
    </w:p>
    <w:p>
      <w:pPr>
        <w:pStyle w:val="Heading2"/>
        <w:spacing w:before="300" w:after="140"/>
      </w:pPr>
      <w:r>
        <w:rPr>
          <w:rFonts w:ascii="Arial" w:cs="Arial" w:eastAsia="Arial" w:hAnsi="Arial"/>
          <w:b/>
          <w:bCs/>
          <w:color w:val="2E86AB"/>
          <w:sz w:val="28"/>
          <w:szCs w:val="28"/>
        </w:rPr>
        <w:t xml:space="preserve">6.1 The Information Flow Advantage</w:t>
      </w:r>
    </w:p>
    <w:p>
      <w:pPr>
        <w:spacing w:before="80" w:after="120"/>
      </w:pPr>
      <w:r>
        <w:rPr>
          <w:rFonts w:ascii="Arial" w:cs="Arial" w:eastAsia="Arial" w:hAnsi="Arial"/>
          <w:sz w:val="22"/>
          <w:szCs w:val="22"/>
        </w:rPr>
        <w:t xml:space="preserve">Consider a fraud ring: nodes A → B → C → D, all fraudulent. With L=3 GraphSAGE layers:</w:t>
      </w:r>
    </w:p>
    <w:p>
      <w:pPr>
        <w:spacing w:before="0" w:after="80"/>
      </w:pPr>
    </w:p>
    <w:p>
      <w:pPr>
        <w:pStyle w:val="ListParagraph"/>
        <w:numPr>
          <w:ilvl w:val="0"/>
          <w:numId w:val="2"/>
        </w:numPr>
        <w:spacing w:before="60" w:after="60"/>
      </w:pPr>
      <w:r>
        <w:rPr>
          <w:rFonts w:ascii="Arial" w:cs="Arial" w:eastAsia="Arial" w:hAnsi="Arial"/>
          <w:sz w:val="22"/>
          <w:szCs w:val="22"/>
        </w:rPr>
        <w:t xml:space="preserve">Layer 1: Each node sees direct neighbors. A sees B; B sees A and C; C sees B and D</w:t>
      </w:r>
    </w:p>
    <w:p>
      <w:pPr>
        <w:pStyle w:val="ListParagraph"/>
        <w:numPr>
          <w:ilvl w:val="0"/>
          <w:numId w:val="2"/>
        </w:numPr>
        <w:spacing w:before="60" w:after="60"/>
      </w:pPr>
      <w:r>
        <w:rPr>
          <w:rFonts w:ascii="Arial" w:cs="Arial" w:eastAsia="Arial" w:hAnsi="Arial"/>
          <w:sz w:val="22"/>
          <w:szCs w:val="22"/>
        </w:rPr>
        <w:t xml:space="preserve">Layer 2: Each node sees 2-hop neighbors. A's representation now encodes information about C (A→B→C)</w:t>
      </w:r>
    </w:p>
    <w:p>
      <w:pPr>
        <w:pStyle w:val="ListParagraph"/>
        <w:numPr>
          <w:ilvl w:val="0"/>
          <w:numId w:val="2"/>
        </w:numPr>
        <w:spacing w:before="60" w:after="60"/>
      </w:pPr>
      <w:r>
        <w:rPr>
          <w:rFonts w:ascii="Arial" w:cs="Arial" w:eastAsia="Arial" w:hAnsi="Arial"/>
          <w:sz w:val="22"/>
          <w:szCs w:val="22"/>
        </w:rPr>
        <w:t xml:space="preserve">Layer 3: A's representation now encodes information about D (A→B→C→D)</w:t>
      </w:r>
    </w:p>
    <w:p>
      <w:pPr>
        <w:spacing w:before="0" w:after="80"/>
      </w:pPr>
    </w:p>
    <w:p>
      <w:pPr>
        <w:spacing w:before="80" w:after="120"/>
      </w:pPr>
      <w:r>
        <w:rPr>
          <w:rFonts w:ascii="Arial" w:cs="Arial" w:eastAsia="Arial" w:hAnsi="Arial"/>
          <w:sz w:val="22"/>
          <w:szCs w:val="22"/>
        </w:rPr>
        <w:t xml:space="preserve">Every node in the ring can influence every other node's representation. The model learns that nodes embedded in dense fraud-to-fraud subgraphs (high mutual attention in GAT) are likely fraudulent — a signal that is completely invisible to tabular models.</w:t>
      </w:r>
    </w:p>
    <w:p>
      <w:pPr>
        <w:spacing w:before="0" w:after="200"/>
      </w:pPr>
    </w:p>
    <w:p>
      <w:pPr>
        <w:pStyle w:val="Heading1"/>
        <w:pBdr>
          <w:bottom w:val="thick" w:color="1B4F72" w:sz="8" w:space="6"/>
        </w:pBdr>
        <w:spacing w:before="400" w:after="200"/>
      </w:pPr>
      <w:r>
        <w:rPr>
          <w:rFonts w:ascii="Arial" w:cs="Arial" w:eastAsia="Arial" w:hAnsi="Arial"/>
          <w:b/>
          <w:bCs/>
          <w:color w:val="1B4F72"/>
          <w:sz w:val="36"/>
          <w:szCs w:val="36"/>
        </w:rPr>
        <w:t xml:space="preserve">7. Quick Reference</w:t>
      </w:r>
    </w:p>
    <w:p>
      <w:pPr>
        <w:spacing w:before="0" w:after="60"/>
      </w:pPr>
    </w:p>
    <w:p>
      <w:pPr>
        <w:pStyle w:val="Heading2"/>
        <w:spacing w:before="300" w:after="140"/>
      </w:pPr>
      <w:r>
        <w:rPr>
          <w:rFonts w:ascii="Arial" w:cs="Arial" w:eastAsia="Arial" w:hAnsi="Arial"/>
          <w:b/>
          <w:bCs/>
          <w:color w:val="2E86AB"/>
          <w:sz w:val="28"/>
          <w:szCs w:val="28"/>
        </w:rPr>
        <w:t xml:space="preserve">Key Equations Summary</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Equation</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h_v^(l) = σ(W · CONCAT[h_v^(l-1), mean(h_N(v)^(l-1))])</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GraphSAGE update rule (mean aggregator)</w:t>
            </w:r>
          </w:p>
        </w:tc>
      </w:tr>
      <w:tr>
        <w:tc>
          <w:tcPr>
            <w:tcW w:type="dxa" w:w="50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α_vu = softmax(LeakyReLU(a^T · [Wh_v || Wh_u]))</w:t>
            </w:r>
          </w:p>
        </w:tc>
        <w:tc>
          <w:tcPr>
            <w:tcW w:type="dxa" w:w="436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GAT attention coefficient</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h_v^final = CONCAT[h_v^(1), ..., h_v^(L)]</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JumpingKnowledge (cat mode)</w:t>
            </w:r>
          </w:p>
        </w:tc>
      </w:tr>
      <w:tr>
        <w:tc>
          <w:tcPr>
            <w:tcW w:type="dxa" w:w="50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w_fraud = N_total / (2 × N_fraud)</w:t>
            </w:r>
          </w:p>
        </w:tc>
        <w:tc>
          <w:tcPr>
            <w:tcW w:type="dxa" w:w="436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Inverse frequency class weight</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threshold* = argmax_t F1(y_val, pred_{prob&gt;t})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Optimal classification threshold</w:t>
            </w:r>
          </w:p>
        </w:tc>
      </w:tr>
    </w:tbl>
    <w:p>
      <w:pPr>
        <w:spacing w:before="0" w:after="160"/>
      </w:pPr>
    </w:p>
    <w:p>
      <w:pPr>
        <w:pStyle w:val="Heading2"/>
        <w:spacing w:before="300" w:after="140"/>
      </w:pPr>
      <w:r>
        <w:rPr>
          <w:rFonts w:ascii="Arial" w:cs="Arial" w:eastAsia="Arial" w:hAnsi="Arial"/>
          <w:b/>
          <w:bCs/>
          <w:color w:val="2E86AB"/>
          <w:sz w:val="28"/>
          <w:szCs w:val="28"/>
        </w:rPr>
        <w:t xml:space="preserve">File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64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4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Function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config.py</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6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CFG dataclass: all hyperparameters in one place</w:t>
            </w:r>
          </w:p>
        </w:tc>
      </w:tr>
      <w:tr>
        <w:tc>
          <w:tcPr>
            <w:tcW w:type="dxa" w:w="22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utils/data_loader.py</w:t>
            </w:r>
          </w:p>
        </w:tc>
        <w:tc>
          <w:tcPr>
            <w:tcW w:type="dxa" w:w="7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2</w:t>
            </w:r>
          </w:p>
        </w:tc>
        <w:tc>
          <w:tcPr>
            <w:tcW w:type="dxa" w:w="646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load_elliptic(), generate_synthetic_graph(), compute_class_weights()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utils/graph_eda.py</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6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run_eda(): degree dist, features, class imbalance, temporal plots</w:t>
            </w:r>
          </w:p>
        </w:tc>
      </w:tr>
      <w:tr>
        <w:tc>
          <w:tcPr>
            <w:tcW w:type="dxa" w:w="22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models/gnn.py</w:t>
            </w:r>
          </w:p>
        </w:tc>
        <w:tc>
          <w:tcPr>
            <w:tcW w:type="dxa" w:w="7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4</w:t>
            </w:r>
          </w:p>
        </w:tc>
        <w:tc>
          <w:tcPr>
            <w:tcW w:type="dxa" w:w="646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GraphSAGE, GAT classes + build_model() factory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train.py</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6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train(): NeighborLoader + weighted loss + oversampling + early stop</w:t>
            </w:r>
          </w:p>
        </w:tc>
      </w:tr>
      <w:tr>
        <w:tc>
          <w:tcPr>
            <w:tcW w:type="dxa" w:w="22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evaluate.py</w:t>
            </w:r>
          </w:p>
        </w:tc>
        <w:tc>
          <w:tcPr>
            <w:tcW w:type="dxa" w:w="7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6</w:t>
            </w:r>
          </w:p>
        </w:tc>
        <w:tc>
          <w:tcPr>
            <w:tcW w:type="dxa" w:w="646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evaluate_model(): F1, AUC-ROC, AUC-PR, threshold sweep</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visualize.py</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w:t>
            </w:r>
          </w:p>
        </w:tc>
        <w:tc>
          <w:tcPr>
            <w:tcW w:type="dxa" w:w="6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fraud subgraph, t-SNE embeddings, fraud heatmap</w:t>
            </w:r>
          </w:p>
        </w:tc>
      </w:tr>
      <w:tr>
        <w:tc>
          <w:tcPr>
            <w:tcW w:type="dxa" w:w="22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run_pipeline.py</w:t>
            </w:r>
          </w:p>
        </w:tc>
        <w:tc>
          <w:tcPr>
            <w:tcW w:type="dxa" w:w="7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ALL</w:t>
            </w:r>
          </w:p>
        </w:tc>
        <w:tc>
          <w:tcPr>
            <w:tcW w:type="dxa" w:w="646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sz w:val="20"/>
                <w:szCs w:val="20"/>
              </w:rPr>
              <w:t xml:space="preserve">End-to-end runner: python run_pipeline.py --model graphsage</w:t>
            </w:r>
          </w:p>
        </w:tc>
      </w:tr>
    </w:tbl>
    <w:p>
      <w:pPr>
        <w:spacing w:before="0" w:after="200"/>
      </w:pPr>
    </w:p>
    <w:p>
      <w:r>
        <w:br w:type="page"/>
      </w:r>
    </w:p>
    <w:p>
      <w:pPr>
        <w:pBdr>
          <w:top w:val="thick" w:color="1B4F72" w:sz="8" w:space="6"/>
          <w:bottom w:val="thick" w:color="1B4F72" w:sz="8" w:space="6"/>
        </w:pBdr>
        <w:shd w:fill="EBF5FB" w:val="clear"/>
        <w:spacing w:before="0" w:after="0"/>
        <w:jc w:val="center"/>
      </w:pPr>
      <w:r>
        <w:rPr>
          <w:rFonts w:ascii="Arial" w:cs="Arial" w:eastAsia="Arial" w:hAnsi="Arial"/>
          <w:sz w:val="10"/>
          <w:szCs w:val="10"/>
        </w:rPr>
        <w:t xml:space="preserve"/>
      </w:r>
    </w:p>
    <w:p>
      <w:pPr>
        <w:shd w:fill="EBF5FB" w:val="clear"/>
        <w:spacing w:before="40" w:after="0"/>
        <w:jc w:val="center"/>
      </w:pPr>
      <w:r>
        <w:rPr>
          <w:rFonts w:ascii="Arial" w:cs="Arial" w:eastAsia="Arial" w:hAnsi="Arial"/>
          <w:b/>
          <w:bCs/>
          <w:color w:val="1B4F72"/>
          <w:sz w:val="32"/>
          <w:szCs w:val="32"/>
        </w:rPr>
        <w:t xml:space="preserve">The Big Picture</w:t>
      </w:r>
    </w:p>
    <w:p>
      <w:pPr>
        <w:spacing w:before="0" w:after="20"/>
      </w:pPr>
    </w:p>
    <w:p>
      <w:pPr>
        <w:shd w:fill="EBF5FB" w:val="clear"/>
        <w:spacing w:before="0" w:after="40"/>
        <w:ind w:left="720" w:right="720"/>
        <w:jc w:val="center"/>
      </w:pPr>
      <w:r>
        <w:rPr>
          <w:rFonts w:ascii="Arial" w:cs="Arial" w:eastAsia="Arial" w:hAnsi="Arial"/>
          <w:i/>
          <w:iCs/>
          <w:color w:val="1A252F"/>
          <w:sz w:val="22"/>
          <w:szCs w:val="22"/>
        </w:rPr>
        <w:t xml:space="preserve">Fraud is a relational phenomenon. GNNs are relational models. By modeling the payment network as a graph and learning to propagate information along transaction edges, we capture the ring topology, mule network signatures, and cascade patterns that make fraud detectable — signals that are completely invisible to any model that treats transactions as independent rows.</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4"/>
      </w:pBdr>
    </w:pPr>
    <w:r>
      <w:rPr>
        <w:rFonts w:ascii="Arial" w:cs="Arial" w:eastAsia="Arial" w:hAnsi="Arial"/>
        <w:color w:val="888888"/>
        <w:sz w:val="18"/>
        <w:szCs w:val="18"/>
      </w:rPr>
      <w:t xml:space="preserve">Fraud Detection with GNNs — Theory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300" w:after="140"/>
      <w:outlineLvl w:val="1"/>
    </w:pPr>
    <w:rPr>
      <w:rFonts w:ascii="Arial" w:cs="Arial" w:eastAsia="Arial" w:hAnsi="Arial"/>
      <w:b/>
      <w:bCs/>
      <w:color w:val="2E86AB"/>
      <w:sz w:val="28"/>
      <w:szCs w:val="28"/>
    </w:rPr>
  </w:style>
  <w:style w:type="paragraph" w:styleId="Heading3">
    <w:name w:val="Heading 3"/>
    <w:basedOn w:val="Normal"/>
    <w:next w:val="Normal"/>
    <w:qFormat/>
    <w:pPr>
      <w:spacing w:before="220" w:after="1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2026-03-06T15:48:42.299Z</dcterms:created>
  <dcterms:modified xsi:type="dcterms:W3CDTF">2026-03-06T15:48:42.301Z</dcterms:modified>
</cp:coreProperties>
</file>

<file path=docProps/custom.xml><?xml version="1.0" encoding="utf-8"?>
<Properties xmlns="http://schemas.openxmlformats.org/officeDocument/2006/custom-properties" xmlns:vt="http://schemas.openxmlformats.org/officeDocument/2006/docPropsVTypes"/>
</file>