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COMSATS University Islamabad (CUI)</w:t>
      </w:r>
    </w:p>
    <w:p>
      <w:pPr>
        <w:spacing w:after="400"/>
        <w:jc w:val="center"/>
      </w:pPr>
      <w:r>
        <w:rPr>
          <w:sz w:val="26"/>
          <w:szCs w:val="26"/>
        </w:rPr>
        <w:t xml:space="preserve">Project Proposal</w:t>
      </w:r>
    </w:p>
    <w:p>
      <w:pPr>
        <w:spacing w:after="60"/>
        <w:jc w:val="center"/>
      </w:pPr>
      <w:r>
        <w:rPr>
          <w:i/>
          <w:iCs/>
          <w:sz w:val="22"/>
          <w:szCs w:val="22"/>
        </w:rPr>
        <w:t xml:space="preserve">for</w:t>
      </w:r>
    </w:p>
    <w:p>
      <w:pPr>
        <w:spacing w:after="60" w:before="200"/>
        <w:jc w:val="center"/>
      </w:pPr>
      <w:r>
        <w:rPr>
          <w:b/>
          <w:bCs/>
          <w:color w:val="1F3864"/>
          <w:sz w:val="32"/>
          <w:szCs w:val="32"/>
        </w:rPr>
        <w:t xml:space="preserve">AI-Assisted Plasma Process Experimentation &amp; Digital Twin Analytics Platform</w:t>
      </w:r>
    </w:p>
    <w:p>
      <w:pPr>
        <w:spacing w:after="500"/>
        <w:jc w:val="center"/>
      </w:pPr>
      <w:r>
        <w:rPr>
          <w:b/>
          <w:bCs/>
          <w:color w:val="C00000"/>
          <w:sz w:val="22"/>
          <w:szCs w:val="22"/>
        </w:rPr>
        <w:t xml:space="preserve">Version 2.0 — Revised Technical Scope</w:t>
      </w:r>
    </w:p>
    <w:p>
      <w:pPr>
        <w:spacing w:after="40"/>
        <w:jc w:val="center"/>
      </w:pPr>
      <w:r>
        <w:rPr>
          <w:sz w:val="22"/>
          <w:szCs w:val="22"/>
        </w:rPr>
        <w:t xml:space="preserve">By</w:t>
      </w:r>
    </w:p>
    <w:p>
      <w:pPr>
        <w:spacing w:after="20"/>
        <w:jc w:val="center"/>
      </w:pPr>
      <w:r>
        <w:rPr>
          <w:sz w:val="22"/>
          <w:szCs w:val="22"/>
        </w:rPr>
        <w:t xml:space="preserve">Muhammad Rayyan Taimoor Khan</w:t>
      </w:r>
      <w:r>
        <w:rPr>
          <w:sz w:val="20"/>
          <w:szCs w:val="20"/>
        </w:rPr>
        <w:t xml:space="preserve">                CIIT/FA23-BCS-072/ISB</w:t>
      </w:r>
    </w:p>
    <w:p>
      <w:pPr>
        <w:spacing w:after="300"/>
        <w:jc w:val="center"/>
      </w:pPr>
      <w:r>
        <w:rPr>
          <w:sz w:val="22"/>
          <w:szCs w:val="22"/>
        </w:rPr>
        <w:t xml:space="preserve">Sadeem Ur Rehman</w:t>
      </w:r>
      <w:r>
        <w:rPr>
          <w:sz w:val="20"/>
          <w:szCs w:val="20"/>
        </w:rPr>
        <w:t xml:space="preserve">                                    CIIT/FA23-BCS-127/ISB</w:t>
      </w:r>
    </w:p>
    <w:p>
      <w:pPr>
        <w:spacing w:after="40"/>
        <w:jc w:val="center"/>
      </w:pPr>
      <w:r>
        <w:rPr>
          <w:sz w:val="22"/>
          <w:szCs w:val="22"/>
        </w:rPr>
        <w:t xml:space="preserve">Supervisor</w:t>
      </w:r>
    </w:p>
    <w:p>
      <w:pPr>
        <w:spacing w:after="500"/>
        <w:jc w:val="center"/>
      </w:pPr>
      <w:r>
        <w:rPr>
          <w:b/>
          <w:bCs/>
          <w:sz w:val="22"/>
          <w:szCs w:val="22"/>
        </w:rPr>
        <w:t xml:space="preserve">Dr Majid Iqbal</w:t>
      </w:r>
    </w:p>
    <w:p>
      <w:pPr>
        <w:spacing w:after="500"/>
        <w:jc w:val="center"/>
      </w:pPr>
      <w:r>
        <w:rPr>
          <w:sz w:val="20"/>
          <w:szCs w:val="20"/>
        </w:rPr>
        <w:t xml:space="preserve">Bachelor of Science in Computer Science (2023–2027)</w:t>
      </w:r>
    </w:p>
    <w:p>
      <w:r>
        <w:br w:type="page"/>
      </w:r>
    </w:p>
    <w:p>
      <w:pPr>
        <w:pStyle w:val="Heading1"/>
        <w:spacing w:after="200" w:before="360"/>
      </w:pPr>
      <w:r>
        <w:rPr>
          <w:b/>
          <w:bCs/>
          <w:color w:val="1F3864"/>
          <w:sz w:val="30"/>
          <w:szCs w:val="30"/>
        </w:rPr>
        <w:t xml:space="preserve">Revision Notice — Version 2.0</w:t>
      </w:r>
    </w:p>
    <w:p>
      <w:pPr>
        <w:spacing w:after="160" w:line="276"/>
        <w:jc w:val="both"/>
      </w:pPr>
      <w:r>
        <w:rPr>
          <w:b/>
          <w:bCs/>
          <w:sz w:val="22"/>
          <w:szCs w:val="22"/>
        </w:rPr>
        <w:t xml:space="preserve">Scope of this revision: </w:t>
      </w:r>
      <w:r>
        <w:rPr>
          <w:sz w:val="22"/>
          <w:szCs w:val="22"/>
        </w:rPr>
        <w:t xml:space="preserve">This version replaces the Digital Twin physics engine and the AI training methodology with technically rigorous alternatives, and adds explainability, validation, and uncertainty-quantification components. Sections and features that were revised or added are marked </w:t>
      </w:r>
      <w:r>
        <w:rPr>
          <w:b/>
          <w:bCs/>
          <w:color w:val="C00000"/>
          <w:sz w:val="20"/>
          <w:szCs w:val="20"/>
        </w:rPr>
        <w:t xml:space="preserve">[REVISED]</w:t>
      </w:r>
      <w:r>
        <w:rPr>
          <w:sz w:val="22"/>
          <w:szCs w:val="22"/>
        </w:rPr>
        <w:t xml:space="preserve"> or </w:t>
      </w:r>
      <w:r>
        <w:rPr>
          <w:b/>
          <w:bCs/>
          <w:color w:val="2E7D32"/>
          <w:sz w:val="20"/>
          <w:szCs w:val="20"/>
        </w:rPr>
        <w:t xml:space="preserve">[NEW]</w:t>
      </w:r>
      <w:r>
        <w:rPr>
          <w:sz w:val="22"/>
          <w:szCs w:val="22"/>
        </w:rPr>
        <w:t xml:space="preserve"> throughout this document. Sections not marked are unchanged from Version 1.0.</w:t>
      </w:r>
    </w:p>
    <w:p>
      <w:pPr>
        <w:spacing w:after="160" w:line="276"/>
        <w:jc w:val="both"/>
      </w:pPr>
      <w:r>
        <w:rPr>
          <w:b/>
          <w:bCs/>
          <w:sz w:val="22"/>
          <w:szCs w:val="22"/>
        </w:rPr>
        <w:t xml:space="preserve">Why this revision was necessary: </w:t>
      </w:r>
      <w:r>
        <w:rPr>
          <w:sz w:val="22"/>
          <w:szCs w:val="22"/>
        </w:rPr>
        <w:t xml:space="preserve">Version 1.0 described the plasma physics engine as "calibrated parametric relationship models" without a stated derivation, and generated AI training labels as a deterministic threshold of the same physics function used to produce the input features. Both choices are defensible for a rough prototype but would not withstand technical scrutiny from an evaluation committee: the first has no verifiable basis, and the second makes the stated classification-accuracy objective (BO-2) close to meaningless, since a model can approach 100% accuracy on a label that is a deterministic function of its own inputs. Version 2.0 replaces both with methods that are still fully implementable by an undergraduate team within the original technology stack, but are independently verifiable and methodologically sound.</w:t>
      </w:r>
    </w:p>
    <w:p>
      <w:pPr>
        <w:spacing w:after="160" w:line="276"/>
        <w:jc w:val="both"/>
      </w:pPr>
      <w:r>
        <w:rPr>
          <w:b/>
          <w:bCs/>
          <w:sz w:val="22"/>
          <w:szCs w:val="22"/>
        </w:rPr>
        <w:t xml:space="preserve">Follow-up correction — Section 12 (Tools and Technologies): </w:t>
      </w:r>
      <w:r>
        <w:rPr>
          <w:sz w:val="22"/>
          <w:szCs w:val="22"/>
        </w:rPr>
        <w:t xml:space="preserve">A subsequent review found that the Python floor of 3.11+ was no longer compatible with current releases of two listed libraries (XGBoost 3.x and SHAP 0.5x both now require Python ≥ 3.12), and that several version floors and one missing tool (pytest) needed correcting. Section 12 has been updated accordingly; see the note at the start of that section for the version-currency practice to follow going forward.</w:t>
      </w:r>
    </w:p>
    <w:p>
      <w:pPr>
        <w:spacing w:after="160" w:line="276"/>
        <w:jc w:val="both"/>
      </w:pPr>
      <w:r>
        <w:rPr>
          <w:b/>
          <w:bCs/>
          <w:sz w:val="22"/>
          <w:szCs w:val="22"/>
        </w:rPr>
        <w:t xml:space="preserve">Defensibility refinements: </w:t>
      </w:r>
      <w:r>
        <w:rPr>
          <w:sz w:val="22"/>
          <w:szCs w:val="22"/>
        </w:rPr>
        <w:t xml:space="preserve">A final pass strengthened the project's defensibility rather than its scope. BO-2 was reframed from an absolute accuracy target to a statistically significant improvement over a transparent baseline (absolute accuracy on self-designed synthetic data is not independently meaningful); Sub-Module 1.3 now pre-registers confounder strengths and noise levels before training to keep reported accuracy honest (FE-1.3.7); Sub-Module 1.6 was upgraded from directional to semi-quantitative validation against published reference values with a stated tolerance band (FE-1.6.2); and reproducibility practice (fixed seeds, optional continuous integration) was added to Section 12. No new modules or technologies were added: at this stage, execution depth and defensibility, not additional features, determine competitive standing.</w:t>
      </w:r>
    </w:p>
    <w:p>
      <w:r>
        <w:br w:type="page"/>
      </w:r>
    </w:p>
    <w:p>
      <w:pPr>
        <w:pStyle w:val="Heading1"/>
        <w:spacing w:after="200" w:before="360"/>
      </w:pPr>
      <w:r>
        <w:rPr>
          <w:b/>
          <w:bCs/>
          <w:color w:val="1F3864"/>
          <w:sz w:val="30"/>
          <w:szCs w:val="30"/>
        </w:rPr>
        <w:t xml:space="preserve">Abstract</w:t>
      </w:r>
    </w:p>
    <w:p>
      <w:pPr>
        <w:spacing w:after="160" w:line="276"/>
        <w:jc w:val="both"/>
      </w:pPr>
      <w:r>
        <w:rPr>
          <w:b/>
          <w:bCs/>
          <w:sz w:val="22"/>
          <w:szCs w:val="22"/>
        </w:rPr>
        <w:t xml:space="preserve">Rationale: </w:t>
      </w:r>
      <w:r>
        <w:rPr>
          <w:sz w:val="22"/>
          <w:szCs w:val="22"/>
        </w:rPr>
        <w:t xml:space="preserve">The rapid growth of semiconductor manufacturing demands intelligent, accessible, and cost-effective experimentation tools for plasma processing analysis, particularly for educational and early-stage research environments where expensive physical hardware is unavailable.</w:t>
      </w:r>
    </w:p>
    <w:p>
      <w:pPr>
        <w:spacing w:after="160" w:line="276"/>
        <w:jc w:val="both"/>
      </w:pPr>
      <w:r>
        <w:rPr>
          <w:b/>
          <w:bCs/>
          <w:sz w:val="22"/>
          <w:szCs w:val="22"/>
        </w:rPr>
        <w:t xml:space="preserve">Existing Systems: </w:t>
      </w:r>
      <w:r>
        <w:rPr>
          <w:sz w:val="22"/>
          <w:szCs w:val="22"/>
        </w:rPr>
        <w:t xml:space="preserve">Industrial plasma monitoring platforms such as Applied Materials' process control systems and Lam Research's Semiverse provide highly capable process monitoring but are proprietary, hardware-dependent, and economically inaccessible to undergraduate researchers. Existing academic simulation tools are predominantly disconnected software packages lacking intelligent analytics, anomaly detection, or AI-assisted advisory capabilities.</w:t>
      </w:r>
    </w:p>
    <w:p>
      <w:pPr>
        <w:spacing w:after="160" w:line="276"/>
        <w:jc w:val="both"/>
      </w:pPr>
      <w:r>
        <w:rPr>
          <w:b/>
          <w:bCs/>
          <w:sz w:val="22"/>
          <w:szCs w:val="22"/>
        </w:rPr>
        <w:t xml:space="preserve">Targeted Challenges: </w:t>
      </w:r>
      <w:r>
        <w:rPr>
          <w:sz w:val="22"/>
          <w:szCs w:val="22"/>
        </w:rPr>
        <w:t xml:space="preserve">The proposed platform addresses two critical gaps: first, the absence of affordable, software-based virtual experimentation environments that faithfully represent RF capacitively coupled plasma (CCP) process dynamics using verifiable physics rather than arbitrary curve-fitting; second, the lack of AI-driven analytics that can interpret plasma parameter interactions, detect genuine process instabilities, and generate actionable recommendations under real predictive uncertainty rather than a trivially separable synthetic task.</w:t>
      </w:r>
    </w:p>
    <w:p>
      <w:pPr>
        <w:spacing w:after="160" w:line="276"/>
        <w:jc w:val="both"/>
      </w:pPr>
      <w:r>
        <w:rPr>
          <w:b/>
          <w:bCs/>
          <w:sz w:val="22"/>
          <w:szCs w:val="22"/>
        </w:rPr>
        <w:t xml:space="preserve">Grey Area: </w:t>
      </w:r>
      <w:r>
        <w:rPr>
          <w:sz w:val="22"/>
          <w:szCs w:val="22"/>
        </w:rPr>
        <w:t xml:space="preserve">No existing educational platform unifies a physics-derived (not merely physics-inspired) digital twin simulation engine, a deconfounded AI analytics layer with honestly quantified uncertainty, and an industrial-style process monitoring dashboard within a single deployable software solution.</w:t>
      </w:r>
    </w:p>
    <w:p>
      <w:pPr>
        <w:spacing w:after="160" w:line="276"/>
        <w:jc w:val="both"/>
      </w:pPr>
      <w:r>
        <w:rPr>
          <w:b/>
          <w:bCs/>
          <w:sz w:val="22"/>
          <w:szCs w:val="22"/>
        </w:rPr>
        <w:t xml:space="preserve">Objectives: </w:t>
      </w:r>
      <w:r>
        <w:rPr>
          <w:sz w:val="22"/>
          <w:szCs w:val="22"/>
        </w:rPr>
        <w:t xml:space="preserve">The platform enables interactive parameter experimentation across RF power, chamber pressure, plasma density, and electron temperature variables mapped to observable process quality outcomes, computed from a volume-averaged global discharge model </w:t>
      </w:r>
      <w:r>
        <w:rPr>
          <w:b/>
          <w:bCs/>
          <w:color w:val="C00000"/>
          <w:sz w:val="18"/>
          <w:szCs w:val="18"/>
        </w:rPr>
        <w:t xml:space="preserve">  [REVISED]</w:t>
      </w:r>
      <w:r>
        <w:rPr>
          <w:sz w:val="22"/>
          <w:szCs w:val="22"/>
        </w:rPr>
        <w:t xml:space="preserve"> grounded in particle and power balance equations rather than fitted curves. It integrates ensemble machine learning models for real-time anomaly detection and process suitability classification, trained on a dataset with genuine hidden confounders </w:t>
      </w:r>
      <w:r>
        <w:rPr>
          <w:b/>
          <w:bCs/>
          <w:color w:val="C00000"/>
          <w:sz w:val="18"/>
          <w:szCs w:val="18"/>
        </w:rPr>
        <w:t xml:space="preserve">  [REVISED]</w:t>
      </w:r>
      <w:r>
        <w:rPr>
          <w:sz w:val="22"/>
          <w:szCs w:val="22"/>
        </w:rPr>
        <w:t xml:space="preserve"> so that the reported accuracy reflects a real predictive task. It further delivers a Streamlit-based industrial monitoring dashboard with persistent SQLite experiment records, comparative analytics, counterfactual recommendations </w:t>
      </w:r>
      <w:r>
        <w:rPr>
          <w:b/>
          <w:bCs/>
          <w:color w:val="C00000"/>
          <w:sz w:val="18"/>
          <w:szCs w:val="18"/>
        </w:rPr>
        <w:t xml:space="preserve">  [REVISED]</w:t>
      </w:r>
      <w:r>
        <w:rPr>
          <w:sz w:val="22"/>
          <w:szCs w:val="22"/>
        </w:rPr>
        <w:t xml:space="preserve">, and calibrated uncertainty estimates </w:t>
      </w:r>
      <w:r>
        <w:rPr>
          <w:b/>
          <w:bCs/>
          <w:color w:val="2E7D32"/>
          <w:sz w:val="18"/>
          <w:szCs w:val="18"/>
        </w:rPr>
        <w:t xml:space="preserve">  [NEW]</w:t>
      </w:r>
      <w:r>
        <w:rPr>
          <w:sz w:val="22"/>
          <w:szCs w:val="22"/>
        </w:rPr>
        <w:t xml:space="preserve">.</w:t>
      </w:r>
    </w:p>
    <w:p>
      <w:pPr>
        <w:spacing w:after="160" w:line="276"/>
        <w:jc w:val="both"/>
      </w:pPr>
      <w:r>
        <w:rPr>
          <w:b/>
          <w:bCs/>
          <w:sz w:val="22"/>
          <w:szCs w:val="22"/>
        </w:rPr>
        <w:t xml:space="preserve">Significance: </w:t>
      </w:r>
      <w:r>
        <w:rPr>
          <w:sz w:val="22"/>
          <w:szCs w:val="22"/>
        </w:rPr>
        <w:t xml:space="preserve">By delivering a fully integrated digital twin and AI analytics environment built on verifiable physics and methodologically sound machine learning, the platform equips undergraduate students and early researchers with industrial-grade simulation insights at zero hardware cost, while withstanding the level of technical scrutiny expected in a competitive evaluation.</w:t>
      </w:r>
    </w:p>
    <w:p>
      <w:r>
        <w:br w:type="page"/>
      </w:r>
    </w:p>
    <w:p>
      <w:pPr>
        <w:pStyle w:val="Heading1"/>
        <w:spacing w:after="200" w:before="360"/>
      </w:pPr>
      <w:r>
        <w:rPr>
          <w:b/>
          <w:bCs/>
          <w:color w:val="1F3864"/>
          <w:sz w:val="30"/>
          <w:szCs w:val="30"/>
        </w:rPr>
        <w:t xml:space="preserve">1.  Introduction</w:t>
      </w:r>
    </w:p>
    <w:p>
      <w:pPr>
        <w:spacing w:after="160" w:line="276"/>
        <w:jc w:val="both"/>
      </w:pPr>
      <w:r>
        <w:rPr>
          <w:sz w:val="22"/>
          <w:szCs w:val="22"/>
        </w:rPr>
        <w:t xml:space="preserve">Semiconductor manufacturing is one of the most technically demanding industries in the modern world, relying on plasma processing techniques such as plasma etching, physical vapour deposition, chemical vapour deposition, ion implantation, and reactive ion etching to fabricate microelectronic devices at nanoscale precision. Low-pressure RF capacitively coupled plasma (CCP) systems represent the foundational technology behind these processes, enabling controlled plasma generation within carefully regulated vacuum environments.</w:t>
      </w:r>
    </w:p>
    <w:p>
      <w:pPr>
        <w:spacing w:after="160" w:line="276"/>
        <w:jc w:val="both"/>
      </w:pPr>
      <w:r>
        <w:rPr>
          <w:sz w:val="22"/>
          <w:szCs w:val="22"/>
        </w:rPr>
        <w:t xml:space="preserve">The key operational parameters of a CCP plasma chamber — RF power, gas pressure, plasma density, and electron temperature — collectively determine plasma behaviour, process quality, uniformity, and the probability of semiconductor defect generation. Even marginal parameter variations can produce measurable changes in plasma reactivity and etch uniformity, making continuous process monitoring and parameter analysis critically important for yield optimisation.</w:t>
      </w:r>
    </w:p>
    <w:p>
      <w:pPr>
        <w:spacing w:after="160" w:line="276"/>
        <w:jc w:val="both"/>
      </w:pPr>
      <w:r>
        <w:rPr>
          <w:sz w:val="22"/>
          <w:szCs w:val="22"/>
        </w:rPr>
        <w:t xml:space="preserve">Modern semiconductor fabrication facilities rely heavily on intelligent process monitoring platforms, industrial IoT dashboards, AI-assisted anomaly detection, and statistical process control systems to maintain operational consistency. These systems represent a convergence of data science, machine learning, and domain-specific engineering knowledge that has become standard practice in Industry 4.0 manufacturing environments.</w:t>
      </w:r>
    </w:p>
    <w:p>
      <w:pPr>
        <w:spacing w:after="160" w:line="276"/>
        <w:jc w:val="both"/>
      </w:pPr>
      <w:r>
        <w:rPr>
          <w:sz w:val="22"/>
          <w:szCs w:val="22"/>
        </w:rPr>
        <w:t xml:space="preserve">However, replicating these industrial monitoring and experimentation capabilities within an undergraduate educational context presents a fundamental challenge: real plasma experimentation systems require vacuum chambers, RF generators, plasma diagnostics instruments including Langmuir probes and optical emission spectrometers, and specialised laboratory infrastructure costing hundreds of thousands of dollars. These resources are inaccessible in most university teaching environments.</w:t>
      </w:r>
    </w:p>
    <w:p>
      <w:pPr>
        <w:spacing w:after="160" w:line="276"/>
        <w:jc w:val="both"/>
      </w:pPr>
      <w:r>
        <w:rPr>
          <w:sz w:val="22"/>
          <w:szCs w:val="22"/>
        </w:rPr>
        <w:t xml:space="preserve">This project addresses that gap by developing an AI-Assisted Plasma Process Experimentation and Digital Twin Analytics Platform — a fully software-based virtual plasma laboratory that simulates CCP plasma physics using a verifiable, textbook-derived discharge model, provides AI-powered process analytics trained under realistic predictive uncertainty, and delivers an industrial-style monitoring dashboard. The platform is built around two core architectural modules: a Digital Twin Simulation Engine and an AI Analytics and Intelligence Engine, each comprising multiple sub-modules that collectively replicate the capabilities of a professional plasma process monitoring and experimentation system.</w:t>
      </w:r>
    </w:p>
    <w:p>
      <w:pPr>
        <w:spacing w:after="160" w:line="276"/>
        <w:jc w:val="both"/>
      </w:pPr>
      <w:r>
        <w:rPr>
          <w:sz w:val="22"/>
          <w:szCs w:val="22"/>
        </w:rPr>
        <w:t xml:space="preserve">The proposed system is developed using Python as the primary implementation language, leveraging Streamlit for dashboard development, Scikit-learn and XGBoost for machine learning, SHAP </w:t>
      </w:r>
      <w:r>
        <w:rPr>
          <w:b/>
          <w:bCs/>
          <w:color w:val="2E7D32"/>
          <w:sz w:val="18"/>
          <w:szCs w:val="18"/>
        </w:rPr>
        <w:t xml:space="preserve">  [NEW]</w:t>
      </w:r>
      <w:r>
        <w:rPr>
          <w:sz w:val="22"/>
          <w:szCs w:val="22"/>
        </w:rPr>
        <w:t xml:space="preserve"> for model explainability, Plotly for interactive scientific visualisation, SciPy for the numerical root-finding required by the global discharge model </w:t>
      </w:r>
      <w:r>
        <w:rPr>
          <w:b/>
          <w:bCs/>
          <w:color w:val="C00000"/>
          <w:sz w:val="18"/>
          <w:szCs w:val="18"/>
        </w:rPr>
        <w:t xml:space="preserve">  [REVISED]</w:t>
      </w:r>
      <w:r>
        <w:rPr>
          <w:sz w:val="22"/>
          <w:szCs w:val="22"/>
        </w:rPr>
        <w:t xml:space="preserve">, and SQLite for persistent experimental record management. The system is designed for deployment in educational laboratories, research prototype demonstrations, and academic FYP showcases.</w:t>
      </w:r>
    </w:p>
    <w:p>
      <w:pPr>
        <w:spacing w:after="160" w:line="276"/>
        <w:jc w:val="both"/>
      </w:pPr>
      <w:r>
        <w:rPr>
          <w:sz w:val="22"/>
          <w:szCs w:val="22"/>
        </w:rPr>
        <w:t xml:space="preserve">Beyond its immediate educational application, the platform demonstrates how computer science disciplines — artificial intelligence, software engineering, data science, human-computer interaction, and database systems — can be integrated to model complex physical processes and deliver industrial-grade analytical capabilities within a lightweight software environment. This interdisciplinary integration represents the primary academic contribution of this final year project.</w:t>
      </w:r>
    </w:p>
    <w:p>
      <w:pPr>
        <w:pStyle w:val="Heading1"/>
        <w:spacing w:after="200" w:before="360"/>
      </w:pPr>
      <w:r>
        <w:rPr>
          <w:b/>
          <w:bCs/>
          <w:color w:val="1F3864"/>
          <w:sz w:val="30"/>
          <w:szCs w:val="30"/>
        </w:rPr>
        <w:t xml:space="preserve">2.  Problem Statement</w:t>
      </w:r>
    </w:p>
    <w:p>
      <w:pPr>
        <w:spacing w:after="160" w:line="276"/>
        <w:jc w:val="both"/>
      </w:pPr>
      <w:r>
        <w:rPr>
          <w:sz w:val="22"/>
          <w:szCs w:val="22"/>
        </w:rPr>
        <w:t xml:space="preserve">Plasma processing systems used in semiconductor manufacturing involve multiple interacting parameters whose combined effects on process quality cannot be intuitively understood without empirical experimentation or systematic computational analysis. In operational facilities, engineers rely on sophisticated process monitoring platforms to continuously track parameter states, analyse trends, and respond to process deviations before they impact production yield.</w:t>
      </w:r>
    </w:p>
    <w:p>
      <w:pPr>
        <w:spacing w:after="160" w:line="276"/>
        <w:jc w:val="both"/>
      </w:pPr>
      <w:r>
        <w:rPr>
          <w:sz w:val="22"/>
          <w:szCs w:val="22"/>
        </w:rPr>
        <w:t xml:space="preserve">In undergraduate educational environments, students studying semiconductor physics, AI applications, or data science have no accessible means of developing practical understanding of these industrial monitoring systems. The resources required for physical plasma experimentation — vacuum chambers, RF power supplies, Langmuir probe diagnostics — are prohibitively expensive and simply not available in teaching laboratories. As a result, students receive theoretical exposure to plasma physics and AI concepts in complete isolation from each other, without any bridge demonstrating how these disciplines converge in real industrial applications.</w:t>
      </w:r>
    </w:p>
    <w:p>
      <w:pPr>
        <w:spacing w:after="160" w:line="276"/>
        <w:jc w:val="both"/>
      </w:pPr>
      <w:r>
        <w:rPr>
          <w:sz w:val="22"/>
          <w:szCs w:val="22"/>
        </w:rPr>
        <w:t xml:space="preserve">Existing software alternatives suffer from three critical shortcomings. First, academic plasma simulation tools such as COMSOL Multiphysics plasma modules are scientifically precise but inaccessible to students without expensive institutional licences and advanced physics expertise. Second, standalone AI classification projects that treat plasma quality as a binary prediction problem fail to provide any experimentation capability, trend understanding, or process monitoring insight — and typically generate their training labels in a way that makes the classification task trivially easy rather than a genuine test of the model. Third, no existing open or educational platform integrates a physics-verifiable digital twin simulation environment, methodologically sound AI-powered analytics, honest anomaly detection, and an industrial monitoring dashboard within a single coherent software system.</w:t>
      </w:r>
    </w:p>
    <w:p>
      <w:pPr>
        <w:spacing w:after="160" w:line="276"/>
        <w:jc w:val="both"/>
      </w:pPr>
      <w:r>
        <w:rPr>
          <w:sz w:val="22"/>
          <w:szCs w:val="22"/>
        </w:rPr>
        <w:t xml:space="preserve">The absence of such a platform means that students and early researchers cannot develop competencies in process monitoring, parameter analysis, AI-assisted decision support under real uncertainty, or industrial dashboard design within the context of plasma applications — all of which are high-demand skills in semiconductor, defence, and advanced manufacturing industries.</w:t>
      </w:r>
    </w:p>
    <w:p>
      <w:pPr>
        <w:spacing w:after="160" w:line="276"/>
        <w:jc w:val="both"/>
      </w:pPr>
      <w:r>
        <w:rPr>
          <w:sz w:val="22"/>
          <w:szCs w:val="22"/>
        </w:rPr>
        <w:t xml:space="preserve">This project therefore proposes to fill this gap by building a comprehensive, software-based virtual plasma experimentation and analytics environment that is accessible, educationally meaningful, physically verifiable, and methodologically rigorous enough to demonstrate real AI and digital twin capabilities in an industrial context.</w:t>
      </w:r>
    </w:p>
    <w:p>
      <w:pPr>
        <w:pStyle w:val="Heading1"/>
        <w:spacing w:after="200" w:before="360"/>
      </w:pPr>
      <w:r>
        <w:rPr>
          <w:b/>
          <w:bCs/>
          <w:color w:val="1F3864"/>
          <w:sz w:val="30"/>
          <w:szCs w:val="30"/>
        </w:rPr>
        <w:t xml:space="preserve">3.  Problem Solution / Objectives of the Proposed System</w:t>
      </w:r>
    </w:p>
    <w:p>
      <w:pPr>
        <w:spacing w:after="160" w:line="276"/>
        <w:jc w:val="both"/>
      </w:pPr>
      <w:r>
        <w:rPr>
          <w:sz w:val="22"/>
          <w:szCs w:val="22"/>
        </w:rPr>
        <w:t xml:space="preserve">The proposed solution is an AI-Assisted Plasma Process Experimentation and Digital Twin Analytics Platform, a fully software-based virtual plasma laboratory and industrial process monitoring environment. The system is designed not to replace domain experts but to function as an intelligent assistance, education, and analytics platform that demonstrates how AI and digital twin technologies can be applied to complex scientific processes.</w:t>
      </w:r>
    </w:p>
    <w:p>
      <w:pPr>
        <w:pStyle w:val="Heading2"/>
        <w:spacing w:after="140" w:before="240"/>
      </w:pPr>
      <w:r>
        <w:rPr>
          <w:b/>
          <w:bCs/>
          <w:color w:val="1F3864"/>
          <w:sz w:val="25"/>
          <w:szCs w:val="25"/>
        </w:rPr>
        <w:t xml:space="preserve">3.1  Primary Objectives</w:t>
      </w:r>
    </w:p>
    <w:p>
      <w:pPr>
        <w:spacing w:after="160" w:line="276"/>
        <w:jc w:val="both"/>
      </w:pPr>
      <w:r>
        <w:rPr>
          <w:b/>
          <w:bCs/>
          <w:sz w:val="22"/>
          <w:szCs w:val="22"/>
        </w:rPr>
        <w:t xml:space="preserve">BO-1: </w:t>
      </w:r>
      <w:r>
        <w:rPr>
          <w:sz w:val="22"/>
          <w:szCs w:val="22"/>
        </w:rPr>
        <w:t xml:space="preserve">Develop a </w:t>
      </w:r>
      <w:r>
        <w:rPr>
          <w:b/>
          <w:bCs/>
          <w:color w:val="C00000"/>
          <w:sz w:val="18"/>
          <w:szCs w:val="18"/>
        </w:rPr>
        <w:t xml:space="preserve">  [REVISED]</w:t>
      </w:r>
      <w:r>
        <w:rPr>
          <w:sz w:val="22"/>
          <w:szCs w:val="22"/>
        </w:rPr>
        <w:t xml:space="preserve"> volume-averaged (0D) global discharge model, derived from particle and power balance equations for low-pressure RF capacitively coupled argon plasma, that accurately represents parameter interactions between RF power, chamber pressure, plasma density, and electron temperature without relying on arbitrarily fitted coefficients.</w:t>
      </w:r>
    </w:p>
    <w:p>
      <w:pPr>
        <w:spacing w:after="160" w:line="276"/>
        <w:jc w:val="both"/>
      </w:pPr>
      <w:r>
        <w:rPr>
          <w:b/>
          <w:bCs/>
          <w:sz w:val="22"/>
          <w:szCs w:val="22"/>
        </w:rPr>
        <w:t xml:space="preserve">BO-2: </w:t>
      </w:r>
      <w:r>
        <w:rPr>
          <w:sz w:val="22"/>
          <w:szCs w:val="22"/>
        </w:rPr>
        <w:t xml:space="preserve">Implement an AI analytics module incorporating ensemble machine learning models (Random Forest, XGBoost, and a logistic-regression baseline </w:t>
      </w:r>
      <w:r>
        <w:rPr>
          <w:b/>
          <w:bCs/>
          <w:color w:val="C00000"/>
          <w:sz w:val="18"/>
          <w:szCs w:val="18"/>
        </w:rPr>
        <w:t xml:space="preserve">  [REVISED]</w:t>
      </w:r>
      <w:r>
        <w:rPr>
          <w:sz w:val="22"/>
          <w:szCs w:val="22"/>
        </w:rPr>
        <w:t xml:space="preserve">) capable of classifying plasma process suitability, detecting anomalous conditions, and generating intelligent process recommendations, evaluated on a dataset containing genuine hidden confounders </w:t>
      </w:r>
      <w:r>
        <w:rPr>
          <w:b/>
          <w:bCs/>
          <w:color w:val="C00000"/>
          <w:sz w:val="18"/>
          <w:szCs w:val="18"/>
        </w:rPr>
        <w:t xml:space="preserve">  [REVISED]</w:t>
      </w:r>
      <w:r>
        <w:rPr>
          <w:sz w:val="22"/>
          <w:szCs w:val="22"/>
        </w:rPr>
        <w:t xml:space="preserve">. The primary success criterion is that the ensemble models </w:t>
      </w:r>
      <w:r>
        <w:rPr>
          <w:b/>
          <w:bCs/>
          <w:sz w:val="22"/>
          <w:szCs w:val="22"/>
        </w:rPr>
        <w:t xml:space="preserve">statistically significantly outperform the logistic-regression baseline</w:t>
      </w:r>
      <w:r>
        <w:rPr>
          <w:sz w:val="22"/>
          <w:szCs w:val="22"/>
        </w:rPr>
        <w:t xml:space="preserve"> (tested via McNemar's test or a paired bootstrap using </w:t>
      </w:r>
      <w:r>
        <w:rPr>
          <w:i/>
          <w:iCs/>
          <w:sz w:val="22"/>
          <w:szCs w:val="22"/>
        </w:rPr>
        <w:t xml:space="preserve">scipy.stats</w:t>
      </w:r>
      <w:r>
        <w:rPr>
          <w:sz w:val="22"/>
          <w:szCs w:val="22"/>
        </w:rPr>
        <w:t xml:space="preserve">), rather than reaching any fixed absolute accuracy figure. </w:t>
      </w:r>
      <w:r>
        <w:rPr>
          <w:b/>
          <w:bCs/>
          <w:color w:val="C00000"/>
          <w:sz w:val="18"/>
          <w:szCs w:val="18"/>
        </w:rPr>
        <w:t xml:space="preserve">  [REVISED]</w:t>
      </w:r>
      <w:r>
        <w:rPr>
          <w:sz w:val="22"/>
          <w:szCs w:val="22"/>
        </w:rPr>
        <w:t xml:space="preserve"> This is a deliberate methodological choice: because the dataset is synthetic and designed by the team, an absolute accuracy target (such as the 90% originally stated) is not independently meaningful and can be reached by inadvertently tuning the data-generating noise; a relative improvement over a transparent baseline is a defensible, non-gameable claim. The observed absolute accuracy is reported honestly alongside the baseline comparison, whatever value it takes.</w:t>
      </w:r>
    </w:p>
    <w:p>
      <w:pPr>
        <w:spacing w:after="160" w:line="276"/>
        <w:jc w:val="both"/>
      </w:pPr>
      <w:r>
        <w:rPr>
          <w:b/>
          <w:bCs/>
          <w:sz w:val="22"/>
          <w:szCs w:val="22"/>
        </w:rPr>
        <w:t xml:space="preserve">BO-3: </w:t>
      </w:r>
      <w:r>
        <w:rPr>
          <w:sz w:val="22"/>
          <w:szCs w:val="22"/>
        </w:rPr>
        <w:t xml:space="preserve">Design and deploy an industrial-style interactive monitoring dashboard using Streamlit and Plotly that provides real-time plasma trend visualisation, parameter comparison charts, SHAP-based explainability </w:t>
      </w:r>
      <w:r>
        <w:rPr>
          <w:b/>
          <w:bCs/>
          <w:color w:val="2E7D32"/>
          <w:sz w:val="18"/>
          <w:szCs w:val="18"/>
        </w:rPr>
        <w:t xml:space="preserve">  [NEW]</w:t>
      </w:r>
      <w:r>
        <w:rPr>
          <w:sz w:val="22"/>
          <w:szCs w:val="22"/>
        </w:rPr>
        <w:t xml:space="preserve">, and AI-generated process insights within a single unified interface.</w:t>
      </w:r>
    </w:p>
    <w:p>
      <w:pPr>
        <w:spacing w:after="160" w:line="276"/>
        <w:jc w:val="both"/>
      </w:pPr>
      <w:r>
        <w:rPr>
          <w:b/>
          <w:bCs/>
          <w:sz w:val="22"/>
          <w:szCs w:val="22"/>
        </w:rPr>
        <w:t xml:space="preserve">BO-4: </w:t>
      </w:r>
      <w:r>
        <w:rPr>
          <w:sz w:val="22"/>
          <w:szCs w:val="22"/>
        </w:rPr>
        <w:t xml:space="preserve">Build a persistent experimental data management system using SQLite that records all simulation runs, supports historical experiment retrieval, enables multi-session comparative analytics, and maintains audit-ready experiment logs.</w:t>
      </w:r>
    </w:p>
    <w:p>
      <w:pPr>
        <w:spacing w:after="160" w:line="276"/>
        <w:jc w:val="both"/>
      </w:pPr>
      <w:r>
        <w:rPr>
          <w:b/>
          <w:bCs/>
          <w:sz w:val="22"/>
          <w:szCs w:val="22"/>
        </w:rPr>
        <w:t xml:space="preserve">BO-5: </w:t>
      </w:r>
      <w:r>
        <w:rPr>
          <w:sz w:val="22"/>
          <w:szCs w:val="22"/>
        </w:rPr>
        <w:t xml:space="preserve">Implement a comprehensive anomaly detection sub-module capable of identifying genuine process instability events — defined as deviations from the expected physics relationship rather than simple out-of-range parameter values </w:t>
      </w:r>
      <w:r>
        <w:rPr>
          <w:b/>
          <w:bCs/>
          <w:color w:val="C00000"/>
          <w:sz w:val="18"/>
          <w:szCs w:val="18"/>
        </w:rPr>
        <w:t xml:space="preserve">  [REVISED]</w:t>
      </w:r>
      <w:r>
        <w:rPr>
          <w:sz w:val="22"/>
          <w:szCs w:val="22"/>
        </w:rPr>
        <w:t xml:space="preserve"> — with automated alert generation and root cause indication.</w:t>
      </w:r>
    </w:p>
    <w:p>
      <w:pPr>
        <w:spacing w:after="160" w:line="276"/>
        <w:jc w:val="both"/>
      </w:pPr>
      <w:r>
        <w:rPr>
          <w:b/>
          <w:bCs/>
          <w:sz w:val="22"/>
          <w:szCs w:val="22"/>
        </w:rPr>
        <w:t xml:space="preserve">BO-6: </w:t>
      </w:r>
      <w:r>
        <w:rPr>
          <w:sz w:val="22"/>
          <w:szCs w:val="22"/>
        </w:rPr>
        <w:t xml:space="preserve">Deliver a semiconductor process suitability analysis module that evaluates simulated plasma conditions against literature-sourced acceptable operating ranges </w:t>
      </w:r>
      <w:r>
        <w:rPr>
          <w:b/>
          <w:bCs/>
          <w:color w:val="C00000"/>
          <w:sz w:val="18"/>
          <w:szCs w:val="18"/>
        </w:rPr>
        <w:t xml:space="preserve">  [REVISED]</w:t>
      </w:r>
      <w:r>
        <w:rPr>
          <w:sz w:val="22"/>
          <w:szCs w:val="22"/>
        </w:rPr>
        <w:t xml:space="preserve"> and provides quantified, uncertainty-aware suitability scores </w:t>
      </w:r>
      <w:r>
        <w:rPr>
          <w:b/>
          <w:bCs/>
          <w:color w:val="2E7D32"/>
          <w:sz w:val="18"/>
          <w:szCs w:val="18"/>
        </w:rPr>
        <w:t xml:space="preserve">  [NEW]</w:t>
      </w:r>
      <w:r>
        <w:rPr>
          <w:sz w:val="22"/>
          <w:szCs w:val="22"/>
        </w:rPr>
        <w:t xml:space="preserve"> for educational and research interpretation.</w:t>
      </w:r>
    </w:p>
    <w:p>
      <w:pPr>
        <w:pStyle w:val="Heading2"/>
        <w:spacing w:after="140" w:before="240"/>
      </w:pPr>
      <w:r>
        <w:rPr>
          <w:b/>
          <w:bCs/>
          <w:color w:val="1F3864"/>
          <w:sz w:val="25"/>
          <w:szCs w:val="25"/>
        </w:rPr>
        <w:t xml:space="preserve">3.2  Secondary Objectives</w:t>
      </w:r>
    </w:p>
    <w:p>
      <w:pPr>
        <w:spacing w:after="160" w:line="276"/>
        <w:jc w:val="both"/>
      </w:pPr>
      <w:r>
        <w:rPr>
          <w:b/>
          <w:bCs/>
          <w:sz w:val="22"/>
          <w:szCs w:val="22"/>
        </w:rPr>
        <w:t xml:space="preserve">BO-7: </w:t>
      </w:r>
      <w:r>
        <w:rPr>
          <w:sz w:val="22"/>
          <w:szCs w:val="22"/>
        </w:rPr>
        <w:t xml:space="preserve">Integrate a multi-experiment comparison engine that allows users to overlay historical experimental results, compare parameter effects across sessions, and derive statistical insights from accumulated simulation data.</w:t>
      </w:r>
    </w:p>
    <w:p>
      <w:pPr>
        <w:spacing w:after="160" w:line="276"/>
        <w:jc w:val="both"/>
      </w:pPr>
      <w:r>
        <w:rPr>
          <w:b/>
          <w:bCs/>
          <w:sz w:val="22"/>
          <w:szCs w:val="22"/>
        </w:rPr>
        <w:t xml:space="preserve">BO-8: </w:t>
      </w:r>
      <w:r>
        <w:rPr>
          <w:sz w:val="22"/>
          <w:szCs w:val="22"/>
        </w:rPr>
        <w:t xml:space="preserve">Develop a parameter sensitivity analysis module that systematically evaluates how individual parameter variations propagate through the global discharge model </w:t>
      </w:r>
      <w:r>
        <w:rPr>
          <w:b/>
          <w:bCs/>
          <w:color w:val="C00000"/>
          <w:sz w:val="18"/>
          <w:szCs w:val="18"/>
        </w:rPr>
        <w:t xml:space="preserve">  [REVISED]</w:t>
      </w:r>
      <w:r>
        <w:rPr>
          <w:sz w:val="22"/>
          <w:szCs w:val="22"/>
        </w:rPr>
        <w:t xml:space="preserve"> to affect process outcomes, supporting educational understanding of plasma behaviour.</w:t>
      </w:r>
    </w:p>
    <w:p>
      <w:pPr>
        <w:spacing w:after="160" w:line="276"/>
        <w:jc w:val="both"/>
      </w:pPr>
      <w:r>
        <w:rPr>
          <w:b/>
          <w:bCs/>
          <w:sz w:val="22"/>
          <w:szCs w:val="22"/>
        </w:rPr>
        <w:t xml:space="preserve">BO-9: </w:t>
      </w:r>
      <w:r>
        <w:rPr>
          <w:sz w:val="22"/>
          <w:szCs w:val="22"/>
        </w:rPr>
        <w:t xml:space="preserve">Implement an intelligent, </w:t>
      </w:r>
      <w:r>
        <w:rPr>
          <w:b/>
          <w:bCs/>
          <w:sz w:val="22"/>
          <w:szCs w:val="22"/>
        </w:rPr>
        <w:t xml:space="preserve">counterfactual</w:t>
      </w:r>
      <w:r>
        <w:rPr>
          <w:b/>
          <w:bCs/>
          <w:color w:val="C00000"/>
          <w:sz w:val="18"/>
          <w:szCs w:val="18"/>
        </w:rPr>
        <w:t xml:space="preserve">  [REVISED]</w:t>
      </w:r>
      <w:r>
        <w:rPr>
          <w:sz w:val="22"/>
          <w:szCs w:val="22"/>
        </w:rPr>
        <w:t xml:space="preserve"> recommendation engine that re-simulates suggested parameter adjustments through the digital twin and reports their predicted quantitative effect, in addition to interpreting detected process conditions and generating contextual, human-readable process guidance.</w:t>
      </w:r>
    </w:p>
    <w:p>
      <w:pPr>
        <w:spacing w:after="160" w:line="276"/>
        <w:jc w:val="both"/>
      </w:pPr>
      <w:r>
        <w:rPr>
          <w:b/>
          <w:bCs/>
          <w:sz w:val="22"/>
          <w:szCs w:val="22"/>
        </w:rPr>
        <w:t xml:space="preserve">BO-10: </w:t>
      </w:r>
      <w:r>
        <w:rPr>
          <w:sz w:val="22"/>
          <w:szCs w:val="22"/>
        </w:rPr>
        <w:t xml:space="preserve">Ensure the complete platform is deployable as a standalone Python application without hardware dependencies, capable of running on standard university laboratory computers.</w:t>
      </w:r>
    </w:p>
    <w:p>
      <w:pPr>
        <w:spacing w:after="160" w:line="276"/>
        <w:jc w:val="both"/>
      </w:pPr>
      <w:r>
        <w:rPr>
          <w:b/>
          <w:bCs/>
          <w:sz w:val="22"/>
          <w:szCs w:val="22"/>
        </w:rPr>
        <w:t xml:space="preserve">BO-11: </w:t>
      </w:r>
      <w:r>
        <w:rPr>
          <w:b/>
          <w:bCs/>
          <w:color w:val="2E7D32"/>
          <w:sz w:val="18"/>
          <w:szCs w:val="18"/>
        </w:rPr>
        <w:t xml:space="preserve">  [NEW]</w:t>
      </w:r>
      <w:r>
        <w:rPr>
          <w:sz w:val="22"/>
          <w:szCs w:val="22"/>
        </w:rPr>
        <w:t xml:space="preserve"> Validate the digital twin's output trends against published trend curves from the cited plasma physics literature (Lieberman &amp; Lichtenberg; Chabert &amp; Braithwaite), providing qualitative benchmarking evidence in the absence of access to real experimental plasma data.</w:t>
      </w:r>
    </w:p>
    <w:p>
      <w:r>
        <w:br w:type="page"/>
      </w:r>
    </w:p>
    <w:p>
      <w:pPr>
        <w:pStyle w:val="Heading1"/>
        <w:spacing w:after="200" w:before="360"/>
      </w:pPr>
      <w:r>
        <w:rPr>
          <w:b/>
          <w:bCs/>
          <w:color w:val="1F3864"/>
          <w:sz w:val="30"/>
          <w:szCs w:val="30"/>
        </w:rPr>
        <w:t xml:space="preserve">4.  Related System Analysis / Literature Review</w:t>
      </w:r>
    </w:p>
    <w:p>
      <w:pPr>
        <w:spacing w:after="160" w:line="276"/>
        <w:jc w:val="both"/>
      </w:pPr>
      <w:r>
        <w:rPr>
          <w:sz w:val="22"/>
          <w:szCs w:val="22"/>
        </w:rPr>
        <w:t xml:space="preserve">The following related systems and research areas were analysed to position the proposed platform's contributions within the existing landscape of plasma process simulation, AI-assisted industrial analytics, and digital twin research.</w:t>
      </w:r>
    </w:p>
    <w:p>
      <w:pPr>
        <w:spacing w:after="160" w:line="276"/>
        <w:jc w:val="both"/>
      </w:pPr>
      <w:r>
        <w:rPr>
          <w:sz w:val="22"/>
          <w:szCs w:val="22"/>
        </w:rPr>
        <w:t xml:space="preserve">Research areas surveyed include: global (volume-averaged) discharge modelling methodologies for low-pressure plasmas </w:t>
      </w:r>
      <w:r>
        <w:rPr>
          <w:b/>
          <w:bCs/>
          <w:color w:val="C00000"/>
          <w:sz w:val="18"/>
          <w:szCs w:val="18"/>
        </w:rPr>
        <w:t xml:space="preserve">  [REVISED]</w:t>
      </w:r>
      <w:r>
        <w:rPr>
          <w:sz w:val="22"/>
          <w:szCs w:val="22"/>
        </w:rPr>
        <w:t xml:space="preserve">; AI-assisted industrial process monitoring; machine learning evaluation methodology and the risks of label leakage in synthetic-data pipelines </w:t>
      </w:r>
      <w:r>
        <w:rPr>
          <w:b/>
          <w:bCs/>
          <w:color w:val="2E7D32"/>
          <w:sz w:val="18"/>
          <w:szCs w:val="18"/>
        </w:rPr>
        <w:t xml:space="preserve">  [NEW]</w:t>
      </w:r>
      <w:r>
        <w:rPr>
          <w:sz w:val="22"/>
          <w:szCs w:val="22"/>
        </w:rPr>
        <w:t xml:space="preserve">; model explainability techniques including SHAP </w:t>
      </w:r>
      <w:r>
        <w:rPr>
          <w:b/>
          <w:bCs/>
          <w:color w:val="2E7D32"/>
          <w:sz w:val="18"/>
          <w:szCs w:val="18"/>
        </w:rPr>
        <w:t xml:space="preserve">  [NEW]</w:t>
      </w:r>
      <w:r>
        <w:rPr>
          <w:sz w:val="22"/>
          <w:szCs w:val="22"/>
        </w:rPr>
        <w:t xml:space="preserve">; scientific visualisation techniques for process analytics; and data management practices for experimental record systems in research environments.</w:t>
      </w:r>
    </w:p>
    <w:p>
      <w:pPr>
        <w:spacing w:after="160" w:line="276"/>
        <w:jc w:val="both"/>
      </w:pPr>
      <w:r>
        <w:rPr>
          <w:b/>
          <w:bCs/>
          <w:sz w:val="22"/>
          <w:szCs w:val="22"/>
        </w:rPr>
        <w:t xml:space="preserve">Comparison Table — Related Systems</w:t>
      </w:r>
      <w:r>
        <w:rPr>
          <w:sz w:val="22"/>
          <w:szCs w:val="2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rPr>
          <w:tblHeader/>
        </w:trPr>
        <w:tc>
          <w:tcPr>
            <w:tcW w:type="dxa" w:w="3200"/>
            <w:shd w:fill="1F3864" w:val="clear"/>
            <w:tcMar>
              <w:top w:type="dxa" w:w="80"/>
              <w:left w:type="dxa" w:w="120"/>
              <w:bottom w:type="dxa" w:w="80"/>
              <w:right w:type="dxa" w:w="120"/>
            </w:tcMar>
            <w:vAlign w:val="center"/>
          </w:tcPr>
          <w:p>
            <w:r>
              <w:rPr>
                <w:b/>
                <w:bCs/>
                <w:color w:val="FFFFFF"/>
                <w:sz w:val="20"/>
                <w:szCs w:val="20"/>
              </w:rPr>
              <w:t xml:space="preserve">Application / System</w:t>
            </w:r>
          </w:p>
        </w:tc>
        <w:tc>
          <w:tcPr>
            <w:tcW w:type="dxa" w:w="3400"/>
            <w:shd w:fill="1F3864" w:val="clear"/>
            <w:tcMar>
              <w:top w:type="dxa" w:w="80"/>
              <w:left w:type="dxa" w:w="120"/>
              <w:bottom w:type="dxa" w:w="80"/>
              <w:right w:type="dxa" w:w="120"/>
            </w:tcMar>
            <w:vAlign w:val="center"/>
          </w:tcPr>
          <w:p>
            <w:r>
              <w:rPr>
                <w:b/>
                <w:bCs/>
                <w:color w:val="FFFFFF"/>
                <w:sz w:val="20"/>
                <w:szCs w:val="20"/>
              </w:rPr>
              <w:t xml:space="preserve">Weaknesses / Limitations</w:t>
            </w:r>
          </w:p>
        </w:tc>
        <w:tc>
          <w:tcPr>
            <w:tcW w:type="dxa" w:w="3400"/>
            <w:shd w:fill="1F3864" w:val="clear"/>
            <w:tcMar>
              <w:top w:type="dxa" w:w="80"/>
              <w:left w:type="dxa" w:w="120"/>
              <w:bottom w:type="dxa" w:w="80"/>
              <w:right w:type="dxa" w:w="120"/>
            </w:tcMar>
            <w:vAlign w:val="center"/>
          </w:tcPr>
          <w:p>
            <w:r>
              <w:rPr>
                <w:b/>
                <w:bCs/>
                <w:color w:val="FFFFFF"/>
                <w:sz w:val="20"/>
                <w:szCs w:val="20"/>
              </w:rPr>
              <w:t xml:space="preserve">Proposed Platform Solution</w:t>
            </w:r>
          </w:p>
        </w:tc>
      </w:tr>
      <w:tr>
        <w:tc>
          <w:tcPr>
            <w:tcW w:type="dxa" w:w="3200"/>
            <w:tcMar>
              <w:top w:type="dxa" w:w="80"/>
              <w:left w:type="dxa" w:w="120"/>
              <w:bottom w:type="dxa" w:w="80"/>
              <w:right w:type="dxa" w:w="120"/>
            </w:tcMar>
            <w:vAlign w:val="center"/>
          </w:tcPr>
          <w:p>
            <w:r>
              <w:rPr>
                <w:sz w:val="19"/>
                <w:szCs w:val="19"/>
              </w:rPr>
              <w:t xml:space="preserve">COMSOL Multiphysics (Plasma Module)</w:t>
            </w:r>
          </w:p>
        </w:tc>
        <w:tc>
          <w:tcPr>
            <w:tcW w:type="dxa" w:w="3400"/>
            <w:tcMar>
              <w:top w:type="dxa" w:w="80"/>
              <w:left w:type="dxa" w:w="120"/>
              <w:bottom w:type="dxa" w:w="80"/>
              <w:right w:type="dxa" w:w="120"/>
            </w:tcMar>
            <w:vAlign w:val="center"/>
          </w:tcPr>
          <w:p>
            <w:r>
              <w:rPr>
                <w:sz w:val="19"/>
                <w:szCs w:val="19"/>
              </w:rPr>
              <w:t xml:space="preserve">Requires expensive institutional licence; high physics expertise needed; no AI analytics or monitoring dashboard; not accessible to undergraduates.</w:t>
            </w:r>
          </w:p>
        </w:tc>
        <w:tc>
          <w:tcPr>
            <w:tcW w:type="dxa" w:w="3400"/>
            <w:tcMar>
              <w:top w:type="dxa" w:w="80"/>
              <w:left w:type="dxa" w:w="120"/>
              <w:bottom w:type="dxa" w:w="80"/>
              <w:right w:type="dxa" w:w="120"/>
            </w:tcMar>
            <w:vAlign w:val="center"/>
          </w:tcPr>
          <w:p>
            <w:r>
              <w:rPr>
                <w:sz w:val="19"/>
                <w:szCs w:val="19"/>
              </w:rPr>
              <w:t xml:space="preserve">Provides open educational access using a genuine derived discharge model; integrates AI analytics; deploys as standard Python application without licencing cost.</w:t>
            </w:r>
          </w:p>
        </w:tc>
      </w:tr>
      <w:tr>
        <w:tc>
          <w:tcPr>
            <w:tcW w:type="dxa" w:w="3200"/>
            <w:shd w:fill="F2F2F2" w:val="clear"/>
            <w:tcMar>
              <w:top w:type="dxa" w:w="80"/>
              <w:left w:type="dxa" w:w="120"/>
              <w:bottom w:type="dxa" w:w="80"/>
              <w:right w:type="dxa" w:w="120"/>
            </w:tcMar>
            <w:vAlign w:val="center"/>
          </w:tcPr>
          <w:p>
            <w:r>
              <w:rPr>
                <w:sz w:val="19"/>
                <w:szCs w:val="19"/>
              </w:rPr>
              <w:t xml:space="preserve">Lam Research Semiverse Solutions</w:t>
            </w:r>
          </w:p>
        </w:tc>
        <w:tc>
          <w:tcPr>
            <w:tcW w:type="dxa" w:w="3400"/>
            <w:shd w:fill="F2F2F2" w:val="clear"/>
            <w:tcMar>
              <w:top w:type="dxa" w:w="80"/>
              <w:left w:type="dxa" w:w="120"/>
              <w:bottom w:type="dxa" w:w="80"/>
              <w:right w:type="dxa" w:w="120"/>
            </w:tcMar>
            <w:vAlign w:val="center"/>
          </w:tcPr>
          <w:p>
            <w:r>
              <w:rPr>
                <w:sz w:val="19"/>
                <w:szCs w:val="19"/>
              </w:rPr>
              <w:t xml:space="preserve">Proprietary industrial platform; hardware-coupled; no standalone educational deployment; closed to external academic use.</w:t>
            </w:r>
          </w:p>
        </w:tc>
        <w:tc>
          <w:tcPr>
            <w:tcW w:type="dxa" w:w="3400"/>
            <w:shd w:fill="F2F2F2" w:val="clear"/>
            <w:tcMar>
              <w:top w:type="dxa" w:w="80"/>
              <w:left w:type="dxa" w:w="120"/>
              <w:bottom w:type="dxa" w:w="80"/>
              <w:right w:type="dxa" w:w="120"/>
            </w:tcMar>
            <w:vAlign w:val="center"/>
          </w:tcPr>
          <w:p>
            <w:r>
              <w:rPr>
                <w:sz w:val="19"/>
                <w:szCs w:val="19"/>
              </w:rPr>
              <w:t xml:space="preserve">Software-only, hardware-independent; designed specifically for educational and research prototype demonstration.</w:t>
            </w:r>
          </w:p>
        </w:tc>
      </w:tr>
      <w:tr>
        <w:tc>
          <w:tcPr>
            <w:tcW w:type="dxa" w:w="3200"/>
            <w:tcMar>
              <w:top w:type="dxa" w:w="80"/>
              <w:left w:type="dxa" w:w="120"/>
              <w:bottom w:type="dxa" w:w="80"/>
              <w:right w:type="dxa" w:w="120"/>
            </w:tcMar>
            <w:vAlign w:val="center"/>
          </w:tcPr>
          <w:p>
            <w:r>
              <w:rPr>
                <w:sz w:val="19"/>
                <w:szCs w:val="19"/>
              </w:rPr>
              <w:t xml:space="preserve">Simple AI Plasma Classifiers (Academic FYPs)</w:t>
            </w:r>
          </w:p>
        </w:tc>
        <w:tc>
          <w:tcPr>
            <w:tcW w:type="dxa" w:w="3400"/>
            <w:tcMar>
              <w:top w:type="dxa" w:w="80"/>
              <w:left w:type="dxa" w:w="120"/>
              <w:bottom w:type="dxa" w:w="80"/>
              <w:right w:type="dxa" w:w="120"/>
            </w:tcMar>
            <w:vAlign w:val="center"/>
          </w:tcPr>
          <w:p>
            <w:r>
              <w:rPr>
                <w:sz w:val="19"/>
                <w:szCs w:val="19"/>
              </w:rPr>
              <w:t xml:space="preserve">Binary good/bad output only; no experimentation environment; no trend analysis; no anomaly detection; labels are frequently a deterministic function of the input features, making the evaluated accuracy meaningless.</w:t>
            </w:r>
          </w:p>
        </w:tc>
        <w:tc>
          <w:tcPr>
            <w:tcW w:type="dxa" w:w="3400"/>
            <w:tcMar>
              <w:top w:type="dxa" w:w="80"/>
              <w:left w:type="dxa" w:w="120"/>
              <w:bottom w:type="dxa" w:w="80"/>
              <w:right w:type="dxa" w:w="120"/>
            </w:tcMar>
            <w:vAlign w:val="center"/>
          </w:tcPr>
          <w:p>
            <w:r>
              <w:rPr>
                <w:sz w:val="19"/>
                <w:szCs w:val="19"/>
              </w:rPr>
              <w:t xml:space="preserve">Provides full digital twin experimentation, AI analytics with deliberately deconfounded labels, honest anomaly detection, and parameter exploration beyond classification.</w:t>
            </w:r>
          </w:p>
        </w:tc>
      </w:tr>
      <w:tr>
        <w:tc>
          <w:tcPr>
            <w:tcW w:type="dxa" w:w="3200"/>
            <w:shd w:fill="F2F2F2" w:val="clear"/>
            <w:tcMar>
              <w:top w:type="dxa" w:w="80"/>
              <w:left w:type="dxa" w:w="120"/>
              <w:bottom w:type="dxa" w:w="80"/>
              <w:right w:type="dxa" w:w="120"/>
            </w:tcMar>
            <w:vAlign w:val="center"/>
          </w:tcPr>
          <w:p>
            <w:r>
              <w:rPr>
                <w:sz w:val="19"/>
                <w:szCs w:val="19"/>
              </w:rPr>
              <w:t xml:space="preserve">CPET — Capacitively Coupled Plasma Educational Tool</w:t>
            </w:r>
          </w:p>
        </w:tc>
        <w:tc>
          <w:tcPr>
            <w:tcW w:type="dxa" w:w="3400"/>
            <w:shd w:fill="F2F2F2" w:val="clear"/>
            <w:tcMar>
              <w:top w:type="dxa" w:w="80"/>
              <w:left w:type="dxa" w:w="120"/>
              <w:bottom w:type="dxa" w:w="80"/>
              <w:right w:type="dxa" w:w="120"/>
            </w:tcMar>
            <w:vAlign w:val="center"/>
          </w:tcPr>
          <w:p>
            <w:r>
              <w:rPr>
                <w:sz w:val="19"/>
                <w:szCs w:val="19"/>
              </w:rPr>
              <w:t xml:space="preserve">Static simulation parameters; no AI integration; no monitoring dashboard; limited to fixed experimental scenarios.</w:t>
            </w:r>
          </w:p>
        </w:tc>
        <w:tc>
          <w:tcPr>
            <w:tcW w:type="dxa" w:w="3400"/>
            <w:shd w:fill="F2F2F2" w:val="clear"/>
            <w:tcMar>
              <w:top w:type="dxa" w:w="80"/>
              <w:left w:type="dxa" w:w="120"/>
              <w:bottom w:type="dxa" w:w="80"/>
              <w:right w:type="dxa" w:w="120"/>
            </w:tcMar>
            <w:vAlign w:val="center"/>
          </w:tcPr>
          <w:p>
            <w:r>
              <w:rPr>
                <w:sz w:val="19"/>
                <w:szCs w:val="19"/>
              </w:rPr>
              <w:t xml:space="preserve">Dynamic parameter control; integrated AI recommendations; industrial monitoring dashboard with persistent data storage.</w:t>
            </w:r>
          </w:p>
        </w:tc>
      </w:tr>
      <w:tr>
        <w:tc>
          <w:tcPr>
            <w:tcW w:type="dxa" w:w="3200"/>
            <w:tcMar>
              <w:top w:type="dxa" w:w="80"/>
              <w:left w:type="dxa" w:w="120"/>
              <w:bottom w:type="dxa" w:w="80"/>
              <w:right w:type="dxa" w:w="120"/>
            </w:tcMar>
            <w:vAlign w:val="center"/>
          </w:tcPr>
          <w:p>
            <w:r>
              <w:rPr>
                <w:sz w:val="19"/>
                <w:szCs w:val="19"/>
              </w:rPr>
              <w:t xml:space="preserve">Python Plasma Simulation Libraries (plasmapy)</w:t>
            </w:r>
          </w:p>
        </w:tc>
        <w:tc>
          <w:tcPr>
            <w:tcW w:type="dxa" w:w="3400"/>
            <w:tcMar>
              <w:top w:type="dxa" w:w="80"/>
              <w:left w:type="dxa" w:w="120"/>
              <w:bottom w:type="dxa" w:w="80"/>
              <w:right w:type="dxa" w:w="120"/>
            </w:tcMar>
            <w:vAlign w:val="center"/>
          </w:tcPr>
          <w:p>
            <w:r>
              <w:rPr>
                <w:sz w:val="19"/>
                <w:szCs w:val="19"/>
              </w:rPr>
              <w:t xml:space="preserve">Focused on physics modelling; no process analytics; no anomaly detection; no UI or dashboard; requires deep plasma physics knowledge.</w:t>
            </w:r>
          </w:p>
        </w:tc>
        <w:tc>
          <w:tcPr>
            <w:tcW w:type="dxa" w:w="3400"/>
            <w:tcMar>
              <w:top w:type="dxa" w:w="80"/>
              <w:left w:type="dxa" w:w="120"/>
              <w:bottom w:type="dxa" w:w="80"/>
              <w:right w:type="dxa" w:w="120"/>
            </w:tcMar>
            <w:vAlign w:val="center"/>
          </w:tcPr>
          <w:p>
            <w:r>
              <w:rPr>
                <w:sz w:val="19"/>
                <w:szCs w:val="19"/>
              </w:rPr>
              <w:t xml:space="preserve">User-friendly Streamlit interface; integrated AI and analytics layer above a genuine physics engine; accessible to CS students.</w:t>
            </w:r>
          </w:p>
        </w:tc>
      </w:tr>
    </w:tbl>
    <w:p>
      <w:pPr>
        <w:pStyle w:val="Heading1"/>
        <w:spacing w:after="200" w:before="360"/>
      </w:pPr>
      <w:r>
        <w:rPr>
          <w:b/>
          <w:bCs/>
          <w:color w:val="1F3864"/>
          <w:sz w:val="30"/>
          <w:szCs w:val="30"/>
        </w:rPr>
        <w:t xml:space="preserve">5.  Vision Statement</w:t>
      </w:r>
    </w:p>
    <w:p>
      <w:pPr>
        <w:spacing w:after="160" w:line="276"/>
        <w:jc w:val="both"/>
      </w:pPr>
      <w:r>
        <w:rPr>
          <w:sz w:val="22"/>
          <w:szCs w:val="22"/>
        </w:rPr>
        <w:t xml:space="preserve">For undergraduate students, early researchers, and educators in computer science, semiconductor physics, and AI engineering who need accessible, intelligent tools to study, simulate, and analyse plasma process behaviour without physical laboratory infrastructure, the AI-Assisted Plasma Process Experimentation and Digital Twin Analytics Platform is an integrated software-based virtual laboratory and industrial process analytics environment that combines a </w:t>
      </w:r>
      <w:r>
        <w:rPr>
          <w:b/>
          <w:bCs/>
          <w:sz w:val="22"/>
          <w:szCs w:val="22"/>
        </w:rPr>
        <w:t xml:space="preserve">verifiable, physics-derived</w:t>
      </w:r>
      <w:r>
        <w:rPr>
          <w:b/>
          <w:bCs/>
          <w:color w:val="C00000"/>
          <w:sz w:val="18"/>
          <w:szCs w:val="18"/>
        </w:rPr>
        <w:t xml:space="preserve">  [REVISED]</w:t>
      </w:r>
      <w:r>
        <w:rPr>
          <w:sz w:val="22"/>
          <w:szCs w:val="22"/>
        </w:rPr>
        <w:t xml:space="preserve"> digital twin simulation engine with AI-powered anomaly detection built on a </w:t>
      </w:r>
      <w:r>
        <w:rPr>
          <w:b/>
          <w:bCs/>
          <w:sz w:val="22"/>
          <w:szCs w:val="22"/>
        </w:rPr>
        <w:t xml:space="preserve">methodologically sound</w:t>
      </w:r>
      <w:r>
        <w:rPr>
          <w:b/>
          <w:bCs/>
          <w:color w:val="C00000"/>
          <w:sz w:val="18"/>
          <w:szCs w:val="18"/>
        </w:rPr>
        <w:t xml:space="preserve">  [REVISED]</w:t>
      </w:r>
      <w:r>
        <w:rPr>
          <w:sz w:val="22"/>
          <w:szCs w:val="22"/>
        </w:rPr>
        <w:t xml:space="preserve"> training pipeline, real-time trend visualisation, semiconductor suitability analysis, and an industrial monitoring dashboard — all within a single deployable Python application. Unlike expensive proprietary industrial platforms and disconnected academic simulation tools, our product delivers industrial-grade plasma process analytics capabilities at zero hardware cost, with a level of scientific and statistical rigour uncommon in comparable student projects, enabling meaningful interdisciplinary learning that bridges artificial intelligence, digital twin technology, and semiconductor process engineering within an undergraduate computer science context.</w:t>
      </w:r>
    </w:p>
    <w:p>
      <w:pPr>
        <w:pStyle w:val="Heading1"/>
        <w:spacing w:after="200" w:before="360"/>
      </w:pPr>
      <w:r>
        <w:rPr>
          <w:b/>
          <w:bCs/>
          <w:color w:val="1F3864"/>
          <w:sz w:val="30"/>
          <w:szCs w:val="30"/>
        </w:rPr>
        <w:t xml:space="preserve">6.  Scope</w:t>
      </w:r>
    </w:p>
    <w:p>
      <w:pPr>
        <w:spacing w:after="160" w:line="276"/>
        <w:jc w:val="both"/>
      </w:pPr>
      <w:r>
        <w:rPr>
          <w:sz w:val="22"/>
          <w:szCs w:val="22"/>
        </w:rPr>
        <w:t xml:space="preserve">The AI-Assisted Plasma Process Experimentation and Digital Twin Analytics Platform is scoped as a fully software-based virtual plasma laboratory and intelligent process monitoring environment. The platform simulates the behaviour of Low-Pressure RF Capacitively Coupled Argon Plasma (CCP) — the plasma type most commonly deployed in semiconductor etching, thin-film deposition, and surface treatment processes — through a </w:t>
      </w:r>
      <w:r>
        <w:rPr>
          <w:b/>
          <w:bCs/>
          <w:sz w:val="22"/>
          <w:szCs w:val="22"/>
        </w:rPr>
        <w:t xml:space="preserve">volume-averaged (0D) global discharge model</w:t>
      </w:r>
      <w:r>
        <w:rPr>
          <w:b/>
          <w:bCs/>
          <w:color w:val="C00000"/>
          <w:sz w:val="18"/>
          <w:szCs w:val="18"/>
        </w:rPr>
        <w:t xml:space="preserve">  [REVISED]</w:t>
      </w:r>
      <w:r>
        <w:rPr>
          <w:sz w:val="22"/>
          <w:szCs w:val="22"/>
        </w:rPr>
        <w:t xml:space="preserve">, derived from particle and power balance equations, that models parameter interactions without requiring physical hardware or a full spatially-resolved fluid or particle-in-cell (PIC) simulation.</w:t>
      </w:r>
    </w:p>
    <w:p>
      <w:pPr>
        <w:spacing w:after="160" w:line="276"/>
        <w:jc w:val="both"/>
      </w:pPr>
      <w:r>
        <w:rPr>
          <w:sz w:val="22"/>
          <w:szCs w:val="22"/>
        </w:rPr>
        <w:t xml:space="preserve">The platform scope encompasses two core architectural modules. The Digital Twin Module constitutes the simulation and experimentation layer, providing a virtual plasma chamber environment where users can systematically vary RF power (50W–300W), chamber pressure (1–20 mTorr), plasma density (derived from the global model), and electron temperature (1–10 eV, derived from the global model) and observe corresponding changes in plasma reactivity, uniformity, process quality, and semiconductor suitability scores. This module includes sub-systems for parameter configuration, deconfounded synthetic dataset generation, physics-derived relationship modelling, multi-experiment session management, historical comparison, parameter sensitivity analysis, and literature-based physics validation.</w:t>
      </w:r>
    </w:p>
    <w:p>
      <w:pPr>
        <w:spacing w:after="160" w:line="276"/>
        <w:jc w:val="both"/>
      </w:pPr>
      <w:r>
        <w:rPr>
          <w:sz w:val="22"/>
          <w:szCs w:val="22"/>
        </w:rPr>
        <w:t xml:space="preserve">The AI Module constitutes the intelligence and analytics layer, processing simulation outputs to deliver machine-learning-based plasma suitability classification, real-time anomaly detection defined against physics-relationship violations </w:t>
      </w:r>
      <w:r>
        <w:rPr>
          <w:b/>
          <w:bCs/>
          <w:color w:val="C00000"/>
          <w:sz w:val="18"/>
          <w:szCs w:val="18"/>
        </w:rPr>
        <w:t xml:space="preserve">  [REVISED]</w:t>
      </w:r>
      <w:r>
        <w:rPr>
          <w:sz w:val="22"/>
          <w:szCs w:val="22"/>
        </w:rPr>
        <w:t xml:space="preserve">, trend analysis, multi-parameter correlation monitoring, SHAP-based explainability </w:t>
      </w:r>
      <w:r>
        <w:rPr>
          <w:b/>
          <w:bCs/>
          <w:color w:val="2E7D32"/>
          <w:sz w:val="18"/>
          <w:szCs w:val="18"/>
        </w:rPr>
        <w:t xml:space="preserve">  [NEW]</w:t>
      </w:r>
      <w:r>
        <w:rPr>
          <w:sz w:val="22"/>
          <w:szCs w:val="22"/>
        </w:rPr>
        <w:t xml:space="preserve">, a counterfactual, simulation-grounded recommendation engine </w:t>
      </w:r>
      <w:r>
        <w:rPr>
          <w:b/>
          <w:bCs/>
          <w:color w:val="C00000"/>
          <w:sz w:val="18"/>
          <w:szCs w:val="18"/>
        </w:rPr>
        <w:t xml:space="preserve">  [REVISED]</w:t>
      </w:r>
      <w:r>
        <w:rPr>
          <w:sz w:val="22"/>
          <w:szCs w:val="22"/>
        </w:rPr>
        <w:t xml:space="preserve">, and calibrated uncertainty estimates </w:t>
      </w:r>
      <w:r>
        <w:rPr>
          <w:b/>
          <w:bCs/>
          <w:color w:val="2E7D32"/>
          <w:sz w:val="18"/>
          <w:szCs w:val="18"/>
        </w:rPr>
        <w:t xml:space="preserve">  [NEW]</w:t>
      </w:r>
      <w:r>
        <w:rPr>
          <w:sz w:val="22"/>
          <w:szCs w:val="22"/>
        </w:rPr>
        <w:t xml:space="preserve">. This module leverages trained ensemble models (Random Forest and XGBoost, benchmarked against an interpretable logistic-regression baseline) and unsupervised outlier detection algorithms, and delivers its outputs through the platform's integrated industrial monitoring dashboard.</w:t>
      </w:r>
    </w:p>
    <w:p>
      <w:pPr>
        <w:spacing w:after="160" w:line="276"/>
        <w:jc w:val="both"/>
      </w:pPr>
      <w:r>
        <w:rPr>
          <w:sz w:val="22"/>
          <w:szCs w:val="22"/>
        </w:rPr>
        <w:t xml:space="preserve">The dashboard unifies both modules within a Streamlit-based interactive interface incorporating real-time parameter trend graphs, comparative analytics panels, AI insight displays, anomaly alert visualisations, model explainability panels, and historical experiment replay capabilities. All experimental data is persistently stored and retrievable through an SQLite database management sub-system.</w:t>
      </w:r>
    </w:p>
    <w:p>
      <w:pPr>
        <w:spacing w:after="160" w:line="276"/>
        <w:jc w:val="both"/>
      </w:pPr>
      <w:r>
        <w:rPr>
          <w:sz w:val="22"/>
          <w:szCs w:val="22"/>
        </w:rPr>
        <w:t xml:space="preserve">The scope explicitly excludes: physical plasma hardware, real-time industrial control systems, fusion plasma physics, full spatially-resolved fluid or particle-in-cell (PIC) plasma simulation </w:t>
      </w:r>
      <w:r>
        <w:rPr>
          <w:b/>
          <w:bCs/>
          <w:color w:val="2E7D32"/>
          <w:sz w:val="18"/>
          <w:szCs w:val="18"/>
        </w:rPr>
        <w:t xml:space="preserve">  [NEW]</w:t>
      </w:r>
      <w:r>
        <w:rPr>
          <w:sz w:val="22"/>
          <w:szCs w:val="22"/>
        </w:rPr>
        <w:t xml:space="preserve"> (the actual research-grade computational state of the art, deliberately out of scope given FYP time constraints), commercial-grade scientific accuracy beyond educational simulation fidelity, and internet-connected industrial deployment. The system is intended for educational, prototype demonstration, and academic research purposes only.</w:t>
      </w:r>
    </w:p>
    <w:p>
      <w:r>
        <w:br w:type="page"/>
      </w:r>
    </w:p>
    <w:p>
      <w:pPr>
        <w:pStyle w:val="Heading1"/>
        <w:spacing w:after="200" w:before="360"/>
      </w:pPr>
      <w:r>
        <w:rPr>
          <w:b/>
          <w:bCs/>
          <w:color w:val="1F3864"/>
          <w:sz w:val="30"/>
          <w:szCs w:val="30"/>
        </w:rPr>
        <w:t xml:space="preserve">7.  System Modules</w:t>
      </w:r>
    </w:p>
    <w:p>
      <w:pPr>
        <w:spacing w:after="160" w:line="276"/>
        <w:jc w:val="both"/>
      </w:pPr>
      <w:r>
        <w:rPr>
          <w:sz w:val="22"/>
          <w:szCs w:val="22"/>
        </w:rPr>
        <w:t xml:space="preserve">The proposed platform is structured around two core modules, each comprising multiple detailed sub-modules. This architecture reflects a clean separation between the simulation and physics layer (Digital Twin Module) and the intelligence and analytics layer (AI Module), while both modules integrate through the shared monitoring dashboard and data management infrastructure.</w:t>
      </w:r>
    </w:p>
    <w:p>
      <w:pPr>
        <w:pStyle w:val="Heading2"/>
        <w:spacing w:after="140" w:before="240"/>
      </w:pPr>
      <w:r>
        <w:rPr>
          <w:b/>
          <w:bCs/>
          <w:color w:val="1F3864"/>
          <w:sz w:val="25"/>
          <w:szCs w:val="25"/>
        </w:rPr>
        <w:t xml:space="preserve">Module 1: Digital Twin Simulation and Experimentation Engine</w:t>
      </w:r>
    </w:p>
    <w:p>
      <w:pPr>
        <w:spacing w:after="160" w:line="276"/>
        <w:jc w:val="both"/>
      </w:pPr>
      <w:r>
        <w:rPr>
          <w:sz w:val="22"/>
          <w:szCs w:val="22"/>
        </w:rPr>
        <w:t xml:space="preserve">The Digital Twin Module is the simulation and experimentation backbone of the platform. It creates a virtual representation of a Low-Pressure RF Capacitively Coupled Argon Plasma chamber, modelling the physical relationships between process parameters and plasma behaviour outcomes. </w:t>
      </w:r>
      <w:r>
        <w:rPr>
          <w:b/>
          <w:bCs/>
          <w:sz w:val="22"/>
          <w:szCs w:val="22"/>
        </w:rPr>
        <w:t xml:space="preserve">Rather than fitting arbitrary parametric curves to produce plausible-looking outputs, the digital twin solves a volume-averaged (0D) global discharge model</w:t>
      </w:r>
      <w:r>
        <w:rPr>
          <w:b/>
          <w:bCs/>
          <w:color w:val="C00000"/>
          <w:sz w:val="18"/>
          <w:szCs w:val="18"/>
        </w:rPr>
        <w:t xml:space="preserve">  [REVISED]</w:t>
      </w:r>
      <w:r>
        <w:rPr>
          <w:sz w:val="22"/>
          <w:szCs w:val="22"/>
        </w:rPr>
        <w:t xml:space="preserve"> — the standard simplified treatment used in plasma engineering when full spatially-resolved fluid or particle-in-cell (PIC) simulation is not practical, following the formulation in Lieberman &amp; Lichtenberg, </w:t>
      </w:r>
      <w:r>
        <w:rPr>
          <w:i/>
          <w:iCs/>
          <w:sz w:val="22"/>
          <w:szCs w:val="22"/>
        </w:rPr>
        <w:t xml:space="preserve">Principles of Plasma Discharges and Materials Processing</w:t>
      </w:r>
      <w:r>
        <w:rPr>
          <w:sz w:val="22"/>
          <w:szCs w:val="22"/>
        </w:rPr>
        <w:t xml:space="preserve">, Chapter 10. This produces simulation outputs that are derived from a stated physical model rather than merely representing an observable trend by construction.</w:t>
      </w:r>
    </w:p>
    <w:p>
      <w:pPr>
        <w:pStyle w:val="Heading3"/>
        <w:spacing w:after="100" w:before="180"/>
      </w:pPr>
      <w:r>
        <w:rPr>
          <w:b/>
          <w:bCs/>
          <w:sz w:val="23"/>
          <w:szCs w:val="23"/>
        </w:rPr>
        <w:t xml:space="preserve">Sub-Module 1.1 — Virtual Plasma Chamber and Parameter Configuration Engine</w:t>
      </w:r>
    </w:p>
    <w:p>
      <w:pPr>
        <w:pStyle w:val="ListParagraph"/>
        <w:numPr>
          <w:ilvl w:val="0"/>
          <w:numId w:val="2"/>
        </w:numPr>
        <w:spacing w:after="100" w:line="276"/>
      </w:pPr>
      <w:r>
        <w:rPr>
          <w:sz w:val="22"/>
          <w:szCs w:val="22"/>
        </w:rPr>
        <w:t xml:space="preserve">FE-1.1.1: Provides a graphical parameter input interface with sliders, numeric inputs, and preset mode selectors for RF power (50–300 W), chamber pressure (1–20 mTorr), gas flow rate (optional), and exposure time (optional). Electron temperature and plasma density are no longer free user inputs — they are outputs of the global discharge model (see Sub-Module 1.2) and are displayed, not set directly.</w:t>
      </w:r>
    </w:p>
    <w:p>
      <w:pPr>
        <w:pStyle w:val="ListParagraph"/>
        <w:numPr>
          <w:ilvl w:val="0"/>
          <w:numId w:val="2"/>
        </w:numPr>
        <w:spacing w:after="100" w:line="276"/>
      </w:pPr>
      <w:r>
        <w:rPr>
          <w:sz w:val="22"/>
          <w:szCs w:val="22"/>
        </w:rPr>
        <w:t xml:space="preserve">FE-1.1.2: Implements parameter validation logic that flags physically inconsistent input combinations and alerts users before simulation execution.</w:t>
      </w:r>
    </w:p>
    <w:p>
      <w:pPr>
        <w:pStyle w:val="ListParagraph"/>
        <w:numPr>
          <w:ilvl w:val="0"/>
          <w:numId w:val="2"/>
        </w:numPr>
        <w:spacing w:after="100" w:line="276"/>
      </w:pPr>
      <w:r>
        <w:rPr>
          <w:sz w:val="22"/>
          <w:szCs w:val="22"/>
        </w:rPr>
        <w:t xml:space="preserve">FE-1.1.3: Supports three experiment modes — Stable Plasma, Exploratory Sweep, and Stress Test — each with predefined parameter boundary sets aligned to educational use cases.</w:t>
      </w:r>
    </w:p>
    <w:p>
      <w:pPr>
        <w:pStyle w:val="ListParagraph"/>
        <w:numPr>
          <w:ilvl w:val="0"/>
          <w:numId w:val="2"/>
        </w:numPr>
        <w:spacing w:after="100" w:line="276"/>
      </w:pPr>
      <w:r>
        <w:rPr>
          <w:sz w:val="22"/>
          <w:szCs w:val="22"/>
        </w:rPr>
        <w:t xml:space="preserve">FE-1.1.4: Provides a parameter reset function that returns all inputs to validated default stable plasma operating conditions.</w:t>
      </w:r>
    </w:p>
    <w:p>
      <w:pPr>
        <w:pStyle w:val="Heading3"/>
        <w:spacing w:after="100" w:before="180"/>
      </w:pPr>
      <w:r>
        <w:rPr>
          <w:b/>
          <w:bCs/>
          <w:sz w:val="23"/>
          <w:szCs w:val="23"/>
        </w:rPr>
        <w:t xml:space="preserve">Sub-Module 1.2 — Global (Volume-Averaged) Plasma Discharge Physics Engine</w:t>
      </w:r>
      <w:r>
        <w:rPr>
          <w:b/>
          <w:bCs/>
          <w:color w:val="C00000"/>
          <w:sz w:val="18"/>
          <w:szCs w:val="18"/>
        </w:rPr>
        <w:t xml:space="preserve">  [REVISED]</w:t>
      </w:r>
    </w:p>
    <w:p>
      <w:pPr>
        <w:spacing w:after="160" w:line="276"/>
        <w:jc w:val="both"/>
      </w:pPr>
      <w:r>
        <w:rPr>
          <w:b/>
          <w:bCs/>
          <w:sz w:val="22"/>
          <w:szCs w:val="22"/>
        </w:rPr>
        <w:t xml:space="preserve">Rationale for this revision: </w:t>
      </w:r>
      <w:r>
        <w:rPr>
          <w:sz w:val="22"/>
          <w:szCs w:val="22"/>
        </w:rPr>
        <w:t xml:space="preserve">Version 1.0 described this sub-module as "calibrated parametric relationship models" without a stated derivation — coefficients that reproduce plausible-looking curves but cannot be independently verified or defended if questioned. This revision replaces that approach with an analytically solvable physics model with a named, citable derivation.</w:t>
      </w:r>
    </w:p>
    <w:p>
      <w:pPr>
        <w:pStyle w:val="ListParagraph"/>
        <w:numPr>
          <w:ilvl w:val="0"/>
          <w:numId w:val="2"/>
        </w:numPr>
        <w:spacing w:after="100" w:line="276"/>
      </w:pPr>
      <w:r>
        <w:rPr>
          <w:b/>
          <w:bCs/>
          <w:sz w:val="22"/>
          <w:szCs w:val="22"/>
        </w:rPr>
        <w:t xml:space="preserve">FE-1.2.1: </w:t>
      </w:r>
      <w:r>
        <w:rPr>
          <w:sz w:val="22"/>
          <w:szCs w:val="22"/>
        </w:rPr>
        <w:t xml:space="preserve">Implements the </w:t>
      </w:r>
      <w:r>
        <w:rPr>
          <w:b/>
          <w:bCs/>
          <w:sz w:val="22"/>
          <w:szCs w:val="22"/>
        </w:rPr>
        <w:t xml:space="preserve">particle (mass) balance equation</w:t>
      </w:r>
      <w:r>
        <w:rPr>
          <w:sz w:val="22"/>
          <w:szCs w:val="22"/>
        </w:rPr>
        <w:t xml:space="preserve">: the volumetric ionisation rate (a function of electron temperature via the ionisation rate coefficient, </w:t>
      </w:r>
      <w:r>
        <w:rPr>
          <w:i/>
          <w:iCs/>
          <w:sz w:val="22"/>
          <w:szCs w:val="22"/>
        </w:rPr>
        <w:t xml:space="preserve">K</w:t>
      </w:r>
      <w:r>
        <w:rPr>
          <w:sz w:val="22"/>
          <w:szCs w:val="22"/>
        </w:rPr>
        <w:t xml:space="preserve">ᵢᵣ(T</w:t>
      </w:r>
      <w:r>
        <w:rPr>
          <w:i/>
          <w:iCs/>
          <w:sz w:val="22"/>
          <w:szCs w:val="22"/>
        </w:rPr>
        <w:t xml:space="preserve">e</w:t>
      </w:r>
      <w:r>
        <w:rPr>
          <w:sz w:val="22"/>
          <w:szCs w:val="22"/>
        </w:rPr>
        <w:t xml:space="preserve">)) is set equal to the particle loss rate to the chamber walls, governed by the Bohm velocity and the edge-to-centre density ratios (hₗ, h_R) that depend on chamber geometry and the pressure-dependent ion mean free path. Because plasma density cancels out of this balance, solving it (via </w:t>
      </w:r>
      <w:r>
        <w:rPr>
          <w:i/>
          <w:iCs/>
          <w:sz w:val="22"/>
          <w:szCs w:val="22"/>
        </w:rPr>
        <w:t xml:space="preserve">scipy.optimize.brentq</w:t>
      </w:r>
      <w:r>
        <w:rPr>
          <w:sz w:val="22"/>
          <w:szCs w:val="22"/>
        </w:rPr>
        <w:t xml:space="preserve"> root-finding on a transcendental equation) yields electron temperature purely as a function of pressure and chamber geometry — a well-known and independently verifiable result of the global model, not a fitted output.</w:t>
      </w:r>
    </w:p>
    <w:p>
      <w:pPr>
        <w:pStyle w:val="ListParagraph"/>
        <w:numPr>
          <w:ilvl w:val="0"/>
          <w:numId w:val="2"/>
        </w:numPr>
        <w:spacing w:after="100" w:line="276"/>
      </w:pPr>
      <w:r>
        <w:rPr>
          <w:b/>
          <w:bCs/>
          <w:sz w:val="22"/>
          <w:szCs w:val="22"/>
        </w:rPr>
        <w:t xml:space="preserve">FE-1.2.2: </w:t>
      </w:r>
      <w:r>
        <w:rPr>
          <w:sz w:val="22"/>
          <w:szCs w:val="22"/>
        </w:rPr>
        <w:t xml:space="preserve">Implements the </w:t>
      </w:r>
      <w:r>
        <w:rPr>
          <w:b/>
          <w:bCs/>
          <w:sz w:val="22"/>
          <w:szCs w:val="22"/>
        </w:rPr>
        <w:t xml:space="preserve">power balance equation</w:t>
      </w:r>
      <w:r>
        <w:rPr>
          <w:sz w:val="22"/>
          <w:szCs w:val="22"/>
        </w:rPr>
        <w:t xml:space="preserve">: absorbed RF power is set equal to the energy cost per ion-electron pair created (ionisation energy, excitation collision losses, and the kinetic energy carried away by ions and electrons at the sheath edge) multiplied by the particle loss rate. With electron temperature already known from FE-1.2.1, this equation is solved directly for plasma density as a function of absorbed RF power.</w:t>
      </w:r>
    </w:p>
    <w:p>
      <w:pPr>
        <w:pStyle w:val="ListParagraph"/>
        <w:numPr>
          <w:ilvl w:val="0"/>
          <w:numId w:val="2"/>
        </w:numPr>
        <w:spacing w:after="100" w:line="276"/>
      </w:pPr>
      <w:r>
        <w:rPr>
          <w:b/>
          <w:bCs/>
          <w:sz w:val="22"/>
          <w:szCs w:val="22"/>
        </w:rPr>
        <w:t xml:space="preserve">FE-1.2.3: </w:t>
      </w:r>
      <w:r>
        <w:rPr>
          <w:sz w:val="22"/>
          <w:szCs w:val="22"/>
        </w:rPr>
        <w:t xml:space="preserve">Adds a </w:t>
      </w:r>
      <w:r>
        <w:rPr>
          <w:b/>
          <w:bCs/>
          <w:sz w:val="22"/>
          <w:szCs w:val="22"/>
        </w:rPr>
        <w:t xml:space="preserve">stochastic (collisionless) sheath heating term</w:t>
      </w:r>
      <w:r>
        <w:rPr>
          <w:sz w:val="22"/>
          <w:szCs w:val="22"/>
        </w:rPr>
        <w:t xml:space="preserve">, the mechanism that distinguishes capacitive from inductive discharges, together with the RF sheath / self-bias voltage, from which ion bombardment energy, etch rate approximation, and uniformity index are derived as physically motivated quantities rather than independently fitted outputs.</w:t>
      </w:r>
    </w:p>
    <w:p>
      <w:pPr>
        <w:pStyle w:val="ListParagraph"/>
        <w:numPr>
          <w:ilvl w:val="0"/>
          <w:numId w:val="2"/>
        </w:numPr>
        <w:spacing w:after="100" w:line="276"/>
      </w:pPr>
      <w:r>
        <w:rPr>
          <w:b/>
          <w:bCs/>
          <w:sz w:val="22"/>
          <w:szCs w:val="22"/>
        </w:rPr>
        <w:t xml:space="preserve">FE-1.2.4: </w:t>
      </w:r>
      <w:r>
        <w:rPr>
          <w:sz w:val="22"/>
          <w:szCs w:val="22"/>
        </w:rPr>
        <w:t xml:space="preserve">Generates the full simulation output vector — electron temperature, plasma density, reactivity index, uniformity index, etch rate approximation, process quality score, and defect probability estimate — for each submitted (RF power, pressure) configuration, all derived from the two balance equations above rather than set independently.</w:t>
      </w:r>
    </w:p>
    <w:p>
      <w:pPr>
        <w:pStyle w:val="ListParagraph"/>
        <w:numPr>
          <w:ilvl w:val="0"/>
          <w:numId w:val="2"/>
        </w:numPr>
        <w:spacing w:after="100" w:line="276"/>
      </w:pPr>
      <w:r>
        <w:rPr>
          <w:b/>
          <w:bCs/>
          <w:sz w:val="22"/>
          <w:szCs w:val="22"/>
        </w:rPr>
        <w:t xml:space="preserve">FE-1.2.5: </w:t>
      </w:r>
      <w:r>
        <w:rPr>
          <w:b/>
          <w:bCs/>
          <w:color w:val="C00000"/>
          <w:sz w:val="18"/>
          <w:szCs w:val="18"/>
        </w:rPr>
        <w:t xml:space="preserve">  [REVISED]</w:t>
      </w:r>
      <w:r>
        <w:rPr>
          <w:sz w:val="22"/>
          <w:szCs w:val="22"/>
        </w:rPr>
        <w:t xml:space="preserve"> Produces simulation outputs with configurable, </w:t>
      </w:r>
      <w:r>
        <w:rPr>
          <w:b/>
          <w:bCs/>
          <w:sz w:val="22"/>
          <w:szCs w:val="22"/>
        </w:rPr>
        <w:t xml:space="preserve">heteroscedastic</w:t>
      </w:r>
      <w:r>
        <w:rPr>
          <w:sz w:val="22"/>
          <w:szCs w:val="22"/>
        </w:rPr>
        <w:t xml:space="preserve"> noise injection (noise magnitude varies by operating region rather than a single flat percentage) to simulate realistic measurement variability, adjustable from clean (0%) to high-noise (15%) operational conditions. Heteroscedastic noise is deliberately more realistic than uniform noise and creates genuinely harder regions of the parameter space for the AI Module to learn, rather than a uniformly easy task.</w:t>
      </w:r>
    </w:p>
    <w:p>
      <w:pPr>
        <w:pStyle w:val="Heading3"/>
        <w:spacing w:after="100" w:before="180"/>
      </w:pPr>
      <w:r>
        <w:rPr>
          <w:b/>
          <w:bCs/>
          <w:sz w:val="23"/>
          <w:szCs w:val="23"/>
        </w:rPr>
        <w:t xml:space="preserve">Sub-Module 1.3 — Synthetic Plasma Dataset Generation and Management</w:t>
      </w:r>
      <w:r>
        <w:rPr>
          <w:b/>
          <w:bCs/>
          <w:color w:val="C00000"/>
          <w:sz w:val="18"/>
          <w:szCs w:val="18"/>
        </w:rPr>
        <w:t xml:space="preserve">  [REVISED]</w:t>
      </w:r>
    </w:p>
    <w:p>
      <w:pPr>
        <w:spacing w:after="160" w:line="276"/>
        <w:jc w:val="both"/>
      </w:pPr>
      <w:r>
        <w:rPr>
          <w:b/>
          <w:bCs/>
          <w:sz w:val="22"/>
          <w:szCs w:val="22"/>
        </w:rPr>
        <w:t xml:space="preserve">Rationale for this revision: </w:t>
      </w:r>
      <w:r>
        <w:rPr>
          <w:sz w:val="22"/>
          <w:szCs w:val="22"/>
        </w:rPr>
        <w:t xml:space="preserve">In Version 1.0, suitability labels were generated by thresholding the same process quality index that was computed from the same input parameters later used to train the classifier. This creates a circular pipeline: the AI Module would then be learning to approximately invert a mostly-deterministic function of its own inputs, which a competent classifier will solve almost perfectly regardless of model quality. This revision introduces genuine unobserved uncertainty so that the classification and anomaly-detection tasks in Module 2 measure something real.</w:t>
      </w:r>
    </w:p>
    <w:p>
      <w:pPr>
        <w:pStyle w:val="ListParagraph"/>
        <w:numPr>
          <w:ilvl w:val="0"/>
          <w:numId w:val="2"/>
        </w:numPr>
        <w:spacing w:after="100" w:line="276"/>
      </w:pPr>
      <w:r>
        <w:rPr>
          <w:sz w:val="22"/>
          <w:szCs w:val="22"/>
        </w:rPr>
        <w:t xml:space="preserve">FE-1.3.1: Generates structured synthetic plasma process datasets by systematically sweeping parameter space across configurable ranges with user-defined step sizes, producing labelled training and evaluation datasets for AI module consumption.</w:t>
      </w:r>
    </w:p>
    <w:p>
      <w:pPr>
        <w:pStyle w:val="ListParagraph"/>
        <w:numPr>
          <w:ilvl w:val="0"/>
          <w:numId w:val="2"/>
        </w:numPr>
        <w:spacing w:after="100" w:line="276"/>
      </w:pPr>
      <w:r>
        <w:rPr>
          <w:b/>
          <w:bCs/>
          <w:sz w:val="22"/>
          <w:szCs w:val="22"/>
        </w:rPr>
        <w:t xml:space="preserve">FE-1.3.2: </w:t>
      </w:r>
      <w:r>
        <w:rPr>
          <w:b/>
          <w:bCs/>
          <w:color w:val="C00000"/>
          <w:sz w:val="18"/>
          <w:szCs w:val="18"/>
        </w:rPr>
        <w:t xml:space="preserve">  [REVISED]</w:t>
      </w:r>
      <w:r>
        <w:rPr>
          <w:sz w:val="22"/>
          <w:szCs w:val="22"/>
        </w:rPr>
        <w:t xml:space="preserve"> Introduces </w:t>
      </w:r>
      <w:r>
        <w:rPr>
          <w:b/>
          <w:bCs/>
          <w:sz w:val="22"/>
          <w:szCs w:val="22"/>
        </w:rPr>
        <w:t xml:space="preserve">hidden confounding variables</w:t>
      </w:r>
      <w:r>
        <w:rPr>
          <w:sz w:val="22"/>
          <w:szCs w:val="22"/>
        </w:rPr>
        <w:t xml:space="preserve"> — simulated chamber-wall temperature drift, electrode aging, and gas purity variance — that influence the process quality index but are </w:t>
      </w:r>
      <w:r>
        <w:rPr>
          <w:b/>
          <w:bCs/>
          <w:sz w:val="22"/>
          <w:szCs w:val="22"/>
        </w:rPr>
        <w:t xml:space="preserve">deliberately withheld</w:t>
      </w:r>
      <w:r>
        <w:rPr>
          <w:sz w:val="22"/>
          <w:szCs w:val="22"/>
        </w:rPr>
        <w:t xml:space="preserve"> from the AI Module's input features. This ensures that the visible parameters (RF power, pressure) do not fully determine the labelled outcome, converting the classification task from a function-inversion exercise into a genuine prediction problem under partial observability, matching real industrial conditions where not every influence on process quality is instrumented.</w:t>
      </w:r>
    </w:p>
    <w:p>
      <w:pPr>
        <w:pStyle w:val="ListParagraph"/>
        <w:numPr>
          <w:ilvl w:val="0"/>
          <w:numId w:val="2"/>
        </w:numPr>
        <w:spacing w:after="100" w:line="276"/>
      </w:pPr>
      <w:r>
        <w:rPr>
          <w:b/>
          <w:bCs/>
          <w:sz w:val="22"/>
          <w:szCs w:val="22"/>
        </w:rPr>
        <w:t xml:space="preserve">FE-1.3.3: </w:t>
      </w:r>
      <w:r>
        <w:rPr>
          <w:b/>
          <w:bCs/>
          <w:color w:val="C00000"/>
          <w:sz w:val="18"/>
          <w:szCs w:val="18"/>
        </w:rPr>
        <w:t xml:space="preserve">  [REVISED]</w:t>
      </w:r>
      <w:r>
        <w:rPr>
          <w:sz w:val="22"/>
          <w:szCs w:val="22"/>
        </w:rPr>
        <w:t xml:space="preserve"> Labels generated records with process suitability classifications (Optimal, Acceptable, Marginal, Unsuitable) using </w:t>
      </w:r>
      <w:r>
        <w:rPr>
          <w:b/>
          <w:bCs/>
          <w:sz w:val="22"/>
          <w:szCs w:val="22"/>
        </w:rPr>
        <w:t xml:space="preserve">soft, probabilistic labelling near class boundaries</w:t>
      </w:r>
      <w:r>
        <w:rPr>
          <w:sz w:val="22"/>
          <w:szCs w:val="22"/>
        </w:rPr>
        <w:t xml:space="preserve"> rather than hard thresholds on the process quality index, reflecting realistic labelling uncertainty and avoiding artificially clean class separation.</w:t>
      </w:r>
    </w:p>
    <w:p>
      <w:pPr>
        <w:pStyle w:val="ListParagraph"/>
        <w:numPr>
          <w:ilvl w:val="0"/>
          <w:numId w:val="2"/>
        </w:numPr>
        <w:spacing w:after="100" w:line="276"/>
      </w:pPr>
      <w:r>
        <w:rPr>
          <w:sz w:val="22"/>
          <w:szCs w:val="22"/>
        </w:rPr>
        <w:t xml:space="preserve">FE-1.3.4: Exports datasets in CSV format with full parameter and output columns for offline analysis, model retraining, and academic reporting.</w:t>
      </w:r>
    </w:p>
    <w:p>
      <w:pPr>
        <w:pStyle w:val="ListParagraph"/>
        <w:numPr>
          <w:ilvl w:val="0"/>
          <w:numId w:val="2"/>
        </w:numPr>
        <w:spacing w:after="100" w:line="276"/>
      </w:pPr>
      <w:r>
        <w:rPr>
          <w:b/>
          <w:bCs/>
          <w:sz w:val="22"/>
          <w:szCs w:val="22"/>
        </w:rPr>
        <w:t xml:space="preserve">FE-1.3.5: </w:t>
      </w:r>
      <w:r>
        <w:rPr>
          <w:b/>
          <w:bCs/>
          <w:color w:val="C00000"/>
          <w:sz w:val="18"/>
          <w:szCs w:val="18"/>
        </w:rPr>
        <w:t xml:space="preserve">  [REVISED]</w:t>
      </w:r>
      <w:r>
        <w:rPr>
          <w:sz w:val="22"/>
          <w:szCs w:val="22"/>
        </w:rPr>
        <w:t xml:space="preserve"> Supports a </w:t>
      </w:r>
      <w:r>
        <w:rPr>
          <w:b/>
          <w:bCs/>
          <w:sz w:val="22"/>
          <w:szCs w:val="22"/>
        </w:rPr>
        <w:t xml:space="preserve">region-based train/test split</w:t>
      </w:r>
      <w:r>
        <w:rPr>
          <w:sz w:val="22"/>
          <w:szCs w:val="22"/>
        </w:rPr>
        <w:t xml:space="preserve"> (partitioning by parameter-space region rather than random shuffling) in addition to standard random splitting, enabling evaluation of model generalisation to unseen operating regions (extrapolation) versus interpolation within previously seen regions — a materially stronger evaluation methodology than a single random 80/20 split.</w:t>
      </w:r>
    </w:p>
    <w:p>
      <w:pPr>
        <w:pStyle w:val="ListParagraph"/>
        <w:numPr>
          <w:ilvl w:val="0"/>
          <w:numId w:val="2"/>
        </w:numPr>
        <w:spacing w:after="100" w:line="276"/>
      </w:pPr>
      <w:r>
        <w:rPr>
          <w:sz w:val="22"/>
          <w:szCs w:val="22"/>
        </w:rPr>
        <w:t xml:space="preserve">FE-1.3.6: Stores all generated datasets in the SQLite experiment database with session metadata, generation timestamps, and configuration records.</w:t>
      </w:r>
    </w:p>
    <w:p>
      <w:pPr>
        <w:pStyle w:val="ListParagraph"/>
        <w:numPr>
          <w:ilvl w:val="0"/>
          <w:numId w:val="2"/>
        </w:numPr>
        <w:spacing w:after="100" w:line="276"/>
      </w:pPr>
      <w:r>
        <w:rPr>
          <w:b/>
          <w:bCs/>
          <w:sz w:val="22"/>
          <w:szCs w:val="22"/>
        </w:rPr>
        <w:t xml:space="preserve">FE-1.3.7: </w:t>
      </w:r>
      <w:r>
        <w:rPr>
          <w:b/>
          <w:bCs/>
          <w:color w:val="2E7D32"/>
          <w:sz w:val="18"/>
          <w:szCs w:val="18"/>
        </w:rPr>
        <w:t xml:space="preserve">  [NEW]</w:t>
      </w:r>
      <w:r>
        <w:rPr>
          <w:sz w:val="22"/>
          <w:szCs w:val="22"/>
        </w:rPr>
        <w:t xml:space="preserve"> Fixes the strength of each hidden confounder (wall-temperature drift, electrode aging, gas-purity variance) and the heteroscedastic noise magnitudes from physical reasoning </w:t>
      </w:r>
      <w:r>
        <w:rPr>
          <w:b/>
          <w:bCs/>
          <w:sz w:val="22"/>
          <w:szCs w:val="22"/>
        </w:rPr>
        <w:t xml:space="preserve">a priori</w:t>
      </w:r>
      <w:r>
        <w:rPr>
          <w:sz w:val="22"/>
          <w:szCs w:val="22"/>
        </w:rPr>
        <w:t xml:space="preserve"> — documented in the report before any classifier is trained — rather than tuning them until a target accuracy is reached. A fixed random seed is recorded for every dataset generation run. This pre-registration of the data-generating process is what allows the resulting model accuracy to be reported as an honest observation rather than a tuned outcome, and directly pre-empts the most likely line of examiner scrutiny ("did you adjust the data until the numbers looked good?").</w:t>
      </w:r>
    </w:p>
    <w:p>
      <w:pPr>
        <w:pStyle w:val="Heading3"/>
        <w:spacing w:after="100" w:before="180"/>
      </w:pPr>
      <w:r>
        <w:rPr>
          <w:b/>
          <w:bCs/>
          <w:sz w:val="23"/>
          <w:szCs w:val="23"/>
        </w:rPr>
        <w:t xml:space="preserve">Sub-Module 1.4 — Multi-Session Experiment Management and Historical Comparison</w:t>
      </w:r>
    </w:p>
    <w:p>
      <w:pPr>
        <w:pStyle w:val="ListParagraph"/>
        <w:numPr>
          <w:ilvl w:val="0"/>
          <w:numId w:val="2"/>
        </w:numPr>
        <w:spacing w:after="100" w:line="276"/>
      </w:pPr>
      <w:r>
        <w:rPr>
          <w:sz w:val="22"/>
          <w:szCs w:val="22"/>
        </w:rPr>
        <w:t xml:space="preserve">FE-1.4.1: Assigns unique session identifiers to all simulation runs, persisting complete parameter configurations, simulation outputs, AI analysis results, and timestamps in the SQLite database.</w:t>
      </w:r>
    </w:p>
    <w:p>
      <w:pPr>
        <w:pStyle w:val="ListParagraph"/>
        <w:numPr>
          <w:ilvl w:val="0"/>
          <w:numId w:val="2"/>
        </w:numPr>
        <w:spacing w:after="100" w:line="276"/>
      </w:pPr>
      <w:r>
        <w:rPr>
          <w:sz w:val="22"/>
          <w:szCs w:val="22"/>
        </w:rPr>
        <w:t xml:space="preserve">FE-1.4.2: Provides a session retrieval and replay interface that allows users to reload any historical experiment, re-visualise its parameter state and outputs, and compare it against the current active experiment.</w:t>
      </w:r>
    </w:p>
    <w:p>
      <w:pPr>
        <w:pStyle w:val="ListParagraph"/>
        <w:numPr>
          <w:ilvl w:val="0"/>
          <w:numId w:val="2"/>
        </w:numPr>
        <w:spacing w:after="100" w:line="276"/>
      </w:pPr>
      <w:r>
        <w:rPr>
          <w:sz w:val="22"/>
          <w:szCs w:val="22"/>
        </w:rPr>
        <w:t xml:space="preserve">FE-1.4.3: Implements a multi-experiment overlay comparison view that plots up to five historical experiment result sets simultaneously on shared axes, enabling direct observation of parameter effect differences across sessions.</w:t>
      </w:r>
    </w:p>
    <w:p>
      <w:pPr>
        <w:pStyle w:val="ListParagraph"/>
        <w:numPr>
          <w:ilvl w:val="0"/>
          <w:numId w:val="2"/>
        </w:numPr>
        <w:spacing w:after="100" w:line="276"/>
      </w:pPr>
      <w:r>
        <w:rPr>
          <w:sz w:val="22"/>
          <w:szCs w:val="22"/>
        </w:rPr>
        <w:t xml:space="preserve">FE-1.4.4: Generates session summary reports in tabular format showing parameter configurations, outcome metrics, AI suitability classifications, and anomaly event counts across all stored experiments.</w:t>
      </w:r>
    </w:p>
    <w:p>
      <w:pPr>
        <w:pStyle w:val="Heading3"/>
        <w:spacing w:after="100" w:before="180"/>
      </w:pPr>
      <w:r>
        <w:rPr>
          <w:b/>
          <w:bCs/>
          <w:sz w:val="23"/>
          <w:szCs w:val="23"/>
        </w:rPr>
        <w:t xml:space="preserve">Sub-Module 1.5 — Parameter Sensitivity and Sweep Analysis</w:t>
      </w:r>
    </w:p>
    <w:p>
      <w:pPr>
        <w:pStyle w:val="ListParagraph"/>
        <w:numPr>
          <w:ilvl w:val="0"/>
          <w:numId w:val="2"/>
        </w:numPr>
        <w:spacing w:after="100" w:line="276"/>
      </w:pPr>
      <w:r>
        <w:rPr>
          <w:b/>
          <w:bCs/>
          <w:sz w:val="22"/>
          <w:szCs w:val="22"/>
        </w:rPr>
        <w:t xml:space="preserve">FE-1.5.1: </w:t>
      </w:r>
      <w:r>
        <w:rPr>
          <w:sz w:val="22"/>
          <w:szCs w:val="22"/>
        </w:rPr>
        <w:t xml:space="preserve">Implements a one-at-a-time (OAT) parameter sensitivity analysis function that systematically varies each input parameter across its full range while holding all others fixed, quantifying each parameter's marginal effect on every output metric. Because outputs are now derived from the global discharge model </w:t>
      </w:r>
      <w:r>
        <w:rPr>
          <w:b/>
          <w:bCs/>
          <w:color w:val="C00000"/>
          <w:sz w:val="18"/>
          <w:szCs w:val="18"/>
        </w:rPr>
        <w:t xml:space="preserve">  [REVISED]</w:t>
      </w:r>
      <w:r>
        <w:rPr>
          <w:sz w:val="22"/>
          <w:szCs w:val="22"/>
        </w:rPr>
        <w:t xml:space="preserve"> rather than a hand-designed parametric formula, the resulting sensitivity curves reflect genuine, independently verifiable non-linearities (for example, the known weak dependence of electron temperature on absorbed power) instead of relationships the modeller chose in advance.</w:t>
      </w:r>
    </w:p>
    <w:p>
      <w:pPr>
        <w:pStyle w:val="ListParagraph"/>
        <w:numPr>
          <w:ilvl w:val="0"/>
          <w:numId w:val="2"/>
        </w:numPr>
        <w:spacing w:after="100" w:line="276"/>
      </w:pPr>
      <w:r>
        <w:rPr>
          <w:sz w:val="22"/>
          <w:szCs w:val="22"/>
        </w:rPr>
        <w:t xml:space="preserve">FE-1.5.2: Generates sensitivity analysis visualisations including sensitivity bar charts, parameter-effect curves, and output response surface approximations.</w:t>
      </w:r>
    </w:p>
    <w:p>
      <w:pPr>
        <w:pStyle w:val="ListParagraph"/>
        <w:numPr>
          <w:ilvl w:val="0"/>
          <w:numId w:val="2"/>
        </w:numPr>
        <w:spacing w:after="100" w:line="276"/>
      </w:pPr>
      <w:r>
        <w:rPr>
          <w:sz w:val="22"/>
          <w:szCs w:val="22"/>
        </w:rPr>
        <w:t xml:space="preserve">FE-1.5.3: Supports user-configurable paired parameter sweeps (e.g., RF Power vs. Pressure co-variation) with 2D heatmap output visualisation.</w:t>
      </w:r>
    </w:p>
    <w:p>
      <w:pPr>
        <w:pStyle w:val="ListParagraph"/>
        <w:numPr>
          <w:ilvl w:val="0"/>
          <w:numId w:val="2"/>
        </w:numPr>
        <w:spacing w:after="100" w:line="276"/>
      </w:pPr>
      <w:r>
        <w:rPr>
          <w:sz w:val="22"/>
          <w:szCs w:val="22"/>
        </w:rPr>
        <w:t xml:space="preserve">FE-1.5.4: Displays sensitivity ranking — identifying which parameters most significantly influence process quality, uniformity, and semiconductor suitability — as an educational analytical output.</w:t>
      </w:r>
    </w:p>
    <w:p>
      <w:pPr>
        <w:pStyle w:val="Heading3"/>
        <w:spacing w:after="100" w:before="180"/>
      </w:pPr>
      <w:r>
        <w:rPr>
          <w:b/>
          <w:bCs/>
          <w:sz w:val="23"/>
          <w:szCs w:val="23"/>
        </w:rPr>
        <w:t xml:space="preserve">Sub-Module 1.6 — Physics Validation and Literature Benchmarking</w:t>
      </w:r>
      <w:r>
        <w:rPr>
          <w:b/>
          <w:bCs/>
          <w:color w:val="2E7D32"/>
          <w:sz w:val="18"/>
          <w:szCs w:val="18"/>
        </w:rPr>
        <w:t xml:space="preserve">  [NEW]</w:t>
      </w:r>
    </w:p>
    <w:p>
      <w:pPr>
        <w:spacing w:after="160" w:line="276"/>
        <w:jc w:val="both"/>
      </w:pPr>
      <w:r>
        <w:rPr>
          <w:b/>
          <w:bCs/>
          <w:sz w:val="22"/>
          <w:szCs w:val="22"/>
        </w:rPr>
        <w:t xml:space="preserve">Rationale: </w:t>
      </w:r>
      <w:r>
        <w:rPr>
          <w:sz w:val="22"/>
          <w:szCs w:val="22"/>
        </w:rPr>
        <w:t xml:space="preserve">Version 1.0 had no mechanism to demonstrate that the digital twin's behaviour was physically reasonable beyond narrative claims. Because the team does not have access to real experimental plasma measurement equipment (per LI-3), this sub-module instead benchmarks the model's output </w:t>
      </w:r>
      <w:r>
        <w:rPr>
          <w:i/>
          <w:iCs/>
          <w:sz w:val="22"/>
          <w:szCs w:val="22"/>
        </w:rPr>
        <w:t xml:space="preserve">trends</w:t>
      </w:r>
      <w:r>
        <w:rPr>
          <w:sz w:val="22"/>
          <w:szCs w:val="22"/>
        </w:rPr>
        <w:t xml:space="preserve"> — not absolute values — against qualitative trend curves already published in the project's own cited references, providing independent, checkable evidence that the digital twin behaves like a real CCP discharge.</w:t>
      </w:r>
    </w:p>
    <w:p>
      <w:pPr>
        <w:pStyle w:val="ListParagraph"/>
        <w:numPr>
          <w:ilvl w:val="0"/>
          <w:numId w:val="2"/>
        </w:numPr>
        <w:spacing w:after="100" w:line="276"/>
      </w:pPr>
      <w:r>
        <w:rPr>
          <w:b/>
          <w:bCs/>
          <w:sz w:val="22"/>
          <w:szCs w:val="22"/>
        </w:rPr>
        <w:t xml:space="preserve">FE-1.6.1: </w:t>
      </w:r>
      <w:r>
        <w:rPr>
          <w:sz w:val="22"/>
          <w:szCs w:val="22"/>
        </w:rPr>
        <w:t xml:space="preserve">Generates comparison plots of the digital twin's predicted electron temperature versus pressure and plasma density versus absorbed power, overlaid against digitised trend curves from Lieberman &amp; Lichtenberg and Chabert &amp; Braithwaite for shape comparison.</w:t>
      </w:r>
    </w:p>
    <w:p>
      <w:pPr>
        <w:pStyle w:val="ListParagraph"/>
        <w:numPr>
          <w:ilvl w:val="0"/>
          <w:numId w:val="2"/>
        </w:numPr>
        <w:spacing w:after="100" w:line="276"/>
      </w:pPr>
      <w:r>
        <w:rPr>
          <w:b/>
          <w:bCs/>
          <w:sz w:val="22"/>
          <w:szCs w:val="22"/>
        </w:rPr>
        <w:t xml:space="preserve">FE-1.6.2: </w:t>
      </w:r>
      <w:r>
        <w:rPr>
          <w:b/>
          <w:bCs/>
          <w:color w:val="C00000"/>
          <w:sz w:val="18"/>
          <w:szCs w:val="18"/>
        </w:rPr>
        <w:t xml:space="preserve">  [REVISED]</w:t>
      </w:r>
      <w:r>
        <w:rPr>
          <w:sz w:val="22"/>
          <w:szCs w:val="22"/>
        </w:rPr>
        <w:t xml:space="preserve"> Performs a </w:t>
      </w:r>
      <w:r>
        <w:rPr>
          <w:b/>
          <w:bCs/>
          <w:sz w:val="22"/>
          <w:szCs w:val="22"/>
        </w:rPr>
        <w:t xml:space="preserve">semi-quantitative</w:t>
      </w:r>
      <w:r>
        <w:rPr>
          <w:sz w:val="22"/>
          <w:szCs w:val="22"/>
        </w:rPr>
        <w:t xml:space="preserve"> benchmark, not merely a directional one: at several reference operating points, the model's predicted electron temperature is compared against reference values read from the standard T</w:t>
      </w:r>
      <w:r>
        <w:rPr>
          <w:i/>
          <w:iCs/>
          <w:sz w:val="22"/>
          <w:szCs w:val="22"/>
        </w:rPr>
        <w:t xml:space="preserve">e</w:t>
      </w:r>
      <w:r>
        <w:rPr>
          <w:sz w:val="22"/>
          <w:szCs w:val="22"/>
        </w:rPr>
        <w:t xml:space="preserve"> versus pressure-times-length (p·L) curve in Lieberman &amp; Lichtenberg, and the relative deviation is reported as a percentage. The validation passes at a reference point if the deviation falls within a pre-stated tolerance band (e.g., ±20–30%, appropriate for a 0D global model), moving the claim from "the trend looks right" to "the model lands within X% of the published reference at these conditions."</w:t>
      </w:r>
    </w:p>
    <w:p>
      <w:pPr>
        <w:pStyle w:val="ListParagraph"/>
        <w:numPr>
          <w:ilvl w:val="0"/>
          <w:numId w:val="2"/>
        </w:numPr>
        <w:spacing w:after="100" w:line="276"/>
      </w:pPr>
      <w:r>
        <w:rPr>
          <w:b/>
          <w:bCs/>
          <w:sz w:val="22"/>
          <w:szCs w:val="22"/>
        </w:rPr>
        <w:t xml:space="preserve">FE-1.6.3: </w:t>
      </w:r>
      <w:r>
        <w:rPr>
          <w:sz w:val="22"/>
          <w:szCs w:val="22"/>
        </w:rPr>
        <w:t xml:space="preserve">Documents this benchmarking methodology and its results in the final report as evidence supporting the physical validity of the digital twin, directly addressing the limitation acknowledged in LI-3.</w:t>
      </w:r>
    </w:p>
    <w:p>
      <w:r>
        <w:br w:type="page"/>
      </w:r>
    </w:p>
    <w:p>
      <w:pPr>
        <w:pStyle w:val="Heading2"/>
        <w:spacing w:after="140" w:before="240"/>
      </w:pPr>
      <w:r>
        <w:rPr>
          <w:b/>
          <w:bCs/>
          <w:color w:val="1F3864"/>
          <w:sz w:val="25"/>
          <w:szCs w:val="25"/>
        </w:rPr>
        <w:t xml:space="preserve">Module 2: AI Analytics and Intelligence Engine</w:t>
      </w:r>
    </w:p>
    <w:p>
      <w:pPr>
        <w:spacing w:after="160" w:line="276"/>
        <w:jc w:val="both"/>
      </w:pPr>
      <w:r>
        <w:rPr>
          <w:sz w:val="22"/>
          <w:szCs w:val="22"/>
        </w:rPr>
        <w:t xml:space="preserve">The AI Module is the intelligence backbone of the platform, consuming simulation outputs from the Digital Twin Module and delivering machine-learning-based process analysis, real-time anomaly detection, semiconductor suitability classification, trend monitoring, correlation analysis, explainability </w:t>
      </w:r>
      <w:r>
        <w:rPr>
          <w:b/>
          <w:bCs/>
          <w:color w:val="2E7D32"/>
          <w:sz w:val="18"/>
          <w:szCs w:val="18"/>
        </w:rPr>
        <w:t xml:space="preserve">  [NEW]</w:t>
      </w:r>
      <w:r>
        <w:rPr>
          <w:sz w:val="22"/>
          <w:szCs w:val="22"/>
        </w:rPr>
        <w:t xml:space="preserve">, and actionable, simulation-grounded process recommendations </w:t>
      </w:r>
      <w:r>
        <w:rPr>
          <w:b/>
          <w:bCs/>
          <w:color w:val="C00000"/>
          <w:sz w:val="18"/>
          <w:szCs w:val="18"/>
        </w:rPr>
        <w:t xml:space="preserve">  [REVISED]</w:t>
      </w:r>
      <w:r>
        <w:rPr>
          <w:sz w:val="22"/>
          <w:szCs w:val="22"/>
        </w:rPr>
        <w:t xml:space="preserve">. All AI sub-modules are trained on the deconfounded synthetic plasma datasets generated by the Digital Twin Module (Sub-Module 1.3) and are deployed as integrated components within the Streamlit dashboard.</w:t>
      </w:r>
    </w:p>
    <w:p>
      <w:pPr>
        <w:pStyle w:val="Heading3"/>
        <w:spacing w:after="100" w:before="180"/>
      </w:pPr>
      <w:r>
        <w:rPr>
          <w:b/>
          <w:bCs/>
          <w:sz w:val="23"/>
          <w:szCs w:val="23"/>
        </w:rPr>
        <w:t xml:space="preserve">Sub-Module 2.1 — Plasma Process Suitability Classification Engine</w:t>
      </w:r>
      <w:r>
        <w:rPr>
          <w:b/>
          <w:bCs/>
          <w:color w:val="C00000"/>
          <w:sz w:val="18"/>
          <w:szCs w:val="18"/>
        </w:rPr>
        <w:t xml:space="preserve">  [REVISED]</w:t>
      </w:r>
    </w:p>
    <w:p>
      <w:pPr>
        <w:pStyle w:val="ListParagraph"/>
        <w:numPr>
          <w:ilvl w:val="0"/>
          <w:numId w:val="2"/>
        </w:numPr>
        <w:spacing w:after="100" w:line="276"/>
      </w:pPr>
      <w:r>
        <w:rPr>
          <w:b/>
          <w:bCs/>
          <w:sz w:val="22"/>
          <w:szCs w:val="22"/>
        </w:rPr>
        <w:t xml:space="preserve">FE-2.1.1: </w:t>
      </w:r>
      <w:r>
        <w:rPr>
          <w:sz w:val="22"/>
          <w:szCs w:val="22"/>
        </w:rPr>
        <w:t xml:space="preserve">Deploys a trained Random Forest classifier, an XGBoost classifier, and an interpretable </w:t>
      </w:r>
      <w:r>
        <w:rPr>
          <w:b/>
          <w:bCs/>
          <w:sz w:val="22"/>
          <w:szCs w:val="22"/>
        </w:rPr>
        <w:t xml:space="preserve">logistic regression baseline</w:t>
      </w:r>
      <w:r>
        <w:rPr>
          <w:b/>
          <w:bCs/>
          <w:color w:val="C00000"/>
          <w:sz w:val="18"/>
          <w:szCs w:val="18"/>
        </w:rPr>
        <w:t xml:space="preserve">  [REVISED]</w:t>
      </w:r>
      <w:r>
        <w:rPr>
          <w:sz w:val="22"/>
          <w:szCs w:val="22"/>
        </w:rPr>
        <w:t xml:space="preserve"> (selectable by user) to evaluate submitted plasma parameter configurations and classify process suitability as Optimal, Acceptable, Marginal, or Unsuitable with calibrated probability scores. The baseline is reported alongside the ensemble models specifically to demonstrate that they provide a genuine improvement over a simple, fully interpretable model, rather than reporting an accuracy figure in isolation.</w:t>
      </w:r>
    </w:p>
    <w:p>
      <w:pPr>
        <w:pStyle w:val="ListParagraph"/>
        <w:numPr>
          <w:ilvl w:val="0"/>
          <w:numId w:val="2"/>
        </w:numPr>
        <w:spacing w:after="100" w:line="276"/>
      </w:pPr>
      <w:r>
        <w:rPr>
          <w:b/>
          <w:bCs/>
          <w:sz w:val="22"/>
          <w:szCs w:val="22"/>
        </w:rPr>
        <w:t xml:space="preserve">FE-2.1.2: </w:t>
      </w:r>
      <w:r>
        <w:rPr>
          <w:b/>
          <w:bCs/>
          <w:color w:val="C00000"/>
          <w:sz w:val="18"/>
          <w:szCs w:val="18"/>
        </w:rPr>
        <w:t xml:space="preserve">  [REVISED]</w:t>
      </w:r>
      <w:r>
        <w:rPr>
          <w:sz w:val="22"/>
          <w:szCs w:val="22"/>
        </w:rPr>
        <w:t xml:space="preserve"> Displays classification outputs with confidence percentages and </w:t>
      </w:r>
      <w:r>
        <w:rPr>
          <w:b/>
          <w:bCs/>
          <w:sz w:val="22"/>
          <w:szCs w:val="22"/>
        </w:rPr>
        <w:t xml:space="preserve">SHAP (SHapley Additive exPlanations) value breakdowns</w:t>
      </w:r>
      <w:r>
        <w:rPr>
          <w:sz w:val="22"/>
          <w:szCs w:val="22"/>
        </w:rPr>
        <w:t xml:space="preserve"> showing each input feature's contribution to the individual prediction, in addition to global feature importance rankings, within the AI insights dashboard panel. SHAP is used in place of plain feature-importance bar charts because it explains individual predictions, not only the model in aggregate, and is current standard practice for classifier explainability.</w:t>
      </w:r>
    </w:p>
    <w:p>
      <w:pPr>
        <w:pStyle w:val="ListParagraph"/>
        <w:numPr>
          <w:ilvl w:val="0"/>
          <w:numId w:val="2"/>
        </w:numPr>
        <w:spacing w:after="100" w:line="276"/>
      </w:pPr>
      <w:r>
        <w:rPr>
          <w:sz w:val="22"/>
          <w:szCs w:val="22"/>
        </w:rPr>
        <w:t xml:space="preserve">FE-2.1.3: Provides side-by-side model comparison mode showing Random Forest, XGBoost, and logistic-regression baseline classification results for the same input configuration, with agreement/disagreement flagging.</w:t>
      </w:r>
    </w:p>
    <w:p>
      <w:pPr>
        <w:pStyle w:val="ListParagraph"/>
        <w:numPr>
          <w:ilvl w:val="0"/>
          <w:numId w:val="2"/>
        </w:numPr>
        <w:spacing w:after="100" w:line="276"/>
      </w:pPr>
      <w:r>
        <w:rPr>
          <w:b/>
          <w:bCs/>
          <w:sz w:val="22"/>
          <w:szCs w:val="22"/>
        </w:rPr>
        <w:t xml:space="preserve">FE-2.1.4: </w:t>
      </w:r>
      <w:r>
        <w:rPr>
          <w:sz w:val="22"/>
          <w:szCs w:val="22"/>
        </w:rPr>
        <w:t xml:space="preserve">Includes model performance metrics panel showing accuracy, precision, recall, F1-score, and confusion matrix for the active classifier, evaluated on </w:t>
      </w:r>
      <w:r>
        <w:rPr>
          <w:b/>
          <w:bCs/>
          <w:sz w:val="22"/>
          <w:szCs w:val="22"/>
        </w:rPr>
        <w:t xml:space="preserve">both the random split and the region-based split</w:t>
      </w:r>
      <w:r>
        <w:rPr>
          <w:b/>
          <w:bCs/>
          <w:color w:val="C00000"/>
          <w:sz w:val="18"/>
          <w:szCs w:val="18"/>
        </w:rPr>
        <w:t xml:space="preserve">  [REVISED]</w:t>
      </w:r>
      <w:r>
        <w:rPr>
          <w:sz w:val="22"/>
          <w:szCs w:val="22"/>
        </w:rPr>
        <w:t xml:space="preserve"> (FE-1.3.5), so that interpolation and extrapolation performance are reported separately rather than conflated into a single figure. </w:t>
      </w:r>
      <w:r>
        <w:rPr>
          <w:b/>
          <w:bCs/>
          <w:color w:val="C00000"/>
          <w:sz w:val="18"/>
          <w:szCs w:val="18"/>
        </w:rPr>
        <w:t xml:space="preserve">  [REVISED]</w:t>
      </w:r>
      <w:r>
        <w:rPr>
          <w:sz w:val="22"/>
          <w:szCs w:val="22"/>
        </w:rPr>
        <w:t xml:space="preserve"> Additionally reports a </w:t>
      </w:r>
      <w:r>
        <w:rPr>
          <w:b/>
          <w:bCs/>
          <w:sz w:val="22"/>
          <w:szCs w:val="22"/>
        </w:rPr>
        <w:t xml:space="preserve">statistical significance test</w:t>
      </w:r>
      <w:r>
        <w:rPr>
          <w:sz w:val="22"/>
          <w:szCs w:val="22"/>
        </w:rPr>
        <w:t xml:space="preserve"> (McNemar's test or paired bootstrap via </w:t>
      </w:r>
      <w:r>
        <w:rPr>
          <w:i/>
          <w:iCs/>
          <w:sz w:val="22"/>
          <w:szCs w:val="22"/>
        </w:rPr>
        <w:t xml:space="preserve">scipy.stats</w:t>
      </w:r>
      <w:r>
        <w:rPr>
          <w:sz w:val="22"/>
          <w:szCs w:val="22"/>
        </w:rPr>
        <w:t xml:space="preserve">) of each ensemble model against the logistic-regression baseline, operationalising the primary success criterion in BO-2.</w:t>
      </w:r>
    </w:p>
    <w:p>
      <w:pPr>
        <w:pStyle w:val="Heading3"/>
        <w:spacing w:after="100" w:before="180"/>
      </w:pPr>
      <w:r>
        <w:rPr>
          <w:b/>
          <w:bCs/>
          <w:sz w:val="23"/>
          <w:szCs w:val="23"/>
        </w:rPr>
        <w:t xml:space="preserve">Sub-Module 2.2 — Real-Time Anomaly Detection and Process Instability Monitor</w:t>
      </w:r>
      <w:r>
        <w:rPr>
          <w:b/>
          <w:bCs/>
          <w:color w:val="C00000"/>
          <w:sz w:val="18"/>
          <w:szCs w:val="18"/>
        </w:rPr>
        <w:t xml:space="preserve">  [REVISED]</w:t>
      </w:r>
    </w:p>
    <w:p>
      <w:pPr>
        <w:spacing w:after="160" w:line="276"/>
        <w:jc w:val="both"/>
      </w:pPr>
      <w:r>
        <w:rPr>
          <w:b/>
          <w:bCs/>
          <w:sz w:val="22"/>
          <w:szCs w:val="22"/>
        </w:rPr>
        <w:t xml:space="preserve">Rationale for this revision: </w:t>
      </w:r>
      <w:r>
        <w:rPr>
          <w:sz w:val="22"/>
          <w:szCs w:val="22"/>
        </w:rPr>
        <w:t xml:space="preserve">If "anomalous" is defined purely as an out-of-range parameter combination, an Isolation Forest is solving a problem a simple range check would already solve, and the sub-module would not demonstrate genuine unsupervised learning value. This revision redefines anomalies in terms of the underlying physics relationship.</w:t>
      </w:r>
    </w:p>
    <w:p>
      <w:pPr>
        <w:pStyle w:val="ListParagraph"/>
        <w:numPr>
          <w:ilvl w:val="0"/>
          <w:numId w:val="2"/>
        </w:numPr>
        <w:spacing w:after="100" w:line="276"/>
      </w:pPr>
      <w:r>
        <w:rPr>
          <w:b/>
          <w:bCs/>
          <w:sz w:val="22"/>
          <w:szCs w:val="22"/>
        </w:rPr>
        <w:t xml:space="preserve">FE-2.2.1: </w:t>
      </w:r>
      <w:r>
        <w:rPr>
          <w:b/>
          <w:bCs/>
          <w:color w:val="C00000"/>
          <w:sz w:val="18"/>
          <w:szCs w:val="18"/>
        </w:rPr>
        <w:t xml:space="preserve">  [REVISED]</w:t>
      </w:r>
      <w:r>
        <w:rPr>
          <w:sz w:val="22"/>
          <w:szCs w:val="22"/>
        </w:rPr>
        <w:t xml:space="preserve"> Implements an Isolation Forest-based anomaly detection model trained on normal plasma operating condition data to identify statistically anomalous parameter configurations, where injected anomalies are simulated as </w:t>
      </w:r>
      <w:r>
        <w:rPr>
          <w:b/>
          <w:bCs/>
          <w:sz w:val="22"/>
          <w:szCs w:val="22"/>
        </w:rPr>
        <w:t xml:space="preserve">physics-relationship violations</w:t>
      </w:r>
      <w:r>
        <w:rPr>
          <w:sz w:val="22"/>
          <w:szCs w:val="22"/>
        </w:rPr>
        <w:t xml:space="preserve"> — for example, simulated sensor drift or electrode faults that break the expected relationship between (RF power, pressure) and the global-model-predicted outputs — rather than simple out-of-range inputs, so that detecting them demonstrates genuine relationship-level anomaly detection.</w:t>
      </w:r>
    </w:p>
    <w:p>
      <w:pPr>
        <w:pStyle w:val="ListParagraph"/>
        <w:numPr>
          <w:ilvl w:val="0"/>
          <w:numId w:val="2"/>
        </w:numPr>
        <w:spacing w:after="100" w:line="276"/>
      </w:pPr>
      <w:r>
        <w:rPr>
          <w:sz w:val="22"/>
          <w:szCs w:val="22"/>
        </w:rPr>
        <w:t xml:space="preserve">FE-2.2.2: Generates real-time anomaly severity scores (Normal, Warning, Critical) with visual indicator updates in the dashboard monitoring panel whenever submitted parameters exceed anomaly detection thresholds.</w:t>
      </w:r>
    </w:p>
    <w:p>
      <w:pPr>
        <w:pStyle w:val="ListParagraph"/>
        <w:numPr>
          <w:ilvl w:val="0"/>
          <w:numId w:val="2"/>
        </w:numPr>
        <w:spacing w:after="100" w:line="276"/>
      </w:pPr>
      <w:r>
        <w:rPr>
          <w:sz w:val="22"/>
          <w:szCs w:val="22"/>
        </w:rPr>
        <w:t xml:space="preserve">FE-2.2.3: Provides anomaly event logging that records all detected anomalous conditions with parameter states, anomaly scores, timestamps, and session identifiers in the SQLite database for post-session review.</w:t>
      </w:r>
    </w:p>
    <w:p>
      <w:pPr>
        <w:pStyle w:val="ListParagraph"/>
        <w:numPr>
          <w:ilvl w:val="0"/>
          <w:numId w:val="2"/>
        </w:numPr>
        <w:spacing w:after="100" w:line="276"/>
      </w:pPr>
      <w:r>
        <w:rPr>
          <w:sz w:val="22"/>
          <w:szCs w:val="22"/>
        </w:rPr>
        <w:t xml:space="preserve">FE-2.2.4: Implements a statistical process control (SPC) monitoring sub-component that tracks process quality index across sequential simulation runs and flags runs that exceed defined control limits.</w:t>
      </w:r>
    </w:p>
    <w:p>
      <w:pPr>
        <w:pStyle w:val="ListParagraph"/>
        <w:numPr>
          <w:ilvl w:val="0"/>
          <w:numId w:val="2"/>
        </w:numPr>
        <w:spacing w:after="100" w:line="276"/>
      </w:pPr>
      <w:r>
        <w:rPr>
          <w:sz w:val="22"/>
          <w:szCs w:val="22"/>
        </w:rPr>
        <w:t xml:space="preserve">FE-2.2.5: Displays anomaly event timeline visualisations showing detected instability events plotted against parameter trajectory history within the current session.</w:t>
      </w:r>
    </w:p>
    <w:p>
      <w:pPr>
        <w:pStyle w:val="ListParagraph"/>
        <w:numPr>
          <w:ilvl w:val="0"/>
          <w:numId w:val="2"/>
        </w:numPr>
        <w:spacing w:after="100" w:line="276"/>
      </w:pPr>
      <w:r>
        <w:rPr>
          <w:b/>
          <w:bCs/>
          <w:sz w:val="22"/>
          <w:szCs w:val="22"/>
        </w:rPr>
        <w:t xml:space="preserve">FE-2.2.6: </w:t>
      </w:r>
      <w:r>
        <w:rPr>
          <w:b/>
          <w:bCs/>
          <w:color w:val="2E7D32"/>
          <w:sz w:val="18"/>
          <w:szCs w:val="18"/>
        </w:rPr>
        <w:t xml:space="preserve">  [NEW]</w:t>
      </w:r>
      <w:r>
        <w:rPr>
          <w:sz w:val="22"/>
          <w:szCs w:val="22"/>
        </w:rPr>
        <w:t xml:space="preserve"> (Optional / stretch) Implements a lightweight autoencoder-based anomaly detector as a second, deep-learning method alongside Isolation Forest, with reconstruction error as the anomaly score, enabling a documented classical-versus-deep-learning comparison for the same physics-relationship-violation anomalies.</w:t>
      </w:r>
    </w:p>
    <w:p>
      <w:pPr>
        <w:pStyle w:val="Heading3"/>
        <w:spacing w:after="100" w:before="180"/>
      </w:pPr>
      <w:r>
        <w:rPr>
          <w:b/>
          <w:bCs/>
          <w:sz w:val="23"/>
          <w:szCs w:val="23"/>
        </w:rPr>
        <w:t xml:space="preserve">Sub-Module 2.3 — Plasma Trend Analysis and Monitoring Engine</w:t>
      </w:r>
    </w:p>
    <w:p>
      <w:pPr>
        <w:pStyle w:val="ListParagraph"/>
        <w:numPr>
          <w:ilvl w:val="0"/>
          <w:numId w:val="2"/>
        </w:numPr>
        <w:spacing w:after="100" w:line="276"/>
      </w:pPr>
      <w:r>
        <w:rPr>
          <w:sz w:val="22"/>
          <w:szCs w:val="22"/>
        </w:rPr>
        <w:t xml:space="preserve">FE-2.3.1: Continuously tracks and plots plasma reactivity, process quality, uniformity, and electron temperature trends across sequential simulation runs within a session, providing scrollable real-time trend charts.</w:t>
      </w:r>
    </w:p>
    <w:p>
      <w:pPr>
        <w:pStyle w:val="ListParagraph"/>
        <w:numPr>
          <w:ilvl w:val="0"/>
          <w:numId w:val="2"/>
        </w:numPr>
        <w:spacing w:after="100" w:line="276"/>
      </w:pPr>
      <w:r>
        <w:rPr>
          <w:sz w:val="22"/>
          <w:szCs w:val="22"/>
        </w:rPr>
        <w:t xml:space="preserve">FE-2.3.2: Implements exponential moving average (EMA) smoothing on trend charts to separate systematic parameter trends from simulation noise, with adjustable smoothing window.</w:t>
      </w:r>
    </w:p>
    <w:p>
      <w:pPr>
        <w:pStyle w:val="ListParagraph"/>
        <w:numPr>
          <w:ilvl w:val="0"/>
          <w:numId w:val="2"/>
        </w:numPr>
        <w:spacing w:after="100" w:line="276"/>
      </w:pPr>
      <w:r>
        <w:rPr>
          <w:sz w:val="22"/>
          <w:szCs w:val="22"/>
        </w:rPr>
        <w:t xml:space="preserve">FE-2.3.3: Detects and annotates trend change events — including monotonic degradation sequences, recovery sequences, and instability oscillations — directly on trend charts with contextual labels.</w:t>
      </w:r>
    </w:p>
    <w:p>
      <w:pPr>
        <w:pStyle w:val="ListParagraph"/>
        <w:numPr>
          <w:ilvl w:val="0"/>
          <w:numId w:val="2"/>
        </w:numPr>
        <w:spacing w:after="100" w:line="276"/>
      </w:pPr>
      <w:r>
        <w:rPr>
          <w:sz w:val="22"/>
          <w:szCs w:val="22"/>
        </w:rPr>
        <w:t xml:space="preserve">FE-2.3.4: Provides trend summary statistics (mean, standard deviation, min, max, trend direction coefficient) for each monitored output metric across the current session window.</w:t>
      </w:r>
    </w:p>
    <w:p>
      <w:pPr>
        <w:pStyle w:val="Heading3"/>
        <w:spacing w:after="100" w:before="180"/>
      </w:pPr>
      <w:r>
        <w:rPr>
          <w:b/>
          <w:bCs/>
          <w:sz w:val="23"/>
          <w:szCs w:val="23"/>
        </w:rPr>
        <w:t xml:space="preserve">Sub-Module 2.4 — Multi-Parameter Correlation and Relationship Analysis</w:t>
      </w:r>
    </w:p>
    <w:p>
      <w:pPr>
        <w:pStyle w:val="ListParagraph"/>
        <w:numPr>
          <w:ilvl w:val="0"/>
          <w:numId w:val="2"/>
        </w:numPr>
        <w:spacing w:after="100" w:line="276"/>
      </w:pPr>
      <w:r>
        <w:rPr>
          <w:sz w:val="22"/>
          <w:szCs w:val="22"/>
        </w:rPr>
        <w:t xml:space="preserve">FE-2.4.1: Computes and visualises Pearson correlation coefficients between all plasma input parameters and process output metrics using an interactive correlation heatmap in the analytics panel.</w:t>
      </w:r>
    </w:p>
    <w:p>
      <w:pPr>
        <w:pStyle w:val="ListParagraph"/>
        <w:numPr>
          <w:ilvl w:val="0"/>
          <w:numId w:val="2"/>
        </w:numPr>
        <w:spacing w:after="100" w:line="276"/>
      </w:pPr>
      <w:r>
        <w:rPr>
          <w:sz w:val="22"/>
          <w:szCs w:val="22"/>
        </w:rPr>
        <w:t xml:space="preserve">FE-2.4.2: Generates individual scatter plots for key parameter-output relationships (RF Power vs. Reactivity, Pressure vs. Uniformity, Density vs. Process Quality) with regression trend lines and R-squared values.</w:t>
      </w:r>
    </w:p>
    <w:p>
      <w:pPr>
        <w:pStyle w:val="ListParagraph"/>
        <w:numPr>
          <w:ilvl w:val="0"/>
          <w:numId w:val="2"/>
        </w:numPr>
        <w:spacing w:after="100" w:line="276"/>
      </w:pPr>
      <w:r>
        <w:rPr>
          <w:sz w:val="22"/>
          <w:szCs w:val="22"/>
        </w:rPr>
        <w:t xml:space="preserve">FE-2.4.3: Implements parallel coordinates visualisation allowing simultaneous display of all parameter and output dimensions across multiple experimental data points for multidimensional pattern recognition.</w:t>
      </w:r>
    </w:p>
    <w:p>
      <w:pPr>
        <w:pStyle w:val="ListParagraph"/>
        <w:numPr>
          <w:ilvl w:val="0"/>
          <w:numId w:val="2"/>
        </w:numPr>
        <w:spacing w:after="100" w:line="276"/>
      </w:pPr>
      <w:r>
        <w:rPr>
          <w:sz w:val="22"/>
          <w:szCs w:val="22"/>
        </w:rPr>
        <w:t xml:space="preserve">FE-2.4.4: Provides automated correlation insight narration — identifying the strongest observed relationships and flagging unexpected low correlations — as AI-generated text summaries in the insights panel.</w:t>
      </w:r>
    </w:p>
    <w:p>
      <w:pPr>
        <w:pStyle w:val="Heading3"/>
        <w:spacing w:after="100" w:before="180"/>
      </w:pPr>
      <w:r>
        <w:rPr>
          <w:b/>
          <w:bCs/>
          <w:sz w:val="23"/>
          <w:szCs w:val="23"/>
        </w:rPr>
        <w:t xml:space="preserve">Sub-Module 2.5 — Semiconductor Process Suitability Analysis Module</w:t>
      </w:r>
      <w:r>
        <w:rPr>
          <w:b/>
          <w:bCs/>
          <w:color w:val="C00000"/>
          <w:sz w:val="18"/>
          <w:szCs w:val="18"/>
        </w:rPr>
        <w:t xml:space="preserve">  [REVISED]</w:t>
      </w:r>
    </w:p>
    <w:p>
      <w:pPr>
        <w:pStyle w:val="ListParagraph"/>
        <w:numPr>
          <w:ilvl w:val="0"/>
          <w:numId w:val="2"/>
        </w:numPr>
        <w:spacing w:after="100" w:line="276"/>
      </w:pPr>
      <w:r>
        <w:rPr>
          <w:b/>
          <w:bCs/>
          <w:sz w:val="22"/>
          <w:szCs w:val="22"/>
        </w:rPr>
        <w:t xml:space="preserve">FE-2.5.1: </w:t>
      </w:r>
      <w:r>
        <w:rPr>
          <w:b/>
          <w:bCs/>
          <w:color w:val="C00000"/>
          <w:sz w:val="18"/>
          <w:szCs w:val="18"/>
        </w:rPr>
        <w:t xml:space="preserve">  [REVISED]</w:t>
      </w:r>
      <w:r>
        <w:rPr>
          <w:sz w:val="22"/>
          <w:szCs w:val="22"/>
        </w:rPr>
        <w:t xml:space="preserve"> Maps simulated plasma process quality metrics to semiconductor application suitability categories — Plasma Etching, Thin-Film Deposition, Wafer Cleaning, Surface Treatment — based on process quality window specifications </w:t>
      </w:r>
      <w:r>
        <w:rPr>
          <w:b/>
          <w:bCs/>
          <w:sz w:val="22"/>
          <w:szCs w:val="22"/>
        </w:rPr>
        <w:t xml:space="preserve">sourced and cited from the project's own literature review</w:t>
      </w:r>
      <w:r>
        <w:rPr>
          <w:sz w:val="22"/>
          <w:szCs w:val="22"/>
        </w:rPr>
        <w:t xml:space="preserve"> (e.g., Lieberman &amp; Lichtenberg; published semiconductor process specifications), rather than round numbers chosen without a stated source.</w:t>
      </w:r>
    </w:p>
    <w:p>
      <w:pPr>
        <w:pStyle w:val="ListParagraph"/>
        <w:numPr>
          <w:ilvl w:val="0"/>
          <w:numId w:val="2"/>
        </w:numPr>
        <w:spacing w:after="100" w:line="276"/>
      </w:pPr>
      <w:r>
        <w:rPr>
          <w:sz w:val="22"/>
          <w:szCs w:val="22"/>
        </w:rPr>
        <w:t xml:space="preserve">FE-2.5.2: Displays a semiconductor suitability scorecard for each submitted parameter configuration showing process-specific suitability ratings and operating window compliance percentages.</w:t>
      </w:r>
    </w:p>
    <w:p>
      <w:pPr>
        <w:pStyle w:val="ListParagraph"/>
        <w:numPr>
          <w:ilvl w:val="0"/>
          <w:numId w:val="2"/>
        </w:numPr>
        <w:spacing w:after="100" w:line="276"/>
      </w:pPr>
      <w:r>
        <w:rPr>
          <w:b/>
          <w:bCs/>
          <w:sz w:val="22"/>
          <w:szCs w:val="22"/>
        </w:rPr>
        <w:t xml:space="preserve">FE-2.5.3: </w:t>
      </w:r>
      <w:r>
        <w:rPr>
          <w:b/>
          <w:bCs/>
          <w:color w:val="C00000"/>
          <w:sz w:val="18"/>
          <w:szCs w:val="18"/>
        </w:rPr>
        <w:t xml:space="preserve">  [REVISED]</w:t>
      </w:r>
      <w:r>
        <w:rPr>
          <w:sz w:val="22"/>
          <w:szCs w:val="22"/>
        </w:rPr>
        <w:t xml:space="preserve"> Generates defect probability estimates for each semiconductor application type as a function of process quality index deviation from optimal operating ranges, reported as a </w:t>
      </w:r>
      <w:r>
        <w:rPr>
          <w:b/>
          <w:bCs/>
          <w:sz w:val="22"/>
          <w:szCs w:val="22"/>
        </w:rPr>
        <w:t xml:space="preserve">confidence interval</w:t>
      </w:r>
      <w:r>
        <w:rPr>
          <w:sz w:val="22"/>
          <w:szCs w:val="22"/>
        </w:rPr>
        <w:t xml:space="preserve"> rather than a single point estimate (see Sub-Module 2.8).</w:t>
      </w:r>
    </w:p>
    <w:p>
      <w:pPr>
        <w:pStyle w:val="ListParagraph"/>
        <w:numPr>
          <w:ilvl w:val="0"/>
          <w:numId w:val="2"/>
        </w:numPr>
        <w:spacing w:after="100" w:line="276"/>
      </w:pPr>
      <w:r>
        <w:rPr>
          <w:sz w:val="22"/>
          <w:szCs w:val="22"/>
        </w:rPr>
        <w:t xml:space="preserve">FE-2.5.4: Provides comparative suitability analysis across multiple stored experiments, enabling users to identify which parameter configurations produce the best suitability outcomes for a target semiconductor application.</w:t>
      </w:r>
    </w:p>
    <w:p>
      <w:pPr>
        <w:pStyle w:val="Heading3"/>
        <w:spacing w:after="100" w:before="180"/>
      </w:pPr>
      <w:r>
        <w:rPr>
          <w:b/>
          <w:bCs/>
          <w:sz w:val="23"/>
          <w:szCs w:val="23"/>
        </w:rPr>
        <w:t xml:space="preserve">Sub-Module 2.6 — Intelligent, Counterfactual Recommendation Engine</w:t>
      </w:r>
      <w:r>
        <w:rPr>
          <w:b/>
          <w:bCs/>
          <w:color w:val="C00000"/>
          <w:sz w:val="18"/>
          <w:szCs w:val="18"/>
        </w:rPr>
        <w:t xml:space="preserve">  [REVISED]</w:t>
      </w:r>
    </w:p>
    <w:p>
      <w:pPr>
        <w:spacing w:after="160" w:line="276"/>
        <w:jc w:val="both"/>
      </w:pPr>
      <w:r>
        <w:rPr>
          <w:b/>
          <w:bCs/>
          <w:sz w:val="22"/>
          <w:szCs w:val="22"/>
        </w:rPr>
        <w:t xml:space="preserve">Rationale for this revision: </w:t>
      </w:r>
      <w:r>
        <w:rPr>
          <w:sz w:val="22"/>
          <w:szCs w:val="22"/>
        </w:rPr>
        <w:t xml:space="preserve">The platform already contains a full simulation engine. A recommendation that only produces generic rule-based text ("reduce RF power") without quantifying the predicted effect leaves a clear capability on the table. This revision ties every recommendation back to the digital twin itself.</w:t>
      </w:r>
    </w:p>
    <w:p>
      <w:pPr>
        <w:pStyle w:val="ListParagraph"/>
        <w:numPr>
          <w:ilvl w:val="0"/>
          <w:numId w:val="2"/>
        </w:numPr>
        <w:spacing w:after="100" w:line="276"/>
      </w:pPr>
      <w:r>
        <w:rPr>
          <w:b/>
          <w:bCs/>
          <w:sz w:val="22"/>
          <w:szCs w:val="22"/>
        </w:rPr>
        <w:t xml:space="preserve">FE-2.6.1: </w:t>
      </w:r>
      <w:r>
        <w:rPr>
          <w:b/>
          <w:bCs/>
          <w:color w:val="C00000"/>
          <w:sz w:val="18"/>
          <w:szCs w:val="18"/>
        </w:rPr>
        <w:t xml:space="preserve">  [REVISED]</w:t>
      </w:r>
      <w:r>
        <w:rPr>
          <w:sz w:val="22"/>
          <w:szCs w:val="22"/>
        </w:rPr>
        <w:t xml:space="preserve"> Generates contextual, human-readable process recommendations based on current classification results, detected anomalies, trend directions, and correlation insights, producing at least three actionable recommendations per analysis cycle, each accompanied by a </w:t>
      </w:r>
      <w:r>
        <w:rPr>
          <w:b/>
          <w:bCs/>
          <w:sz w:val="22"/>
          <w:szCs w:val="22"/>
        </w:rPr>
        <w:t xml:space="preserve">re-simulated, quantified predicted outcome</w:t>
      </w:r>
      <w:r>
        <w:rPr>
          <w:sz w:val="22"/>
          <w:szCs w:val="22"/>
        </w:rPr>
        <w:t xml:space="preserve"> (e.g., "reducing RF power by 10 W is predicted to raise the uniformity index from 0.81 to 0.87 and move classification from Acceptable to Optimal") obtained by re-running the recommended configuration through the digital twin (Module 1), rather than presenting the recommendation as unverified text.</w:t>
      </w:r>
    </w:p>
    <w:p>
      <w:pPr>
        <w:pStyle w:val="ListParagraph"/>
        <w:numPr>
          <w:ilvl w:val="0"/>
          <w:numId w:val="2"/>
        </w:numPr>
        <w:spacing w:after="100" w:line="276"/>
      </w:pPr>
      <w:r>
        <w:rPr>
          <w:sz w:val="22"/>
          <w:szCs w:val="22"/>
        </w:rPr>
        <w:t xml:space="preserve">FE-2.6.2: Implements a rule-based recommendation layer that encodes established plasma processing best practices (e.g., reducing RF power at high-pressure conditions to maintain uniformity), used to propose candidate adjustments before they are quantified via FE-2.6.1.</w:t>
      </w:r>
    </w:p>
    <w:p>
      <w:pPr>
        <w:pStyle w:val="ListParagraph"/>
        <w:numPr>
          <w:ilvl w:val="0"/>
          <w:numId w:val="2"/>
        </w:numPr>
        <w:spacing w:after="100" w:line="276"/>
      </w:pPr>
      <w:r>
        <w:rPr>
          <w:sz w:val="22"/>
          <w:szCs w:val="22"/>
        </w:rPr>
        <w:t xml:space="preserve">FE-2.6.3: Incorporates an ML-derived recommendation scoring layer that ranks recommendation candidates by predicted improvement magnitude in process quality index, using the quantified re-simulation results from FE-2.6.1 rather than a heuristic score alone.</w:t>
      </w:r>
    </w:p>
    <w:p>
      <w:pPr>
        <w:pStyle w:val="ListParagraph"/>
        <w:numPr>
          <w:ilvl w:val="0"/>
          <w:numId w:val="2"/>
        </w:numPr>
        <w:spacing w:after="100" w:line="276"/>
      </w:pPr>
      <w:r>
        <w:rPr>
          <w:sz w:val="22"/>
          <w:szCs w:val="22"/>
        </w:rPr>
        <w:t xml:space="preserve">FE-2.6.4: Maintains a recommendation history log within the session, allowing users to review all AI-generated guidance, the quantified predicted effect at the time it was generated, and whether the subsequently applied parameter adjustment produced the predicted improvement.</w:t>
      </w:r>
    </w:p>
    <w:p>
      <w:pPr>
        <w:pStyle w:val="Heading3"/>
        <w:spacing w:after="100" w:before="180"/>
      </w:pPr>
      <w:r>
        <w:rPr>
          <w:b/>
          <w:bCs/>
          <w:sz w:val="23"/>
          <w:szCs w:val="23"/>
        </w:rPr>
        <w:t xml:space="preserve">Sub-Module 2.7 — AI Model Training, Evaluation, and Retraining Interface</w:t>
      </w:r>
    </w:p>
    <w:p>
      <w:pPr>
        <w:pStyle w:val="ListParagraph"/>
        <w:numPr>
          <w:ilvl w:val="0"/>
          <w:numId w:val="2"/>
        </w:numPr>
        <w:spacing w:after="100" w:line="276"/>
      </w:pPr>
      <w:r>
        <w:rPr>
          <w:sz w:val="22"/>
          <w:szCs w:val="22"/>
        </w:rPr>
        <w:t xml:space="preserve">FE-2.7.1: Provides an in-application model management interface that displays current model training parameters, dataset sizes, training timestamps, and performance metrics for all deployed classifiers.</w:t>
      </w:r>
    </w:p>
    <w:p>
      <w:pPr>
        <w:pStyle w:val="ListParagraph"/>
        <w:numPr>
          <w:ilvl w:val="0"/>
          <w:numId w:val="2"/>
        </w:numPr>
        <w:spacing w:after="100" w:line="276"/>
      </w:pPr>
      <w:r>
        <w:rPr>
          <w:sz w:val="22"/>
          <w:szCs w:val="22"/>
        </w:rPr>
        <w:t xml:space="preserve">FE-2.7.2: Supports model retraining using accumulated session data from the SQLite experiment database, allowing AI model performance to improve as more experimental records are generated.</w:t>
      </w:r>
    </w:p>
    <w:p>
      <w:pPr>
        <w:pStyle w:val="ListParagraph"/>
        <w:numPr>
          <w:ilvl w:val="0"/>
          <w:numId w:val="2"/>
        </w:numPr>
        <w:spacing w:after="100" w:line="276"/>
      </w:pPr>
      <w:r>
        <w:rPr>
          <w:sz w:val="22"/>
          <w:szCs w:val="22"/>
        </w:rPr>
        <w:t xml:space="preserve">FE-2.7.3: Implements k-fold cross-validation with configurable k for model evaluation, presenting fold-by-fold performance results alongside aggregate metrics.</w:t>
      </w:r>
    </w:p>
    <w:p>
      <w:pPr>
        <w:pStyle w:val="ListParagraph"/>
        <w:numPr>
          <w:ilvl w:val="0"/>
          <w:numId w:val="2"/>
        </w:numPr>
        <w:spacing w:after="100" w:line="276"/>
      </w:pPr>
      <w:r>
        <w:rPr>
          <w:sz w:val="22"/>
          <w:szCs w:val="22"/>
        </w:rPr>
        <w:t xml:space="preserve">FE-2.7.4: Visualises feature importance rankings for Random Forest, XGBoost, and the logistic-regression baseline, providing interpretability insight into which plasma parameters most strongly drive the AI's classification decisions.</w:t>
      </w:r>
    </w:p>
    <w:p>
      <w:pPr>
        <w:pStyle w:val="ListParagraph"/>
        <w:numPr>
          <w:ilvl w:val="0"/>
          <w:numId w:val="2"/>
        </w:numPr>
        <w:spacing w:after="100" w:line="276"/>
      </w:pPr>
      <w:r>
        <w:rPr>
          <w:b/>
          <w:bCs/>
          <w:sz w:val="22"/>
          <w:szCs w:val="22"/>
        </w:rPr>
        <w:t xml:space="preserve">FE-2.7.5: </w:t>
      </w:r>
      <w:r>
        <w:rPr>
          <w:b/>
          <w:bCs/>
          <w:color w:val="2E7D32"/>
          <w:sz w:val="18"/>
          <w:szCs w:val="18"/>
        </w:rPr>
        <w:t xml:space="preserve">  [NEW]</w:t>
      </w:r>
      <w:r>
        <w:rPr>
          <w:sz w:val="22"/>
          <w:szCs w:val="22"/>
        </w:rPr>
        <w:t xml:space="preserve"> Logs every training run (dataset version, hyperparameters, resulting metrics) using a lightweight local experiment-tracking tool (e.g., MLflow in local file-store mode, requiring no external server), replacing ad hoc console logging with a queryable training history.</w:t>
      </w:r>
    </w:p>
    <w:p>
      <w:pPr>
        <w:pStyle w:val="Heading3"/>
        <w:spacing w:after="100" w:before="180"/>
      </w:pPr>
      <w:r>
        <w:rPr>
          <w:b/>
          <w:bCs/>
          <w:sz w:val="23"/>
          <w:szCs w:val="23"/>
        </w:rPr>
        <w:t xml:space="preserve">Sub-Module 2.8 — Uncertainty Quantification and Trust Layer</w:t>
      </w:r>
      <w:r>
        <w:rPr>
          <w:b/>
          <w:bCs/>
          <w:color w:val="2E7D32"/>
          <w:sz w:val="18"/>
          <w:szCs w:val="18"/>
        </w:rPr>
        <w:t xml:space="preserve">  [NEW]</w:t>
      </w:r>
    </w:p>
    <w:p>
      <w:pPr>
        <w:spacing w:after="160" w:line="276"/>
        <w:jc w:val="both"/>
      </w:pPr>
      <w:r>
        <w:rPr>
          <w:b/>
          <w:bCs/>
          <w:sz w:val="22"/>
          <w:szCs w:val="22"/>
        </w:rPr>
        <w:t xml:space="preserve">Rationale: </w:t>
      </w:r>
      <w:r>
        <w:rPr>
          <w:sz w:val="22"/>
          <w:szCs w:val="22"/>
        </w:rPr>
        <w:t xml:space="preserve">Presenting classification confidence and defect probability as single point estimates overstates the certainty the underlying model actually has, particularly once genuine hidden confounders (FE-1.3.2) are introduced. This sub-module is scoped as an optional but strongly recommended addition.</w:t>
      </w:r>
    </w:p>
    <w:p>
      <w:pPr>
        <w:pStyle w:val="ListParagraph"/>
        <w:numPr>
          <w:ilvl w:val="0"/>
          <w:numId w:val="2"/>
        </w:numPr>
        <w:spacing w:after="100" w:line="276"/>
      </w:pPr>
      <w:r>
        <w:rPr>
          <w:b/>
          <w:bCs/>
          <w:sz w:val="22"/>
          <w:szCs w:val="22"/>
        </w:rPr>
        <w:t xml:space="preserve">FE-2.8.1: </w:t>
      </w:r>
      <w:r>
        <w:rPr>
          <w:sz w:val="22"/>
          <w:szCs w:val="22"/>
        </w:rPr>
        <w:t xml:space="preserve">Implements conformal prediction (or, at minimum, bootstrapped confidence intervals) on top of the classification and defect-probability outputs, producing calibrated interval estimates instead of single numbers.</w:t>
      </w:r>
    </w:p>
    <w:p>
      <w:pPr>
        <w:pStyle w:val="ListParagraph"/>
        <w:numPr>
          <w:ilvl w:val="0"/>
          <w:numId w:val="2"/>
        </w:numPr>
        <w:spacing w:after="100" w:line="276"/>
      </w:pPr>
      <w:r>
        <w:rPr>
          <w:b/>
          <w:bCs/>
          <w:sz w:val="22"/>
          <w:szCs w:val="22"/>
        </w:rPr>
        <w:t xml:space="preserve">FE-2.8.2: </w:t>
      </w:r>
      <w:r>
        <w:rPr>
          <w:sz w:val="22"/>
          <w:szCs w:val="22"/>
        </w:rPr>
        <w:t xml:space="preserve">Displays an explicit "confidence band" alongside every suitability score and defect probability estimate in the dashboard, so that low-confidence predictions — for example, configurations near a decision boundary or in a sparsely sampled region of parameter space — are visibly distinguished from high-confidence ones.</w:t>
      </w:r>
    </w:p>
    <w:p>
      <w:r>
        <w:br w:type="page"/>
      </w:r>
    </w:p>
    <w:p>
      <w:pPr>
        <w:pStyle w:val="Heading1"/>
        <w:spacing w:after="200" w:before="360"/>
      </w:pPr>
      <w:r>
        <w:rPr>
          <w:b/>
          <w:bCs/>
          <w:color w:val="1F3864"/>
          <w:sz w:val="30"/>
          <w:szCs w:val="30"/>
        </w:rPr>
        <w:t xml:space="preserve">8.  System Limitations / Constraints</w:t>
      </w:r>
    </w:p>
    <w:p>
      <w:pPr>
        <w:pStyle w:val="ListParagraph"/>
        <w:numPr>
          <w:ilvl w:val="0"/>
          <w:numId w:val="2"/>
        </w:numPr>
        <w:spacing w:after="100" w:line="276"/>
      </w:pPr>
      <w:r>
        <w:rPr>
          <w:b/>
          <w:bCs/>
          <w:sz w:val="22"/>
          <w:szCs w:val="22"/>
        </w:rPr>
        <w:t xml:space="preserve">LI-1: </w:t>
      </w:r>
      <w:r>
        <w:rPr>
          <w:b/>
          <w:bCs/>
          <w:color w:val="C00000"/>
          <w:sz w:val="18"/>
          <w:szCs w:val="18"/>
        </w:rPr>
        <w:t xml:space="preserve">  [REVISED]</w:t>
      </w:r>
      <w:r>
        <w:rPr>
          <w:sz w:val="22"/>
          <w:szCs w:val="22"/>
        </w:rPr>
        <w:t xml:space="preserve"> The platform simulates CCP plasma behaviour through a </w:t>
      </w:r>
      <w:r>
        <w:rPr>
          <w:b/>
          <w:bCs/>
          <w:sz w:val="22"/>
          <w:szCs w:val="22"/>
        </w:rPr>
        <w:t xml:space="preserve">volume-averaged (0D) global discharge model</w:t>
      </w:r>
      <w:r>
        <w:rPr>
          <w:sz w:val="22"/>
          <w:szCs w:val="22"/>
        </w:rPr>
        <w:t xml:space="preserve"> derived from particle and power balance equations, rather than a full spatially-resolved fluid or particle-in-cell (PIC) simulation. This is a deliberate, literature-grounded scope decision: the global model is analytically tractable and independently verifiable, but it does not resolve spatial profiles within the chamber. Simulation outputs represent physically derived trend-level behaviour suitable for educational purposes and are benchmarked qualitatively against published literature curves (Sub-Module 1.6), but should not be interpreted as spatially-resolved, quantitatively precise engineering measurements.</w:t>
      </w:r>
    </w:p>
    <w:p>
      <w:pPr>
        <w:pStyle w:val="ListParagraph"/>
        <w:numPr>
          <w:ilvl w:val="0"/>
          <w:numId w:val="2"/>
        </w:numPr>
        <w:spacing w:after="100" w:line="276"/>
      </w:pPr>
      <w:r>
        <w:rPr>
          <w:b/>
          <w:bCs/>
          <w:sz w:val="22"/>
          <w:szCs w:val="22"/>
        </w:rPr>
        <w:t xml:space="preserve">LI-2: </w:t>
      </w:r>
      <w:r>
        <w:rPr>
          <w:sz w:val="22"/>
          <w:szCs w:val="22"/>
        </w:rPr>
        <w:t xml:space="preserve">The system is scoped exclusively to Low-Pressure RF Capacitively Coupled Argon Plasma and does not model other plasma types including inductively coupled plasma (ICP), electron cyclotron resonance (ECR) plasma, or atmospheric pressure plasma systems.</w:t>
      </w:r>
    </w:p>
    <w:p>
      <w:pPr>
        <w:pStyle w:val="ListParagraph"/>
        <w:numPr>
          <w:ilvl w:val="0"/>
          <w:numId w:val="2"/>
        </w:numPr>
        <w:spacing w:after="100" w:line="276"/>
      </w:pPr>
      <w:r>
        <w:rPr>
          <w:b/>
          <w:bCs/>
          <w:sz w:val="22"/>
          <w:szCs w:val="22"/>
        </w:rPr>
        <w:t xml:space="preserve">LI-3: </w:t>
      </w:r>
      <w:r>
        <w:rPr>
          <w:b/>
          <w:bCs/>
          <w:color w:val="C00000"/>
          <w:sz w:val="18"/>
          <w:szCs w:val="18"/>
        </w:rPr>
        <w:t xml:space="preserve">  [REVISED]</w:t>
      </w:r>
      <w:r>
        <w:rPr>
          <w:sz w:val="22"/>
          <w:szCs w:val="22"/>
        </w:rPr>
        <w:t xml:space="preserve"> The AI classification and anomaly detection models are trained on synthetically generated plasma datasets, now deliberately constructed with hidden confounding variables and region-based evaluation splits (Sub-Module 1.3) to avoid a trivially separable learning task. Model generalisation to real-world measured plasma data has still not been validated against physical hardware and should be assumed limited without additional calibration; Sub-Module 1.6 provides qualitative trend-level benchmarking against published literature curves as partial, but not complete, mitigating evidence.</w:t>
      </w:r>
    </w:p>
    <w:p>
      <w:pPr>
        <w:pStyle w:val="ListParagraph"/>
        <w:numPr>
          <w:ilvl w:val="0"/>
          <w:numId w:val="2"/>
        </w:numPr>
        <w:spacing w:after="100" w:line="276"/>
      </w:pPr>
      <w:r>
        <w:rPr>
          <w:b/>
          <w:bCs/>
          <w:sz w:val="22"/>
          <w:szCs w:val="22"/>
        </w:rPr>
        <w:t xml:space="preserve">LI-4: </w:t>
      </w:r>
      <w:r>
        <w:rPr>
          <w:sz w:val="22"/>
          <w:szCs w:val="22"/>
        </w:rPr>
        <w:t xml:space="preserve">Real-time industrial process control functionality is explicitly out of scope. The platform does not interface with physical hardware, external sensors, or industrial control systems.</w:t>
      </w:r>
    </w:p>
    <w:p>
      <w:pPr>
        <w:pStyle w:val="ListParagraph"/>
        <w:numPr>
          <w:ilvl w:val="0"/>
          <w:numId w:val="2"/>
        </w:numPr>
        <w:spacing w:after="100" w:line="276"/>
      </w:pPr>
      <w:r>
        <w:rPr>
          <w:b/>
          <w:bCs/>
          <w:sz w:val="22"/>
          <w:szCs w:val="22"/>
        </w:rPr>
        <w:t xml:space="preserve">LI-5: </w:t>
      </w:r>
      <w:r>
        <w:rPr>
          <w:sz w:val="22"/>
          <w:szCs w:val="22"/>
        </w:rPr>
        <w:t xml:space="preserve">The digital twin simulation does not account for electrode geometry variations, chamber wall effects, plasma sheath spatial dynamics, or gas chemistry interactions beyond argon noble gas behaviour; the 0D global model treats the chamber as spatially uniform by construction.</w:t>
      </w:r>
    </w:p>
    <w:p>
      <w:pPr>
        <w:pStyle w:val="ListParagraph"/>
        <w:numPr>
          <w:ilvl w:val="0"/>
          <w:numId w:val="2"/>
        </w:numPr>
        <w:spacing w:after="100" w:line="276"/>
      </w:pPr>
      <w:r>
        <w:rPr>
          <w:b/>
          <w:bCs/>
          <w:sz w:val="22"/>
          <w:szCs w:val="22"/>
        </w:rPr>
        <w:t xml:space="preserve">LI-6: </w:t>
      </w:r>
      <w:r>
        <w:rPr>
          <w:sz w:val="22"/>
          <w:szCs w:val="22"/>
        </w:rPr>
        <w:t xml:space="preserve">The platform does not support multi-user simultaneous access or cloud deployment. It is designed as a single-user local application.</w:t>
      </w:r>
    </w:p>
    <w:p>
      <w:pPr>
        <w:pStyle w:val="ListParagraph"/>
        <w:numPr>
          <w:ilvl w:val="0"/>
          <w:numId w:val="2"/>
        </w:numPr>
        <w:spacing w:after="100" w:line="276"/>
      </w:pPr>
      <w:r>
        <w:rPr>
          <w:b/>
          <w:bCs/>
          <w:sz w:val="22"/>
          <w:szCs w:val="22"/>
        </w:rPr>
        <w:t xml:space="preserve">LI-7: </w:t>
      </w:r>
      <w:r>
        <w:rPr>
          <w:sz w:val="22"/>
          <w:szCs w:val="22"/>
        </w:rPr>
        <w:t xml:space="preserve">Fusion plasma physics, high-pressure atmospheric plasma, and plasma phenomena outside the CCP operating envelope are explicitly excluded from the simulation scope.</w:t>
      </w:r>
    </w:p>
    <w:p>
      <w:pPr>
        <w:pStyle w:val="ListParagraph"/>
        <w:numPr>
          <w:ilvl w:val="0"/>
          <w:numId w:val="2"/>
        </w:numPr>
        <w:spacing w:after="100" w:line="276"/>
      </w:pPr>
      <w:r>
        <w:rPr>
          <w:b/>
          <w:bCs/>
          <w:sz w:val="22"/>
          <w:szCs w:val="22"/>
        </w:rPr>
        <w:t xml:space="preserve">LI-8: </w:t>
      </w:r>
      <w:r>
        <w:rPr>
          <w:b/>
          <w:bCs/>
          <w:color w:val="C00000"/>
          <w:sz w:val="18"/>
          <w:szCs w:val="18"/>
        </w:rPr>
        <w:t xml:space="preserve">  [REVISED]</w:t>
      </w:r>
      <w:r>
        <w:rPr>
          <w:sz w:val="22"/>
          <w:szCs w:val="22"/>
        </w:rPr>
        <w:t xml:space="preserve"> The recommendation engine outputs educational guidance derived from plasma processing literature and re-simulated digital twin outputs (Sub-Module 2.6). Quantified predicted effects reflect the digital twin's own model, not validated physical hardware behaviour, and recommendations remain educational guidance rather than validated industrial engineering advice; they should not be applied to real plasma hardware without expert review.</w:t>
      </w:r>
    </w:p>
    <w:p>
      <w:pPr>
        <w:pStyle w:val="Heading1"/>
        <w:spacing w:after="200" w:before="360"/>
      </w:pPr>
      <w:r>
        <w:rPr>
          <w:b/>
          <w:bCs/>
          <w:color w:val="1F3864"/>
          <w:sz w:val="30"/>
          <w:szCs w:val="30"/>
        </w:rPr>
        <w:t xml:space="preserve">9.  Data Gathering Approach</w:t>
      </w:r>
    </w:p>
    <w:p>
      <w:pPr>
        <w:spacing w:after="160" w:line="276"/>
        <w:jc w:val="both"/>
      </w:pPr>
      <w:r>
        <w:rPr>
          <w:sz w:val="22"/>
          <w:szCs w:val="22"/>
        </w:rPr>
        <w:t xml:space="preserve">The project employs multiple data gathering and requirement elicitation approaches to ensure the platform design is grounded in established plasma physics knowledge, real AI analytics requirements, and practical educational usability needs.</w:t>
      </w:r>
    </w:p>
    <w:p>
      <w:pPr>
        <w:pStyle w:val="ListParagraph"/>
        <w:numPr>
          <w:ilvl w:val="0"/>
          <w:numId w:val="2"/>
        </w:numPr>
        <w:spacing w:after="100" w:line="276"/>
      </w:pPr>
      <w:r>
        <w:rPr>
          <w:b/>
          <w:bCs/>
          <w:sz w:val="22"/>
          <w:szCs w:val="22"/>
        </w:rPr>
        <w:t xml:space="preserve">Literature Review: </w:t>
      </w:r>
      <w:r>
        <w:rPr>
          <w:sz w:val="22"/>
          <w:szCs w:val="22"/>
        </w:rPr>
        <w:t xml:space="preserve">Systematic review of plasma physics literature from IEEE Xplore, ScienceDirect, and Google Scholar covering CCP plasma parameter relationships, global discharge modelling, plasma etching processes, and semiconductor process quality metrics.</w:t>
      </w:r>
    </w:p>
    <w:p>
      <w:pPr>
        <w:pStyle w:val="ListParagraph"/>
        <w:numPr>
          <w:ilvl w:val="0"/>
          <w:numId w:val="2"/>
        </w:numPr>
        <w:spacing w:after="100" w:line="276"/>
      </w:pPr>
      <w:r>
        <w:rPr>
          <w:b/>
          <w:bCs/>
          <w:sz w:val="22"/>
          <w:szCs w:val="22"/>
        </w:rPr>
        <w:t xml:space="preserve">Synthetic Dataset Generation: </w:t>
      </w:r>
      <w:r>
        <w:rPr>
          <w:sz w:val="22"/>
          <w:szCs w:val="22"/>
        </w:rPr>
        <w:t xml:space="preserve">Primary experimental data is generated programmatically through the Digital Twin's global discharge model using parametric sweep strategies across the defined input parameter space, with hidden confounders and region-based splits, producing labelled datasets for AI model training and evaluation.</w:t>
      </w:r>
    </w:p>
    <w:p>
      <w:pPr>
        <w:pStyle w:val="ListParagraph"/>
        <w:numPr>
          <w:ilvl w:val="0"/>
          <w:numId w:val="2"/>
        </w:numPr>
        <w:spacing w:after="100" w:line="276"/>
      </w:pPr>
      <w:r>
        <w:rPr>
          <w:b/>
          <w:bCs/>
          <w:sz w:val="22"/>
          <w:szCs w:val="22"/>
        </w:rPr>
        <w:t xml:space="preserve">Parameter Specifications from Literature: </w:t>
      </w:r>
      <w:r>
        <w:rPr>
          <w:sz w:val="22"/>
          <w:szCs w:val="22"/>
        </w:rPr>
        <w:t xml:space="preserve">Operating parameter ranges and semiconductor suitability windows are sourced and cited from published plasma processing specifications and educational plasma physics textbooks to ensure simulated values and suitability thresholds align with physically meaningful, defensible ranges.</w:t>
      </w:r>
    </w:p>
    <w:p>
      <w:pPr>
        <w:pStyle w:val="ListParagraph"/>
        <w:numPr>
          <w:ilvl w:val="0"/>
          <w:numId w:val="2"/>
        </w:numPr>
        <w:spacing w:after="100" w:line="276"/>
      </w:pPr>
      <w:r>
        <w:rPr>
          <w:b/>
          <w:bCs/>
          <w:sz w:val="22"/>
          <w:szCs w:val="22"/>
        </w:rPr>
        <w:t xml:space="preserve">Expert Consultation: </w:t>
      </w:r>
      <w:r>
        <w:rPr>
          <w:sz w:val="22"/>
          <w:szCs w:val="22"/>
        </w:rPr>
        <w:t xml:space="preserve">Consultation with the project supervisor (Dr. Majid Iqbal) provides domain guidance on plasma physics accuracy requirements, AI model selection criteria, and dashboard design priorities.</w:t>
      </w:r>
    </w:p>
    <w:p>
      <w:pPr>
        <w:pStyle w:val="ListParagraph"/>
        <w:numPr>
          <w:ilvl w:val="0"/>
          <w:numId w:val="2"/>
        </w:numPr>
        <w:spacing w:after="100" w:line="276"/>
      </w:pPr>
      <w:r>
        <w:rPr>
          <w:b/>
          <w:bCs/>
          <w:sz w:val="22"/>
          <w:szCs w:val="22"/>
        </w:rPr>
        <w:t xml:space="preserve">Usability Feedback: </w:t>
      </w:r>
      <w:r>
        <w:rPr>
          <w:sz w:val="22"/>
          <w:szCs w:val="22"/>
        </w:rPr>
        <w:t xml:space="preserve">Iterative interface design feedback is gathered from peers and lab colleagues during prototype testing phases to refine the dashboard usability and visualisation effectiveness.</w:t>
      </w:r>
    </w:p>
    <w:p>
      <w:r>
        <w:br w:type="page"/>
      </w:r>
    </w:p>
    <w:p>
      <w:pPr>
        <w:pStyle w:val="Heading1"/>
        <w:spacing w:after="200" w:before="360"/>
      </w:pPr>
      <w:r>
        <w:rPr>
          <w:b/>
          <w:bCs/>
          <w:color w:val="1F3864"/>
          <w:sz w:val="30"/>
          <w:szCs w:val="30"/>
        </w:rPr>
        <w:t xml:space="preserve">10.  Project Contribution</w:t>
      </w:r>
    </w:p>
    <w:p>
      <w:pPr>
        <w:spacing w:after="160" w:line="276"/>
        <w:jc w:val="both"/>
      </w:pPr>
      <w:r>
        <w:rPr>
          <w:sz w:val="22"/>
          <w:szCs w:val="22"/>
        </w:rPr>
        <w:t xml:space="preserve">The proposed platform introduces several original technical and conceptual contributions that differentiate it from existing educational tools, academic AI projects, and industrial plasma monitoring systems:</w:t>
      </w:r>
    </w:p>
    <w:p>
      <w:pPr>
        <w:pStyle w:val="ListParagraph"/>
        <w:numPr>
          <w:ilvl w:val="0"/>
          <w:numId w:val="2"/>
        </w:numPr>
        <w:spacing w:after="100" w:line="276"/>
      </w:pPr>
      <w:r>
        <w:rPr>
          <w:b/>
          <w:bCs/>
          <w:sz w:val="22"/>
          <w:szCs w:val="22"/>
        </w:rPr>
        <w:t xml:space="preserve">Integrated Digital Twin + AI Architecture: </w:t>
      </w:r>
      <w:r>
        <w:rPr>
          <w:sz w:val="22"/>
          <w:szCs w:val="22"/>
        </w:rPr>
        <w:t xml:space="preserve">The platform uniquely combines a physics-derived digital twin simulation engine with a full AI analytics layer within a single deployable application — a combination not available in any existing open educational tool.</w:t>
      </w:r>
    </w:p>
    <w:p>
      <w:pPr>
        <w:pStyle w:val="ListParagraph"/>
        <w:numPr>
          <w:ilvl w:val="0"/>
          <w:numId w:val="2"/>
        </w:numPr>
        <w:spacing w:after="100" w:line="276"/>
      </w:pPr>
      <w:r>
        <w:rPr>
          <w:b/>
          <w:bCs/>
          <w:sz w:val="22"/>
          <w:szCs w:val="22"/>
        </w:rPr>
        <w:t xml:space="preserve">Genuinely Physics-Derived Simulation: </w:t>
      </w:r>
      <w:r>
        <w:rPr>
          <w:b/>
          <w:bCs/>
          <w:color w:val="C00000"/>
          <w:sz w:val="18"/>
          <w:szCs w:val="18"/>
        </w:rPr>
        <w:t xml:space="preserve">  [REVISED]</w:t>
      </w:r>
      <w:r>
        <w:rPr>
          <w:sz w:val="22"/>
          <w:szCs w:val="22"/>
        </w:rPr>
        <w:t xml:space="preserve"> Rather than fitting arbitrary parametric curves, the simulation engine solves a volume-averaged (0D) global discharge model from particle and power balance equations, following the established treatment in Lieberman &amp; Lichtenberg — producing outputs that are independently verifiable and benchmarked against published trend curves (Sub-Module 1.6), not merely plausible by construction.</w:t>
      </w:r>
    </w:p>
    <w:p>
      <w:pPr>
        <w:pStyle w:val="ListParagraph"/>
        <w:numPr>
          <w:ilvl w:val="0"/>
          <w:numId w:val="2"/>
        </w:numPr>
        <w:spacing w:after="100" w:line="276"/>
      </w:pPr>
      <w:r>
        <w:rPr>
          <w:b/>
          <w:bCs/>
          <w:sz w:val="22"/>
          <w:szCs w:val="22"/>
        </w:rPr>
        <w:t xml:space="preserve">Methodologically Sound Evaluation Under Genuine Uncertainty: </w:t>
      </w:r>
      <w:r>
        <w:rPr>
          <w:b/>
          <w:bCs/>
          <w:color w:val="2E7D32"/>
          <w:sz w:val="18"/>
          <w:szCs w:val="18"/>
        </w:rPr>
        <w:t xml:space="preserve">  [NEW]</w:t>
      </w:r>
      <w:r>
        <w:rPr>
          <w:sz w:val="22"/>
          <w:szCs w:val="22"/>
        </w:rPr>
        <w:t xml:space="preserve"> The synthetic training data is deliberately constructed with hidden confounding variables, heteroscedastic noise, and region-based train/test splitting, so that reported classification accuracy reflects a genuine predictive task rather than a deterministic function inversion — a methodological safeguard rarely seen in comparable student ML projects.</w:t>
      </w:r>
    </w:p>
    <w:p>
      <w:pPr>
        <w:pStyle w:val="ListParagraph"/>
        <w:numPr>
          <w:ilvl w:val="0"/>
          <w:numId w:val="2"/>
        </w:numPr>
        <w:spacing w:after="100" w:line="276"/>
      </w:pPr>
      <w:r>
        <w:rPr>
          <w:b/>
          <w:bCs/>
          <w:sz w:val="22"/>
          <w:szCs w:val="22"/>
        </w:rPr>
        <w:t xml:space="preserve">Multi-Model AI Suitability Classification: </w:t>
      </w:r>
      <w:r>
        <w:rPr>
          <w:b/>
          <w:bCs/>
          <w:color w:val="C00000"/>
          <w:sz w:val="18"/>
          <w:szCs w:val="18"/>
        </w:rPr>
        <w:t xml:space="preserve">  [REVISED]</w:t>
      </w:r>
      <w:r>
        <w:rPr>
          <w:sz w:val="22"/>
          <w:szCs w:val="22"/>
        </w:rPr>
        <w:t xml:space="preserve"> Deploying Random Forest and XGBoost classifiers alongside an interpretable logistic-regression baseline, with side-by-side comparison, demonstrates that ensemble methods provide genuine, quantified improvement over a transparent baseline — not just an accuracy figure in isolation.</w:t>
      </w:r>
    </w:p>
    <w:p>
      <w:pPr>
        <w:pStyle w:val="ListParagraph"/>
        <w:numPr>
          <w:ilvl w:val="0"/>
          <w:numId w:val="2"/>
        </w:numPr>
        <w:spacing w:after="100" w:line="276"/>
      </w:pPr>
      <w:r>
        <w:rPr>
          <w:b/>
          <w:bCs/>
          <w:sz w:val="22"/>
          <w:szCs w:val="22"/>
        </w:rPr>
        <w:t xml:space="preserve">Relationship-Level Anomaly Detection: </w:t>
      </w:r>
      <w:r>
        <w:rPr>
          <w:b/>
          <w:bCs/>
          <w:color w:val="C00000"/>
          <w:sz w:val="18"/>
          <w:szCs w:val="18"/>
        </w:rPr>
        <w:t xml:space="preserve">  [REVISED]</w:t>
      </w:r>
      <w:r>
        <w:rPr>
          <w:sz w:val="22"/>
          <w:szCs w:val="22"/>
        </w:rPr>
        <w:t xml:space="preserve"> Applying Isolation Forest anomaly detection against simulated physics-relationship violations, rather than simple out-of-range values, demonstrates genuine unsupervised pattern learning applied to plasma process monitoring.</w:t>
      </w:r>
    </w:p>
    <w:p>
      <w:pPr>
        <w:pStyle w:val="ListParagraph"/>
        <w:numPr>
          <w:ilvl w:val="0"/>
          <w:numId w:val="2"/>
        </w:numPr>
        <w:spacing w:after="100" w:line="276"/>
      </w:pPr>
      <w:r>
        <w:rPr>
          <w:b/>
          <w:bCs/>
          <w:sz w:val="22"/>
          <w:szCs w:val="22"/>
        </w:rPr>
        <w:t xml:space="preserve">Explainability and Calibrated Uncertainty: </w:t>
      </w:r>
      <w:r>
        <w:rPr>
          <w:b/>
          <w:bCs/>
          <w:color w:val="2E7D32"/>
          <w:sz w:val="18"/>
          <w:szCs w:val="18"/>
        </w:rPr>
        <w:t xml:space="preserve">  [NEW]</w:t>
      </w:r>
      <w:r>
        <w:rPr>
          <w:sz w:val="22"/>
          <w:szCs w:val="22"/>
        </w:rPr>
        <w:t xml:space="preserve"> Integrating SHAP-based per-prediction explainability and conformal-prediction-based confidence intervals moves the platform beyond point-estimate classification toward the transparency and honesty about model confidence expected of production-grade AI systems.</w:t>
      </w:r>
    </w:p>
    <w:p>
      <w:pPr>
        <w:pStyle w:val="ListParagraph"/>
        <w:numPr>
          <w:ilvl w:val="0"/>
          <w:numId w:val="2"/>
        </w:numPr>
        <w:spacing w:after="100" w:line="276"/>
      </w:pPr>
      <w:r>
        <w:rPr>
          <w:b/>
          <w:bCs/>
          <w:sz w:val="22"/>
          <w:szCs w:val="22"/>
        </w:rPr>
        <w:t xml:space="preserve">SPC-Integrated Process Quality Monitoring: </w:t>
      </w:r>
      <w:r>
        <w:rPr>
          <w:sz w:val="22"/>
          <w:szCs w:val="22"/>
        </w:rPr>
        <w:t xml:space="preserve">Incorporating statistical process control (SPC) methodology within the AI monitoring engine bridges industrial quality assurance practice with AI-assisted analytics.</w:t>
      </w:r>
    </w:p>
    <w:p>
      <w:pPr>
        <w:pStyle w:val="ListParagraph"/>
        <w:numPr>
          <w:ilvl w:val="0"/>
          <w:numId w:val="2"/>
        </w:numPr>
        <w:spacing w:after="100" w:line="276"/>
      </w:pPr>
      <w:r>
        <w:rPr>
          <w:b/>
          <w:bCs/>
          <w:sz w:val="22"/>
          <w:szCs w:val="22"/>
        </w:rPr>
        <w:t xml:space="preserve">Semiconductor Application Suitability Mapping: </w:t>
      </w:r>
      <w:r>
        <w:rPr>
          <w:b/>
          <w:bCs/>
          <w:color w:val="C00000"/>
          <w:sz w:val="18"/>
          <w:szCs w:val="18"/>
        </w:rPr>
        <w:t xml:space="preserve">  [REVISED]</w:t>
      </w:r>
      <w:r>
        <w:rPr>
          <w:sz w:val="22"/>
          <w:szCs w:val="22"/>
        </w:rPr>
        <w:t xml:space="preserve"> Mapping AI-analysed plasma process quality to specific, literature-cited semiconductor manufacturing application suitability categories provides context-specific, defensible analytical output beyond generic quality classification.</w:t>
      </w:r>
    </w:p>
    <w:p>
      <w:pPr>
        <w:pStyle w:val="ListParagraph"/>
        <w:numPr>
          <w:ilvl w:val="0"/>
          <w:numId w:val="2"/>
        </w:numPr>
        <w:spacing w:after="100" w:line="276"/>
      </w:pPr>
      <w:r>
        <w:rPr>
          <w:b/>
          <w:bCs/>
          <w:sz w:val="22"/>
          <w:szCs w:val="22"/>
        </w:rPr>
        <w:t xml:space="preserve">Counterfactual, Simulation-Grounded Recommendation Engine: </w:t>
      </w:r>
      <w:r>
        <w:rPr>
          <w:b/>
          <w:bCs/>
          <w:color w:val="C00000"/>
          <w:sz w:val="18"/>
          <w:szCs w:val="18"/>
        </w:rPr>
        <w:t xml:space="preserve">  [REVISED]</w:t>
      </w:r>
      <w:r>
        <w:rPr>
          <w:sz w:val="22"/>
          <w:szCs w:val="22"/>
        </w:rPr>
        <w:t xml:space="preserve"> The hybrid rule-based and ML-scored recommendation engine quantifies every suggestion by re-running it through the digital twin and reporting the predicted numerical outcome, rather than presenting advisory text without a verifiable predicted effect.</w:t>
      </w:r>
    </w:p>
    <w:p>
      <w:pPr>
        <w:pStyle w:val="ListParagraph"/>
        <w:numPr>
          <w:ilvl w:val="0"/>
          <w:numId w:val="2"/>
        </w:numPr>
        <w:spacing w:after="100" w:line="276"/>
      </w:pPr>
      <w:r>
        <w:rPr>
          <w:b/>
          <w:bCs/>
          <w:sz w:val="22"/>
          <w:szCs w:val="22"/>
        </w:rPr>
        <w:t xml:space="preserve">Self-Contained Educational Deployment: </w:t>
      </w:r>
      <w:r>
        <w:rPr>
          <w:sz w:val="22"/>
          <w:szCs w:val="22"/>
        </w:rPr>
        <w:t xml:space="preserve">The entire platform deploys as a standard Python application with open-source dependencies and no hardware requirements, making industrial-grade digital twin and AI analytics capabilities genuinely accessible to undergraduate environments.</w:t>
      </w:r>
    </w:p>
    <w:p>
      <w:pPr>
        <w:pStyle w:val="Heading1"/>
        <w:spacing w:after="200" w:before="360"/>
      </w:pPr>
      <w:r>
        <w:rPr>
          <w:b/>
          <w:bCs/>
          <w:color w:val="1F3864"/>
          <w:sz w:val="30"/>
          <w:szCs w:val="30"/>
        </w:rPr>
        <w:t xml:space="preserve">11.  Relevance to Course Modules</w:t>
      </w:r>
    </w:p>
    <w:p>
      <w:pPr>
        <w:spacing w:after="160" w:line="276"/>
        <w:jc w:val="both"/>
      </w:pPr>
      <w:r>
        <w:rPr>
          <w:sz w:val="22"/>
          <w:szCs w:val="22"/>
        </w:rPr>
        <w:t xml:space="preserve">This project demonstrates practical, integrated application of concepts from the following BS Computer Science course modules: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Course Module</w:t>
            </w:r>
          </w:p>
        </w:tc>
        <w:tc>
          <w:tcPr>
            <w:tcW w:type="dxa" w:w="6800"/>
            <w:shd w:fill="1F3864" w:val="clear"/>
            <w:tcMar>
              <w:top w:type="dxa" w:w="80"/>
              <w:left w:type="dxa" w:w="120"/>
              <w:bottom w:type="dxa" w:w="80"/>
              <w:right w:type="dxa" w:w="120"/>
            </w:tcMar>
            <w:vAlign w:val="center"/>
          </w:tcPr>
          <w:p>
            <w:r>
              <w:rPr>
                <w:b/>
                <w:bCs/>
                <w:color w:val="FFFFFF"/>
                <w:sz w:val="20"/>
                <w:szCs w:val="20"/>
              </w:rPr>
              <w:t xml:space="preserve">Application in This Project</w:t>
            </w:r>
          </w:p>
        </w:tc>
      </w:tr>
      <w:tr>
        <w:tc>
          <w:tcPr>
            <w:tcW w:type="dxa" w:w="3000"/>
            <w:tcMar>
              <w:top w:type="dxa" w:w="80"/>
              <w:left w:type="dxa" w:w="120"/>
              <w:bottom w:type="dxa" w:w="80"/>
              <w:right w:type="dxa" w:w="120"/>
            </w:tcMar>
            <w:vAlign w:val="center"/>
          </w:tcPr>
          <w:p>
            <w:r>
              <w:rPr>
                <w:sz w:val="19"/>
                <w:szCs w:val="19"/>
              </w:rPr>
              <w:t xml:space="preserve">Artificial Intelligence</w:t>
            </w:r>
          </w:p>
        </w:tc>
        <w:tc>
          <w:tcPr>
            <w:tcW w:type="dxa" w:w="6800"/>
            <w:tcMar>
              <w:top w:type="dxa" w:w="80"/>
              <w:left w:type="dxa" w:w="120"/>
              <w:bottom w:type="dxa" w:w="80"/>
              <w:right w:type="dxa" w:w="120"/>
            </w:tcMar>
            <w:vAlign w:val="center"/>
          </w:tcPr>
          <w:p>
            <w:r>
              <w:rPr>
                <w:sz w:val="19"/>
                <w:szCs w:val="19"/>
              </w:rPr>
              <w:t xml:space="preserve">Plasma behaviour analysis using knowledge-based reasoning; process suitability classification; counterfactual, simulation-grounded recommendation generation; decision support under genuine predictive uncertainty.</w:t>
            </w:r>
          </w:p>
        </w:tc>
      </w:tr>
      <w:tr>
        <w:tc>
          <w:tcPr>
            <w:tcW w:type="dxa" w:w="3000"/>
            <w:shd w:fill="F2F2F2" w:val="clear"/>
            <w:tcMar>
              <w:top w:type="dxa" w:w="80"/>
              <w:left w:type="dxa" w:w="120"/>
              <w:bottom w:type="dxa" w:w="80"/>
              <w:right w:type="dxa" w:w="120"/>
            </w:tcMar>
            <w:vAlign w:val="center"/>
          </w:tcPr>
          <w:p>
            <w:r>
              <w:rPr>
                <w:sz w:val="19"/>
                <w:szCs w:val="19"/>
              </w:rPr>
              <w:t xml:space="preserve">Machine Learning</w:t>
            </w:r>
          </w:p>
        </w:tc>
        <w:tc>
          <w:tcPr>
            <w:tcW w:type="dxa" w:w="6800"/>
            <w:shd w:fill="F2F2F2" w:val="clear"/>
            <w:tcMar>
              <w:top w:type="dxa" w:w="80"/>
              <w:left w:type="dxa" w:w="120"/>
              <w:bottom w:type="dxa" w:w="80"/>
              <w:right w:type="dxa" w:w="120"/>
            </w:tcMar>
            <w:vAlign w:val="center"/>
          </w:tcPr>
          <w:p>
            <w:r>
              <w:rPr>
                <w:sz w:val="19"/>
                <w:szCs w:val="19"/>
              </w:rPr>
              <w:t xml:space="preserve">Training and deployment of Random Forest, XGBoost, and a logistic-regression baseline for process suitability under a deliberately deconfounded label structure; Isolation Forest anomaly detection against physics-relationship violations; k-fold and region-based cross-validation; SHAP explainability; conformal prediction.</w:t>
            </w:r>
          </w:p>
        </w:tc>
      </w:tr>
      <w:tr>
        <w:tc>
          <w:tcPr>
            <w:tcW w:type="dxa" w:w="3000"/>
            <w:tcMar>
              <w:top w:type="dxa" w:w="80"/>
              <w:left w:type="dxa" w:w="120"/>
              <w:bottom w:type="dxa" w:w="80"/>
              <w:right w:type="dxa" w:w="120"/>
            </w:tcMar>
            <w:vAlign w:val="center"/>
          </w:tcPr>
          <w:p>
            <w:r>
              <w:rPr>
                <w:sz w:val="19"/>
                <w:szCs w:val="19"/>
              </w:rPr>
              <w:t xml:space="preserve">Software Engineering</w:t>
            </w:r>
          </w:p>
        </w:tc>
        <w:tc>
          <w:tcPr>
            <w:tcW w:type="dxa" w:w="6800"/>
            <w:tcMar>
              <w:top w:type="dxa" w:w="80"/>
              <w:left w:type="dxa" w:w="120"/>
              <w:bottom w:type="dxa" w:w="80"/>
              <w:right w:type="dxa" w:w="120"/>
            </w:tcMar>
            <w:vAlign w:val="center"/>
          </w:tcPr>
          <w:p>
            <w:r>
              <w:rPr>
                <w:sz w:val="19"/>
                <w:szCs w:val="19"/>
              </w:rPr>
              <w:t xml:space="preserve">Modular system architecture design; SDLC phase management; requirements documentation; component integration; unit and integration testing.</w:t>
            </w:r>
          </w:p>
        </w:tc>
      </w:tr>
      <w:tr>
        <w:tc>
          <w:tcPr>
            <w:tcW w:type="dxa" w:w="3000"/>
            <w:shd w:fill="F2F2F2" w:val="clear"/>
            <w:tcMar>
              <w:top w:type="dxa" w:w="80"/>
              <w:left w:type="dxa" w:w="120"/>
              <w:bottom w:type="dxa" w:w="80"/>
              <w:right w:type="dxa" w:w="120"/>
            </w:tcMar>
            <w:vAlign w:val="center"/>
          </w:tcPr>
          <w:p>
            <w:r>
              <w:rPr>
                <w:sz w:val="19"/>
                <w:szCs w:val="19"/>
              </w:rPr>
              <w:t xml:space="preserve">Data Science &amp; Analytics</w:t>
            </w:r>
          </w:p>
        </w:tc>
        <w:tc>
          <w:tcPr>
            <w:tcW w:type="dxa" w:w="6800"/>
            <w:shd w:fill="F2F2F2" w:val="clear"/>
            <w:tcMar>
              <w:top w:type="dxa" w:w="80"/>
              <w:left w:type="dxa" w:w="120"/>
              <w:bottom w:type="dxa" w:w="80"/>
              <w:right w:type="dxa" w:w="120"/>
            </w:tcMar>
            <w:vAlign w:val="center"/>
          </w:tcPr>
          <w:p>
            <w:r>
              <w:rPr>
                <w:sz w:val="19"/>
                <w:szCs w:val="19"/>
              </w:rPr>
              <w:t xml:space="preserve">Synthetic dataset generation with hidden confounders; preprocessing pipelines; parameter correlation analysis; trend detection; SPC control chart implementation; statistical summary generation.</w:t>
            </w:r>
          </w:p>
        </w:tc>
      </w:tr>
      <w:tr>
        <w:tc>
          <w:tcPr>
            <w:tcW w:type="dxa" w:w="3000"/>
            <w:tcMar>
              <w:top w:type="dxa" w:w="80"/>
              <w:left w:type="dxa" w:w="120"/>
              <w:bottom w:type="dxa" w:w="80"/>
              <w:right w:type="dxa" w:w="120"/>
            </w:tcMar>
            <w:vAlign w:val="center"/>
          </w:tcPr>
          <w:p>
            <w:r>
              <w:rPr>
                <w:sz w:val="19"/>
                <w:szCs w:val="19"/>
              </w:rPr>
              <w:t xml:space="preserve">Scientific Computing</w:t>
            </w:r>
          </w:p>
        </w:tc>
        <w:tc>
          <w:tcPr>
            <w:tcW w:type="dxa" w:w="6800"/>
            <w:tcMar>
              <w:top w:type="dxa" w:w="80"/>
              <w:left w:type="dxa" w:w="120"/>
              <w:bottom w:type="dxa" w:w="80"/>
              <w:right w:type="dxa" w:w="120"/>
            </w:tcMar>
            <w:vAlign w:val="center"/>
          </w:tcPr>
          <w:p>
            <w:r>
              <w:rPr>
                <w:sz w:val="19"/>
                <w:szCs w:val="19"/>
              </w:rPr>
              <w:t xml:space="preserve">Volume-averaged global discharge model implementation via particle and power balance equations; numerical root-finding (SciPy); noise injection; parameter sweep implementation using NumPy/SciPy.</w:t>
            </w:r>
          </w:p>
        </w:tc>
      </w:tr>
      <w:tr>
        <w:tc>
          <w:tcPr>
            <w:tcW w:type="dxa" w:w="3000"/>
            <w:shd w:fill="F2F2F2" w:val="clear"/>
            <w:tcMar>
              <w:top w:type="dxa" w:w="80"/>
              <w:left w:type="dxa" w:w="120"/>
              <w:bottom w:type="dxa" w:w="80"/>
              <w:right w:type="dxa" w:w="120"/>
            </w:tcMar>
            <w:vAlign w:val="center"/>
          </w:tcPr>
          <w:p>
            <w:r>
              <w:rPr>
                <w:sz w:val="19"/>
                <w:szCs w:val="19"/>
              </w:rPr>
              <w:t xml:space="preserve">Database Systems</w:t>
            </w:r>
          </w:p>
        </w:tc>
        <w:tc>
          <w:tcPr>
            <w:tcW w:type="dxa" w:w="6800"/>
            <w:shd w:fill="F2F2F2" w:val="clear"/>
            <w:tcMar>
              <w:top w:type="dxa" w:w="80"/>
              <w:left w:type="dxa" w:w="120"/>
              <w:bottom w:type="dxa" w:w="80"/>
              <w:right w:type="dxa" w:w="120"/>
            </w:tcMar>
            <w:vAlign w:val="center"/>
          </w:tcPr>
          <w:p>
            <w:r>
              <w:rPr>
                <w:sz w:val="19"/>
                <w:szCs w:val="19"/>
              </w:rPr>
              <w:t xml:space="preserve">SQLite relational database design; experiment session management; parameterised queries; historical data retrieval; database schema normalisation.</w:t>
            </w:r>
          </w:p>
        </w:tc>
      </w:tr>
      <w:tr>
        <w:tc>
          <w:tcPr>
            <w:tcW w:type="dxa" w:w="3000"/>
            <w:tcMar>
              <w:top w:type="dxa" w:w="80"/>
              <w:left w:type="dxa" w:w="120"/>
              <w:bottom w:type="dxa" w:w="80"/>
              <w:right w:type="dxa" w:w="120"/>
            </w:tcMar>
            <w:vAlign w:val="center"/>
          </w:tcPr>
          <w:p>
            <w:r>
              <w:rPr>
                <w:sz w:val="19"/>
                <w:szCs w:val="19"/>
              </w:rPr>
              <w:t xml:space="preserve">Human-Computer Interaction</w:t>
            </w:r>
          </w:p>
        </w:tc>
        <w:tc>
          <w:tcPr>
            <w:tcW w:type="dxa" w:w="6800"/>
            <w:tcMar>
              <w:top w:type="dxa" w:w="80"/>
              <w:left w:type="dxa" w:w="120"/>
              <w:bottom w:type="dxa" w:w="80"/>
              <w:right w:type="dxa" w:w="120"/>
            </w:tcMar>
            <w:vAlign w:val="center"/>
          </w:tcPr>
          <w:p>
            <w:r>
              <w:rPr>
                <w:sz w:val="19"/>
                <w:szCs w:val="19"/>
              </w:rPr>
              <w:t xml:space="preserve">Interactive dashboard design; user control panel layout; real-time feedback design; responsive visualisation interface; usability testing.</w:t>
            </w:r>
          </w:p>
        </w:tc>
      </w:tr>
      <w:tr>
        <w:tc>
          <w:tcPr>
            <w:tcW w:type="dxa" w:w="3000"/>
            <w:shd w:fill="F2F2F2" w:val="clear"/>
            <w:tcMar>
              <w:top w:type="dxa" w:w="80"/>
              <w:left w:type="dxa" w:w="120"/>
              <w:bottom w:type="dxa" w:w="80"/>
              <w:right w:type="dxa" w:w="120"/>
            </w:tcMar>
            <w:vAlign w:val="center"/>
          </w:tcPr>
          <w:p>
            <w:r>
              <w:rPr>
                <w:sz w:val="19"/>
                <w:szCs w:val="19"/>
              </w:rPr>
              <w:t xml:space="preserve">Data Visualisation</w:t>
            </w:r>
          </w:p>
        </w:tc>
        <w:tc>
          <w:tcPr>
            <w:tcW w:type="dxa" w:w="6800"/>
            <w:shd w:fill="F2F2F2" w:val="clear"/>
            <w:tcMar>
              <w:top w:type="dxa" w:w="80"/>
              <w:left w:type="dxa" w:w="120"/>
              <w:bottom w:type="dxa" w:w="80"/>
              <w:right w:type="dxa" w:w="120"/>
            </w:tcMar>
            <w:vAlign w:val="center"/>
          </w:tcPr>
          <w:p>
            <w:r>
              <w:rPr>
                <w:sz w:val="19"/>
                <w:szCs w:val="19"/>
              </w:rPr>
              <w:t xml:space="preserve">Plotly interactive graphs; correlation heatmaps; parallel coordinates charts; SPC control charts; trend annotation; sensitivity heatmaps; SHAP explanation plots.</w:t>
            </w:r>
          </w:p>
        </w:tc>
      </w:tr>
      <w:tr>
        <w:tc>
          <w:tcPr>
            <w:tcW w:type="dxa" w:w="3000"/>
            <w:tcMar>
              <w:top w:type="dxa" w:w="80"/>
              <w:left w:type="dxa" w:w="120"/>
              <w:bottom w:type="dxa" w:w="80"/>
              <w:right w:type="dxa" w:w="120"/>
            </w:tcMar>
            <w:vAlign w:val="center"/>
          </w:tcPr>
          <w:p>
            <w:r>
              <w:rPr>
                <w:sz w:val="19"/>
                <w:szCs w:val="19"/>
              </w:rPr>
              <w:t xml:space="preserve">Digital Systems / Simulation</w:t>
            </w:r>
          </w:p>
        </w:tc>
        <w:tc>
          <w:tcPr>
            <w:tcW w:type="dxa" w:w="6800"/>
            <w:tcMar>
              <w:top w:type="dxa" w:w="80"/>
              <w:left w:type="dxa" w:w="120"/>
              <w:bottom w:type="dxa" w:w="80"/>
              <w:right w:type="dxa" w:w="120"/>
            </w:tcMar>
            <w:vAlign w:val="center"/>
          </w:tcPr>
          <w:p>
            <w:r>
              <w:rPr>
                <w:sz w:val="19"/>
                <w:szCs w:val="19"/>
              </w:rPr>
              <w:t xml:space="preserve">Digital twin modelling methodology; virtual sensor simulation; physics-derived global discharge modelling; process state representation.</w:t>
            </w:r>
          </w:p>
        </w:tc>
      </w:tr>
    </w:tbl>
    <w:p>
      <w:r>
        <w:br w:type="page"/>
      </w:r>
    </w:p>
    <w:p>
      <w:pPr>
        <w:pStyle w:val="Heading1"/>
        <w:spacing w:after="200" w:before="360"/>
      </w:pPr>
      <w:r>
        <w:rPr>
          <w:b/>
          <w:bCs/>
          <w:color w:val="1F3864"/>
          <w:sz w:val="30"/>
          <w:szCs w:val="30"/>
        </w:rPr>
        <w:t xml:space="preserve">12.  Tools and Technologies</w:t>
      </w:r>
    </w:p>
    <w:p>
      <w:pPr>
        <w:spacing w:after="160" w:line="276"/>
        <w:jc w:val="both"/>
      </w:pPr>
      <w:r>
        <w:rPr>
          <w:b/>
          <w:bCs/>
          <w:sz w:val="22"/>
          <w:szCs w:val="22"/>
        </w:rPr>
        <w:t xml:space="preserve">Note on version currency: </w:t>
      </w:r>
      <w:r>
        <w:rPr>
          <w:b/>
          <w:bCs/>
          <w:color w:val="C00000"/>
          <w:sz w:val="18"/>
          <w:szCs w:val="18"/>
        </w:rPr>
        <w:t xml:space="preserve">  [REVISED]</w:t>
      </w:r>
      <w:r>
        <w:rPr>
          <w:sz w:val="22"/>
          <w:szCs w:val="22"/>
        </w:rPr>
        <w:t xml:space="preserve"> Version floors below were verified against current releases at the time of this revision. Because library versions drift, do not treat these as fixed targets — verify the current release of each tool immediately before environment setup, and record the exact versions actually used (via </w:t>
      </w:r>
      <w:r>
        <w:rPr>
          <w:i/>
          <w:iCs/>
          <w:sz w:val="22"/>
          <w:szCs w:val="22"/>
        </w:rPr>
        <w:t xml:space="preserve">pip freeze</w:t>
      </w:r>
      <w:r>
        <w:rPr>
          <w:sz w:val="22"/>
          <w:szCs w:val="22"/>
        </w:rPr>
        <w:t xml:space="preserve">) in the final report's requirements.txt appendix rather than relying on the floors stated here.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000"/>
      </w:tblGrid>
      <w:tr>
        <w:trPr>
          <w:tblHeader/>
        </w:trPr>
        <w:tc>
          <w:tcPr>
            <w:tcW w:type="dxa" w:w="2200"/>
            <w:shd w:fill="1F3864" w:val="clear"/>
            <w:tcMar>
              <w:top w:type="dxa" w:w="80"/>
              <w:left w:type="dxa" w:w="120"/>
              <w:bottom w:type="dxa" w:w="80"/>
              <w:right w:type="dxa" w:w="120"/>
            </w:tcMar>
            <w:vAlign w:val="center"/>
          </w:tcPr>
          <w:p>
            <w:r>
              <w:rPr>
                <w:b/>
                <w:bCs/>
                <w:color w:val="FFFFFF"/>
                <w:sz w:val="20"/>
                <w:szCs w:val="20"/>
              </w:rPr>
              <w:t xml:space="preserve">Category</w:t>
            </w:r>
          </w:p>
        </w:tc>
        <w:tc>
          <w:tcPr>
            <w:tcW w:type="dxa" w:w="2600"/>
            <w:shd w:fill="1F3864" w:val="clear"/>
            <w:tcMar>
              <w:top w:type="dxa" w:w="80"/>
              <w:left w:type="dxa" w:w="120"/>
              <w:bottom w:type="dxa" w:w="80"/>
              <w:right w:type="dxa" w:w="120"/>
            </w:tcMar>
            <w:vAlign w:val="center"/>
          </w:tcPr>
          <w:p>
            <w:r>
              <w:rPr>
                <w:b/>
                <w:bCs/>
                <w:color w:val="FFFFFF"/>
                <w:sz w:val="20"/>
                <w:szCs w:val="20"/>
              </w:rPr>
              <w:t xml:space="preserve">Tool / Technology</w:t>
            </w:r>
          </w:p>
        </w:tc>
        <w:tc>
          <w:tcPr>
            <w:tcW w:type="dxa" w:w="1400"/>
            <w:shd w:fill="1F3864" w:val="clear"/>
            <w:tcMar>
              <w:top w:type="dxa" w:w="80"/>
              <w:left w:type="dxa" w:w="120"/>
              <w:bottom w:type="dxa" w:w="80"/>
              <w:right w:type="dxa" w:w="120"/>
            </w:tcMar>
            <w:vAlign w:val="center"/>
          </w:tcPr>
          <w:p>
            <w:r>
              <w:rPr>
                <w:b/>
                <w:bCs/>
                <w:color w:val="FFFFFF"/>
                <w:sz w:val="20"/>
                <w:szCs w:val="20"/>
              </w:rPr>
              <w:t xml:space="preserve">Version</w:t>
            </w:r>
          </w:p>
        </w:tc>
        <w:tc>
          <w:tcPr>
            <w:tcW w:type="dxa" w:w="3000"/>
            <w:shd w:fill="1F3864" w:val="clear"/>
            <w:tcMar>
              <w:top w:type="dxa" w:w="80"/>
              <w:left w:type="dxa" w:w="120"/>
              <w:bottom w:type="dxa" w:w="80"/>
              <w:right w:type="dxa" w:w="120"/>
            </w:tcMar>
            <w:vAlign w:val="center"/>
          </w:tcPr>
          <w:p>
            <w:r>
              <w:rPr>
                <w:b/>
                <w:bCs/>
                <w:color w:val="FFFFFF"/>
                <w:sz w:val="20"/>
                <w:szCs w:val="20"/>
              </w:rPr>
              <w:t xml:space="preserve">Rationale</w:t>
            </w:r>
          </w:p>
        </w:tc>
      </w:tr>
      <w:tr>
        <w:tc>
          <w:tcPr>
            <w:tcW w:type="dxa" w:w="2200"/>
            <w:tcMar>
              <w:top w:type="dxa" w:w="80"/>
              <w:left w:type="dxa" w:w="120"/>
              <w:bottom w:type="dxa" w:w="80"/>
              <w:right w:type="dxa" w:w="120"/>
            </w:tcMar>
            <w:vAlign w:val="center"/>
          </w:tcPr>
          <w:p>
            <w:r>
              <w:rPr>
                <w:sz w:val="19"/>
                <w:szCs w:val="19"/>
              </w:rPr>
              <w:t xml:space="preserve">Programming Language</w:t>
            </w:r>
          </w:p>
        </w:tc>
        <w:tc>
          <w:tcPr>
            <w:tcW w:type="dxa" w:w="2600"/>
            <w:tcMar>
              <w:top w:type="dxa" w:w="80"/>
              <w:left w:type="dxa" w:w="120"/>
              <w:bottom w:type="dxa" w:w="80"/>
              <w:right w:type="dxa" w:w="120"/>
            </w:tcMar>
            <w:vAlign w:val="center"/>
          </w:tcPr>
          <w:p>
            <w:r>
              <w:rPr>
                <w:sz w:val="19"/>
                <w:szCs w:val="19"/>
              </w:rPr>
              <w:t xml:space="preserve">Python</w:t>
            </w:r>
          </w:p>
        </w:tc>
        <w:tc>
          <w:tcPr>
            <w:tcW w:type="dxa" w:w="1400"/>
            <w:tcMar>
              <w:top w:type="dxa" w:w="80"/>
              <w:left w:type="dxa" w:w="120"/>
              <w:bottom w:type="dxa" w:w="80"/>
              <w:right w:type="dxa" w:w="120"/>
            </w:tcMar>
            <w:vAlign w:val="center"/>
          </w:tcPr>
          <w:p>
            <w:r>
              <w:rPr>
                <w:sz w:val="19"/>
                <w:szCs w:val="19"/>
              </w:rPr>
              <w:t xml:space="preserve">3.12+</w:t>
            </w:r>
            <w:r>
              <w:rPr>
                <w:b/>
                <w:bCs/>
                <w:color w:val="C00000"/>
                <w:sz w:val="18"/>
                <w:szCs w:val="18"/>
              </w:rPr>
              <w:t xml:space="preserve">  [REVISED]</w:t>
            </w:r>
          </w:p>
        </w:tc>
        <w:tc>
          <w:tcPr>
            <w:tcW w:type="dxa" w:w="3000"/>
            <w:tcMar>
              <w:top w:type="dxa" w:w="80"/>
              <w:left w:type="dxa" w:w="120"/>
              <w:bottom w:type="dxa" w:w="80"/>
              <w:right w:type="dxa" w:w="120"/>
            </w:tcMar>
            <w:vAlign w:val="center"/>
          </w:tcPr>
          <w:p>
            <w:r>
              <w:rPr>
                <w:sz w:val="19"/>
                <w:szCs w:val="19"/>
              </w:rPr>
              <w:t xml:space="preserve">Core development language; extensive scientific and AI library ecosystem. This floor is now required, not just recommended: current XGBoost (3.x) and SHAP (0.5x) releases both require Python ≥ 3.12 to install.</w:t>
            </w:r>
          </w:p>
        </w:tc>
      </w:tr>
      <w:tr>
        <w:tc>
          <w:tcPr>
            <w:tcW w:type="dxa" w:w="2200"/>
            <w:shd w:fill="F2F2F2" w:val="clear"/>
            <w:tcMar>
              <w:top w:type="dxa" w:w="80"/>
              <w:left w:type="dxa" w:w="120"/>
              <w:bottom w:type="dxa" w:w="80"/>
              <w:right w:type="dxa" w:w="120"/>
            </w:tcMar>
            <w:vAlign w:val="center"/>
          </w:tcPr>
          <w:p>
            <w:r>
              <w:rPr>
                <w:sz w:val="19"/>
                <w:szCs w:val="19"/>
              </w:rPr>
              <w:t xml:space="preserve">Dashboard &amp; UI</w:t>
            </w:r>
          </w:p>
        </w:tc>
        <w:tc>
          <w:tcPr>
            <w:tcW w:type="dxa" w:w="2600"/>
            <w:shd w:fill="F2F2F2" w:val="clear"/>
            <w:tcMar>
              <w:top w:type="dxa" w:w="80"/>
              <w:left w:type="dxa" w:w="120"/>
              <w:bottom w:type="dxa" w:w="80"/>
              <w:right w:type="dxa" w:w="120"/>
            </w:tcMar>
            <w:vAlign w:val="center"/>
          </w:tcPr>
          <w:p>
            <w:r>
              <w:rPr>
                <w:sz w:val="19"/>
                <w:szCs w:val="19"/>
              </w:rPr>
              <w:t xml:space="preserve">Streamlit</w:t>
            </w:r>
          </w:p>
        </w:tc>
        <w:tc>
          <w:tcPr>
            <w:tcW w:type="dxa" w:w="1400"/>
            <w:shd w:fill="F2F2F2" w:val="clear"/>
            <w:tcMar>
              <w:top w:type="dxa" w:w="80"/>
              <w:left w:type="dxa" w:w="120"/>
              <w:bottom w:type="dxa" w:w="80"/>
              <w:right w:type="dxa" w:w="120"/>
            </w:tcMar>
            <w:vAlign w:val="center"/>
          </w:tcPr>
          <w:p>
            <w:r>
              <w:rPr>
                <w:sz w:val="19"/>
                <w:szCs w:val="19"/>
              </w:rPr>
              <w:t xml:space="preserve">1.59+</w:t>
            </w:r>
            <w:r>
              <w:rPr>
                <w:b/>
                <w:bCs/>
                <w:color w:val="C00000"/>
                <w:sz w:val="18"/>
                <w:szCs w:val="18"/>
              </w:rPr>
              <w:t xml:space="preserve">  [REVISED]</w:t>
            </w:r>
          </w:p>
        </w:tc>
        <w:tc>
          <w:tcPr>
            <w:tcW w:type="dxa" w:w="3000"/>
            <w:shd w:fill="F2F2F2" w:val="clear"/>
            <w:tcMar>
              <w:top w:type="dxa" w:w="80"/>
              <w:left w:type="dxa" w:w="120"/>
              <w:bottom w:type="dxa" w:w="80"/>
              <w:right w:type="dxa" w:w="120"/>
            </w:tcMar>
            <w:vAlign w:val="center"/>
          </w:tcPr>
          <w:p>
            <w:r>
              <w:rPr>
                <w:sz w:val="19"/>
                <w:szCs w:val="19"/>
              </w:rPr>
              <w:t xml:space="preserve">Rapid interactive web dashboard development; native Python integration; widget-based UI.</w:t>
            </w:r>
          </w:p>
        </w:tc>
      </w:tr>
      <w:tr>
        <w:tc>
          <w:tcPr>
            <w:tcW w:type="dxa" w:w="2200"/>
            <w:tcMar>
              <w:top w:type="dxa" w:w="80"/>
              <w:left w:type="dxa" w:w="120"/>
              <w:bottom w:type="dxa" w:w="80"/>
              <w:right w:type="dxa" w:w="120"/>
            </w:tcMar>
            <w:vAlign w:val="center"/>
          </w:tcPr>
          <w:p>
            <w:r>
              <w:rPr>
                <w:sz w:val="19"/>
                <w:szCs w:val="19"/>
              </w:rPr>
              <w:t xml:space="preserve">Machine Learning</w:t>
            </w:r>
          </w:p>
        </w:tc>
        <w:tc>
          <w:tcPr>
            <w:tcW w:type="dxa" w:w="2600"/>
            <w:tcMar>
              <w:top w:type="dxa" w:w="80"/>
              <w:left w:type="dxa" w:w="120"/>
              <w:bottom w:type="dxa" w:w="80"/>
              <w:right w:type="dxa" w:w="120"/>
            </w:tcMar>
            <w:vAlign w:val="center"/>
          </w:tcPr>
          <w:p>
            <w:r>
              <w:rPr>
                <w:sz w:val="19"/>
                <w:szCs w:val="19"/>
              </w:rPr>
              <w:t xml:space="preserve">Scikit-learn</w:t>
            </w:r>
          </w:p>
        </w:tc>
        <w:tc>
          <w:tcPr>
            <w:tcW w:type="dxa" w:w="1400"/>
            <w:tcMar>
              <w:top w:type="dxa" w:w="80"/>
              <w:left w:type="dxa" w:w="120"/>
              <w:bottom w:type="dxa" w:w="80"/>
              <w:right w:type="dxa" w:w="120"/>
            </w:tcMar>
            <w:vAlign w:val="center"/>
          </w:tcPr>
          <w:p>
            <w:r>
              <w:rPr>
                <w:sz w:val="19"/>
                <w:szCs w:val="19"/>
              </w:rPr>
              <w:t xml:space="preserve">1.9+</w:t>
            </w:r>
            <w:r>
              <w:rPr>
                <w:b/>
                <w:bCs/>
                <w:color w:val="C00000"/>
                <w:sz w:val="18"/>
                <w:szCs w:val="18"/>
              </w:rPr>
              <w:t xml:space="preserve">  [REVISED]</w:t>
            </w:r>
          </w:p>
        </w:tc>
        <w:tc>
          <w:tcPr>
            <w:tcW w:type="dxa" w:w="3000"/>
            <w:tcMar>
              <w:top w:type="dxa" w:w="80"/>
              <w:left w:type="dxa" w:w="120"/>
              <w:bottom w:type="dxa" w:w="80"/>
              <w:right w:type="dxa" w:w="120"/>
            </w:tcMar>
            <w:vAlign w:val="center"/>
          </w:tcPr>
          <w:p>
            <w:r>
              <w:rPr>
                <w:sz w:val="19"/>
                <w:szCs w:val="19"/>
              </w:rPr>
              <w:t xml:space="preserve">Random Forest, Isolation Forest, logistic regression baseline, cross-validation, preprocessing, model evaluation.</w:t>
            </w:r>
          </w:p>
        </w:tc>
      </w:tr>
      <w:tr>
        <w:tc>
          <w:tcPr>
            <w:tcW w:type="dxa" w:w="2200"/>
            <w:shd w:fill="F2F2F2" w:val="clear"/>
            <w:tcMar>
              <w:top w:type="dxa" w:w="80"/>
              <w:left w:type="dxa" w:w="120"/>
              <w:bottom w:type="dxa" w:w="80"/>
              <w:right w:type="dxa" w:w="120"/>
            </w:tcMar>
            <w:vAlign w:val="center"/>
          </w:tcPr>
          <w:p>
            <w:r>
              <w:rPr>
                <w:sz w:val="19"/>
                <w:szCs w:val="19"/>
              </w:rPr>
              <w:t xml:space="preserve">Advanced ML</w:t>
            </w:r>
          </w:p>
        </w:tc>
        <w:tc>
          <w:tcPr>
            <w:tcW w:type="dxa" w:w="2600"/>
            <w:shd w:fill="F2F2F2" w:val="clear"/>
            <w:tcMar>
              <w:top w:type="dxa" w:w="80"/>
              <w:left w:type="dxa" w:w="120"/>
              <w:bottom w:type="dxa" w:w="80"/>
              <w:right w:type="dxa" w:w="120"/>
            </w:tcMar>
            <w:vAlign w:val="center"/>
          </w:tcPr>
          <w:p>
            <w:r>
              <w:rPr>
                <w:sz w:val="19"/>
                <w:szCs w:val="19"/>
              </w:rPr>
              <w:t xml:space="preserve">XGBoost</w:t>
            </w:r>
          </w:p>
        </w:tc>
        <w:tc>
          <w:tcPr>
            <w:tcW w:type="dxa" w:w="1400"/>
            <w:shd w:fill="F2F2F2" w:val="clear"/>
            <w:tcMar>
              <w:top w:type="dxa" w:w="80"/>
              <w:left w:type="dxa" w:w="120"/>
              <w:bottom w:type="dxa" w:w="80"/>
              <w:right w:type="dxa" w:w="120"/>
            </w:tcMar>
            <w:vAlign w:val="center"/>
          </w:tcPr>
          <w:p>
            <w:r>
              <w:rPr>
                <w:sz w:val="19"/>
                <w:szCs w:val="19"/>
              </w:rPr>
              <w:t xml:space="preserve">3.3+</w:t>
            </w:r>
            <w:r>
              <w:rPr>
                <w:b/>
                <w:bCs/>
                <w:color w:val="C00000"/>
                <w:sz w:val="18"/>
                <w:szCs w:val="18"/>
              </w:rPr>
              <w:t xml:space="preserve">  [REVISED]</w:t>
            </w:r>
          </w:p>
        </w:tc>
        <w:tc>
          <w:tcPr>
            <w:tcW w:type="dxa" w:w="3000"/>
            <w:shd w:fill="F2F2F2" w:val="clear"/>
            <w:tcMar>
              <w:top w:type="dxa" w:w="80"/>
              <w:left w:type="dxa" w:w="120"/>
              <w:bottom w:type="dxa" w:w="80"/>
              <w:right w:type="dxa" w:w="120"/>
            </w:tcMar>
            <w:vAlign w:val="center"/>
          </w:tcPr>
          <w:p>
            <w:r>
              <w:rPr>
                <w:sz w:val="19"/>
                <w:szCs w:val="19"/>
              </w:rPr>
              <w:t xml:space="preserve">Gradient boosted classifier for process suitability; model comparison with Random Forest and baseline. Major version 3.x; requires Python ≥ 3.12.</w:t>
            </w:r>
          </w:p>
        </w:tc>
      </w:tr>
      <w:tr>
        <w:tc>
          <w:tcPr>
            <w:tcW w:type="dxa" w:w="2200"/>
            <w:tcMar>
              <w:top w:type="dxa" w:w="80"/>
              <w:left w:type="dxa" w:w="120"/>
              <w:bottom w:type="dxa" w:w="80"/>
              <w:right w:type="dxa" w:w="120"/>
            </w:tcMar>
            <w:vAlign w:val="center"/>
          </w:tcPr>
          <w:p>
            <w:r>
              <w:rPr>
                <w:sz w:val="19"/>
                <w:szCs w:val="19"/>
              </w:rPr>
              <w:t xml:space="preserve">Explainability</w:t>
            </w:r>
          </w:p>
        </w:tc>
        <w:tc>
          <w:tcPr>
            <w:tcW w:type="dxa" w:w="2600"/>
            <w:tcMar>
              <w:top w:type="dxa" w:w="80"/>
              <w:left w:type="dxa" w:w="120"/>
              <w:bottom w:type="dxa" w:w="80"/>
              <w:right w:type="dxa" w:w="120"/>
            </w:tcMar>
            <w:vAlign w:val="center"/>
          </w:tcPr>
          <w:p>
            <w:r>
              <w:rPr>
                <w:sz w:val="19"/>
                <w:szCs w:val="19"/>
              </w:rPr>
              <w:t xml:space="preserve">SHAP</w:t>
            </w:r>
          </w:p>
        </w:tc>
        <w:tc>
          <w:tcPr>
            <w:tcW w:type="dxa" w:w="1400"/>
            <w:tcMar>
              <w:top w:type="dxa" w:w="80"/>
              <w:left w:type="dxa" w:w="120"/>
              <w:bottom w:type="dxa" w:w="80"/>
              <w:right w:type="dxa" w:w="120"/>
            </w:tcMar>
            <w:vAlign w:val="center"/>
          </w:tcPr>
          <w:p>
            <w:r>
              <w:rPr>
                <w:sz w:val="19"/>
                <w:szCs w:val="19"/>
              </w:rPr>
              <w:t xml:space="preserve">0.52+</w:t>
            </w:r>
            <w:r>
              <w:rPr>
                <w:b/>
                <w:bCs/>
                <w:color w:val="C00000"/>
                <w:sz w:val="18"/>
                <w:szCs w:val="18"/>
              </w:rPr>
              <w:t xml:space="preserve">  [REVISED]</w:t>
            </w:r>
          </w:p>
        </w:tc>
        <w:tc>
          <w:tcPr>
            <w:tcW w:type="dxa" w:w="3000"/>
            <w:tcMar>
              <w:top w:type="dxa" w:w="80"/>
              <w:left w:type="dxa" w:w="120"/>
              <w:bottom w:type="dxa" w:w="80"/>
              <w:right w:type="dxa" w:w="120"/>
            </w:tcMar>
            <w:vAlign w:val="center"/>
          </w:tcPr>
          <w:p>
            <w:r>
              <w:rPr>
                <w:sz w:val="19"/>
                <w:szCs w:val="19"/>
              </w:rPr>
              <w:t xml:space="preserve">Per-prediction and global feature attribution for classifier outputs, replacing plain feature-importance charts. Requires Python ≥ 3.12.</w:t>
            </w:r>
          </w:p>
        </w:tc>
      </w:tr>
      <w:tr>
        <w:tc>
          <w:tcPr>
            <w:tcW w:type="dxa" w:w="2200"/>
            <w:shd w:fill="F2F2F2" w:val="clear"/>
            <w:tcMar>
              <w:top w:type="dxa" w:w="80"/>
              <w:left w:type="dxa" w:w="120"/>
              <w:bottom w:type="dxa" w:w="80"/>
              <w:right w:type="dxa" w:w="120"/>
            </w:tcMar>
            <w:vAlign w:val="center"/>
          </w:tcPr>
          <w:p>
            <w:r>
              <w:rPr>
                <w:sz w:val="19"/>
                <w:szCs w:val="19"/>
              </w:rPr>
              <w:t xml:space="preserve">Experiment Tracking</w:t>
            </w:r>
          </w:p>
        </w:tc>
        <w:tc>
          <w:tcPr>
            <w:tcW w:type="dxa" w:w="2600"/>
            <w:shd w:fill="F2F2F2" w:val="clear"/>
            <w:tcMar>
              <w:top w:type="dxa" w:w="80"/>
              <w:left w:type="dxa" w:w="120"/>
              <w:bottom w:type="dxa" w:w="80"/>
              <w:right w:type="dxa" w:w="120"/>
            </w:tcMar>
            <w:vAlign w:val="center"/>
          </w:tcPr>
          <w:p>
            <w:r>
              <w:rPr>
                <w:sz w:val="19"/>
                <w:szCs w:val="19"/>
              </w:rPr>
              <w:t xml:space="preserve">MLflow (local mode)</w:t>
            </w:r>
          </w:p>
        </w:tc>
        <w:tc>
          <w:tcPr>
            <w:tcW w:type="dxa" w:w="1400"/>
            <w:shd w:fill="F2F2F2" w:val="clear"/>
            <w:tcMar>
              <w:top w:type="dxa" w:w="80"/>
              <w:left w:type="dxa" w:w="120"/>
              <w:bottom w:type="dxa" w:w="80"/>
              <w:right w:type="dxa" w:w="120"/>
            </w:tcMar>
            <w:vAlign w:val="center"/>
          </w:tcPr>
          <w:p>
            <w:r>
              <w:rPr>
                <w:sz w:val="19"/>
                <w:szCs w:val="19"/>
              </w:rPr>
              <w:t xml:space="preserve">3.14+</w:t>
            </w:r>
            <w:r>
              <w:rPr>
                <w:b/>
                <w:bCs/>
                <w:color w:val="C00000"/>
                <w:sz w:val="18"/>
                <w:szCs w:val="18"/>
              </w:rPr>
              <w:t xml:space="preserve">  [REVISED]</w:t>
            </w:r>
          </w:p>
        </w:tc>
        <w:tc>
          <w:tcPr>
            <w:tcW w:type="dxa" w:w="3000"/>
            <w:shd w:fill="F2F2F2" w:val="clear"/>
            <w:tcMar>
              <w:top w:type="dxa" w:w="80"/>
              <w:left w:type="dxa" w:w="120"/>
              <w:bottom w:type="dxa" w:w="80"/>
              <w:right w:type="dxa" w:w="120"/>
            </w:tcMar>
            <w:vAlign w:val="center"/>
          </w:tcPr>
          <w:p>
            <w:r>
              <w:rPr>
                <w:sz w:val="19"/>
                <w:szCs w:val="19"/>
              </w:rPr>
              <w:t xml:space="preserve">Lightweight local logging of training runs via the classic tracking API (mlflow.log_param / log_metric with a local mlruns/ file store); no external server required. Recent MLflow releases add extensive GenAI/agent-tracing features that are not relevant to this project — use only the classic tracking API.</w:t>
            </w:r>
          </w:p>
        </w:tc>
      </w:tr>
      <w:tr>
        <w:tc>
          <w:tcPr>
            <w:tcW w:type="dxa" w:w="2200"/>
            <w:tcMar>
              <w:top w:type="dxa" w:w="80"/>
              <w:left w:type="dxa" w:w="120"/>
              <w:bottom w:type="dxa" w:w="80"/>
              <w:right w:type="dxa" w:w="120"/>
            </w:tcMar>
            <w:vAlign w:val="center"/>
          </w:tcPr>
          <w:p>
            <w:r>
              <w:rPr>
                <w:sz w:val="19"/>
                <w:szCs w:val="19"/>
              </w:rPr>
              <w:t xml:space="preserve">Testing</w:t>
            </w:r>
          </w:p>
        </w:tc>
        <w:tc>
          <w:tcPr>
            <w:tcW w:type="dxa" w:w="2600"/>
            <w:tcMar>
              <w:top w:type="dxa" w:w="80"/>
              <w:left w:type="dxa" w:w="120"/>
              <w:bottom w:type="dxa" w:w="80"/>
              <w:right w:type="dxa" w:w="120"/>
            </w:tcMar>
            <w:vAlign w:val="center"/>
          </w:tcPr>
          <w:p>
            <w:r>
              <w:rPr>
                <w:sz w:val="19"/>
                <w:szCs w:val="19"/>
              </w:rPr>
              <w:t xml:space="preserve">pytest</w:t>
            </w:r>
          </w:p>
        </w:tc>
        <w:tc>
          <w:tcPr>
            <w:tcW w:type="dxa" w:w="1400"/>
            <w:tcMar>
              <w:top w:type="dxa" w:w="80"/>
              <w:left w:type="dxa" w:w="120"/>
              <w:bottom w:type="dxa" w:w="80"/>
              <w:right w:type="dxa" w:w="120"/>
            </w:tcMar>
            <w:vAlign w:val="center"/>
          </w:tcPr>
          <w:p>
            <w:r>
              <w:rPr>
                <w:sz w:val="19"/>
                <w:szCs w:val="19"/>
              </w:rPr>
              <w:t xml:space="preserve">8.x</w:t>
            </w:r>
            <w:r>
              <w:rPr>
                <w:b/>
                <w:bCs/>
                <w:color w:val="2E7D32"/>
                <w:sz w:val="18"/>
                <w:szCs w:val="18"/>
              </w:rPr>
              <w:t xml:space="preserve">  [NEW]</w:t>
            </w:r>
          </w:p>
        </w:tc>
        <w:tc>
          <w:tcPr>
            <w:tcW w:type="dxa" w:w="3000"/>
            <w:tcMar>
              <w:top w:type="dxa" w:w="80"/>
              <w:left w:type="dxa" w:w="120"/>
              <w:bottom w:type="dxa" w:w="80"/>
              <w:right w:type="dxa" w:w="120"/>
            </w:tcMar>
            <w:vAlign w:val="center"/>
          </w:tcPr>
          <w:p>
            <w:r>
              <w:rPr>
                <w:sz w:val="19"/>
                <w:szCs w:val="19"/>
              </w:rPr>
              <w:t xml:space="preserve">Unit and integration testing for the physics engine, dataset generation, and AI pipeline components, matching the testing activity already described in Section 7 and the work-division table.</w:t>
            </w:r>
          </w:p>
        </w:tc>
      </w:tr>
      <w:tr>
        <w:tc>
          <w:tcPr>
            <w:tcW w:type="dxa" w:w="2200"/>
            <w:shd w:fill="F2F2F2" w:val="clear"/>
            <w:tcMar>
              <w:top w:type="dxa" w:w="80"/>
              <w:left w:type="dxa" w:w="120"/>
              <w:bottom w:type="dxa" w:w="80"/>
              <w:right w:type="dxa" w:w="120"/>
            </w:tcMar>
            <w:vAlign w:val="center"/>
          </w:tcPr>
          <w:p>
            <w:r>
              <w:rPr>
                <w:sz w:val="19"/>
                <w:szCs w:val="19"/>
              </w:rPr>
              <w:t xml:space="preserve">Continuous Integration (Optional)</w:t>
            </w:r>
          </w:p>
        </w:tc>
        <w:tc>
          <w:tcPr>
            <w:tcW w:type="dxa" w:w="2600"/>
            <w:shd w:fill="F2F2F2" w:val="clear"/>
            <w:tcMar>
              <w:top w:type="dxa" w:w="80"/>
              <w:left w:type="dxa" w:w="120"/>
              <w:bottom w:type="dxa" w:w="80"/>
              <w:right w:type="dxa" w:w="120"/>
            </w:tcMar>
            <w:vAlign w:val="center"/>
          </w:tcPr>
          <w:p>
            <w:r>
              <w:rPr>
                <w:sz w:val="19"/>
                <w:szCs w:val="19"/>
              </w:rPr>
              <w:t xml:space="preserve">GitHub Actions</w:t>
            </w:r>
          </w:p>
        </w:tc>
        <w:tc>
          <w:tcPr>
            <w:tcW w:type="dxa" w:w="1400"/>
            <w:shd w:fill="F2F2F2" w:val="clear"/>
            <w:tcMar>
              <w:top w:type="dxa" w:w="80"/>
              <w:left w:type="dxa" w:w="120"/>
              <w:bottom w:type="dxa" w:w="80"/>
              <w:right w:type="dxa" w:w="120"/>
            </w:tcMar>
            <w:vAlign w:val="center"/>
          </w:tcPr>
          <w:p>
            <w:r>
              <w:rPr>
                <w:sz w:val="19"/>
                <w:szCs w:val="19"/>
              </w:rPr>
              <w:t xml:space="preserve">—</w:t>
            </w:r>
            <w:r>
              <w:rPr>
                <w:b/>
                <w:bCs/>
                <w:color w:val="2E7D32"/>
                <w:sz w:val="18"/>
                <w:szCs w:val="18"/>
              </w:rPr>
              <w:t xml:space="preserve">  [NEW]</w:t>
            </w:r>
          </w:p>
        </w:tc>
        <w:tc>
          <w:tcPr>
            <w:tcW w:type="dxa" w:w="3000"/>
            <w:shd w:fill="F2F2F2" w:val="clear"/>
            <w:tcMar>
              <w:top w:type="dxa" w:w="80"/>
              <w:left w:type="dxa" w:w="120"/>
              <w:bottom w:type="dxa" w:w="80"/>
              <w:right w:type="dxa" w:w="120"/>
            </w:tcMar>
            <w:vAlign w:val="center"/>
          </w:tcPr>
          <w:p>
            <w:r>
              <w:rPr>
                <w:sz w:val="19"/>
                <w:szCs w:val="19"/>
              </w:rPr>
              <w:t xml:space="preserve">Lightweight CI workflow that runs the pytest suite automatically on every push, signalling professional software practice and guarding against regressions. All random seeds are fixed and recorded to ensure fully reproducible dataset generation and model training runs.</w:t>
            </w:r>
          </w:p>
        </w:tc>
      </w:tr>
      <w:tr>
        <w:tc>
          <w:tcPr>
            <w:tcW w:type="dxa" w:w="2200"/>
            <w:tcMar>
              <w:top w:type="dxa" w:w="80"/>
              <w:left w:type="dxa" w:w="120"/>
              <w:bottom w:type="dxa" w:w="80"/>
              <w:right w:type="dxa" w:w="120"/>
            </w:tcMar>
            <w:vAlign w:val="center"/>
          </w:tcPr>
          <w:p>
            <w:r>
              <w:rPr>
                <w:sz w:val="19"/>
                <w:szCs w:val="19"/>
              </w:rPr>
              <w:t xml:space="preserve">Uncertainty Quantification (Optional)</w:t>
            </w:r>
          </w:p>
        </w:tc>
        <w:tc>
          <w:tcPr>
            <w:tcW w:type="dxa" w:w="2600"/>
            <w:tcMar>
              <w:top w:type="dxa" w:w="80"/>
              <w:left w:type="dxa" w:w="120"/>
              <w:bottom w:type="dxa" w:w="80"/>
              <w:right w:type="dxa" w:w="120"/>
            </w:tcMar>
            <w:vAlign w:val="center"/>
          </w:tcPr>
          <w:p>
            <w:r>
              <w:rPr>
                <w:sz w:val="19"/>
                <w:szCs w:val="19"/>
              </w:rPr>
              <w:t xml:space="preserve">MAPIE</w:t>
            </w:r>
          </w:p>
        </w:tc>
        <w:tc>
          <w:tcPr>
            <w:tcW w:type="dxa" w:w="1400"/>
            <w:tcMar>
              <w:top w:type="dxa" w:w="80"/>
              <w:left w:type="dxa" w:w="120"/>
              <w:bottom w:type="dxa" w:w="80"/>
              <w:right w:type="dxa" w:w="120"/>
            </w:tcMar>
            <w:vAlign w:val="center"/>
          </w:tcPr>
          <w:p>
            <w:r>
              <w:rPr>
                <w:sz w:val="19"/>
                <w:szCs w:val="19"/>
              </w:rPr>
              <w:t xml:space="preserve">0.8+</w:t>
            </w:r>
          </w:p>
        </w:tc>
        <w:tc>
          <w:tcPr>
            <w:tcW w:type="dxa" w:w="3000"/>
            <w:tcMar>
              <w:top w:type="dxa" w:w="80"/>
              <w:left w:type="dxa" w:w="120"/>
              <w:bottom w:type="dxa" w:w="80"/>
              <w:right w:type="dxa" w:w="120"/>
            </w:tcMar>
            <w:vAlign w:val="center"/>
          </w:tcPr>
          <w:p>
            <w:r>
              <w:rPr>
                <w:sz w:val="19"/>
                <w:szCs w:val="19"/>
              </w:rPr>
              <w:t xml:space="preserve">Conformal prediction intervals for classification confidence and defect probability estimates (Sub-Module 2.8).</w:t>
            </w:r>
          </w:p>
        </w:tc>
      </w:tr>
      <w:tr>
        <w:tc>
          <w:tcPr>
            <w:tcW w:type="dxa" w:w="2200"/>
            <w:shd w:fill="F2F2F2" w:val="clear"/>
            <w:tcMar>
              <w:top w:type="dxa" w:w="80"/>
              <w:left w:type="dxa" w:w="120"/>
              <w:bottom w:type="dxa" w:w="80"/>
              <w:right w:type="dxa" w:w="120"/>
            </w:tcMar>
            <w:vAlign w:val="center"/>
          </w:tcPr>
          <w:p>
            <w:r>
              <w:rPr>
                <w:sz w:val="19"/>
                <w:szCs w:val="19"/>
              </w:rPr>
              <w:t xml:space="preserve">Deep Learning (Optional)</w:t>
            </w:r>
          </w:p>
        </w:tc>
        <w:tc>
          <w:tcPr>
            <w:tcW w:type="dxa" w:w="2600"/>
            <w:shd w:fill="F2F2F2" w:val="clear"/>
            <w:tcMar>
              <w:top w:type="dxa" w:w="80"/>
              <w:left w:type="dxa" w:w="120"/>
              <w:bottom w:type="dxa" w:w="80"/>
              <w:right w:type="dxa" w:w="120"/>
            </w:tcMar>
            <w:vAlign w:val="center"/>
          </w:tcPr>
          <w:p>
            <w:r>
              <w:rPr>
                <w:sz w:val="19"/>
                <w:szCs w:val="19"/>
              </w:rPr>
              <w:t xml:space="preserve">PyTorch or TensorFlow/Keras</w:t>
            </w:r>
          </w:p>
        </w:tc>
        <w:tc>
          <w:tcPr>
            <w:tcW w:type="dxa" w:w="1400"/>
            <w:shd w:fill="F2F2F2" w:val="clear"/>
            <w:tcMar>
              <w:top w:type="dxa" w:w="80"/>
              <w:left w:type="dxa" w:w="120"/>
              <w:bottom w:type="dxa" w:w="80"/>
              <w:right w:type="dxa" w:w="120"/>
            </w:tcMar>
            <w:vAlign w:val="center"/>
          </w:tcPr>
          <w:p>
            <w:r>
              <w:rPr>
                <w:sz w:val="19"/>
                <w:szCs w:val="19"/>
              </w:rPr>
              <w:t xml:space="preserve">2.x</w:t>
            </w:r>
          </w:p>
        </w:tc>
        <w:tc>
          <w:tcPr>
            <w:tcW w:type="dxa" w:w="3000"/>
            <w:shd w:fill="F2F2F2" w:val="clear"/>
            <w:tcMar>
              <w:top w:type="dxa" w:w="80"/>
              <w:left w:type="dxa" w:w="120"/>
              <w:bottom w:type="dxa" w:w="80"/>
              <w:right w:type="dxa" w:w="120"/>
            </w:tcMar>
            <w:vAlign w:val="center"/>
          </w:tcPr>
          <w:p>
            <w:r>
              <w:rPr>
                <w:sz w:val="19"/>
                <w:szCs w:val="19"/>
              </w:rPr>
              <w:t xml:space="preserve">Autoencoder-based anomaly detection for classical-vs-deep-learning comparison (Sub-Module 2.2, optional). Tree ensembles remain the primary, deliberately chosen classifiers for the core task — see rationale below.</w:t>
            </w:r>
          </w:p>
        </w:tc>
      </w:tr>
      <w:tr>
        <w:tc>
          <w:tcPr>
            <w:tcW w:type="dxa" w:w="2200"/>
            <w:tcMar>
              <w:top w:type="dxa" w:w="80"/>
              <w:left w:type="dxa" w:w="120"/>
              <w:bottom w:type="dxa" w:w="80"/>
              <w:right w:type="dxa" w:w="120"/>
            </w:tcMar>
            <w:vAlign w:val="center"/>
          </w:tcPr>
          <w:p>
            <w:r>
              <w:rPr>
                <w:sz w:val="19"/>
                <w:szCs w:val="19"/>
              </w:rPr>
              <w:t xml:space="preserve">Data Processing</w:t>
            </w:r>
          </w:p>
        </w:tc>
        <w:tc>
          <w:tcPr>
            <w:tcW w:type="dxa" w:w="2600"/>
            <w:tcMar>
              <w:top w:type="dxa" w:w="80"/>
              <w:left w:type="dxa" w:w="120"/>
              <w:bottom w:type="dxa" w:w="80"/>
              <w:right w:type="dxa" w:w="120"/>
            </w:tcMar>
            <w:vAlign w:val="center"/>
          </w:tcPr>
          <w:p>
            <w:r>
              <w:rPr>
                <w:sz w:val="19"/>
                <w:szCs w:val="19"/>
              </w:rPr>
              <w:t xml:space="preserve">Pandas</w:t>
            </w:r>
          </w:p>
        </w:tc>
        <w:tc>
          <w:tcPr>
            <w:tcW w:type="dxa" w:w="1400"/>
            <w:tcMar>
              <w:top w:type="dxa" w:w="80"/>
              <w:left w:type="dxa" w:w="120"/>
              <w:bottom w:type="dxa" w:w="80"/>
              <w:right w:type="dxa" w:w="120"/>
            </w:tcMar>
            <w:vAlign w:val="center"/>
          </w:tcPr>
          <w:p>
            <w:r>
              <w:rPr>
                <w:sz w:val="19"/>
                <w:szCs w:val="19"/>
              </w:rPr>
              <w:t xml:space="preserve">2.1+</w:t>
            </w:r>
          </w:p>
        </w:tc>
        <w:tc>
          <w:tcPr>
            <w:tcW w:type="dxa" w:w="3000"/>
            <w:tcMar>
              <w:top w:type="dxa" w:w="80"/>
              <w:left w:type="dxa" w:w="120"/>
              <w:bottom w:type="dxa" w:w="80"/>
              <w:right w:type="dxa" w:w="120"/>
            </w:tcMar>
            <w:vAlign w:val="center"/>
          </w:tcPr>
          <w:p>
            <w:r>
              <w:rPr>
                <w:sz w:val="19"/>
                <w:szCs w:val="19"/>
              </w:rPr>
              <w:t xml:space="preserve">Dataset management, session data handling, correlation computation, CSV export.</w:t>
            </w:r>
          </w:p>
        </w:tc>
      </w:tr>
      <w:tr>
        <w:tc>
          <w:tcPr>
            <w:tcW w:type="dxa" w:w="2200"/>
            <w:shd w:fill="F2F2F2" w:val="clear"/>
            <w:tcMar>
              <w:top w:type="dxa" w:w="80"/>
              <w:left w:type="dxa" w:w="120"/>
              <w:bottom w:type="dxa" w:w="80"/>
              <w:right w:type="dxa" w:w="120"/>
            </w:tcMar>
            <w:vAlign w:val="center"/>
          </w:tcPr>
          <w:p>
            <w:r>
              <w:rPr>
                <w:sz w:val="19"/>
                <w:szCs w:val="19"/>
              </w:rPr>
              <w:t xml:space="preserve">Numerical Computing</w:t>
            </w:r>
          </w:p>
        </w:tc>
        <w:tc>
          <w:tcPr>
            <w:tcW w:type="dxa" w:w="2600"/>
            <w:shd w:fill="F2F2F2" w:val="clear"/>
            <w:tcMar>
              <w:top w:type="dxa" w:w="80"/>
              <w:left w:type="dxa" w:w="120"/>
              <w:bottom w:type="dxa" w:w="80"/>
              <w:right w:type="dxa" w:w="120"/>
            </w:tcMar>
            <w:vAlign w:val="center"/>
          </w:tcPr>
          <w:p>
            <w:r>
              <w:rPr>
                <w:sz w:val="19"/>
                <w:szCs w:val="19"/>
              </w:rPr>
              <w:t xml:space="preserve">NumPy</w:t>
            </w:r>
          </w:p>
        </w:tc>
        <w:tc>
          <w:tcPr>
            <w:tcW w:type="dxa" w:w="1400"/>
            <w:shd w:fill="F2F2F2" w:val="clear"/>
            <w:tcMar>
              <w:top w:type="dxa" w:w="80"/>
              <w:left w:type="dxa" w:w="120"/>
              <w:bottom w:type="dxa" w:w="80"/>
              <w:right w:type="dxa" w:w="120"/>
            </w:tcMar>
            <w:vAlign w:val="center"/>
          </w:tcPr>
          <w:p>
            <w:r>
              <w:rPr>
                <w:sz w:val="19"/>
                <w:szCs w:val="19"/>
              </w:rPr>
              <w:t xml:space="preserve">1.26+</w:t>
            </w:r>
          </w:p>
        </w:tc>
        <w:tc>
          <w:tcPr>
            <w:tcW w:type="dxa" w:w="3000"/>
            <w:shd w:fill="F2F2F2" w:val="clear"/>
            <w:tcMar>
              <w:top w:type="dxa" w:w="80"/>
              <w:left w:type="dxa" w:w="120"/>
              <w:bottom w:type="dxa" w:w="80"/>
              <w:right w:type="dxa" w:w="120"/>
            </w:tcMar>
            <w:vAlign w:val="center"/>
          </w:tcPr>
          <w:p>
            <w:r>
              <w:rPr>
                <w:sz w:val="19"/>
                <w:szCs w:val="19"/>
              </w:rPr>
              <w:t xml:space="preserve">Array operations, noise injection, sweep generation.</w:t>
            </w:r>
          </w:p>
        </w:tc>
      </w:tr>
      <w:tr>
        <w:tc>
          <w:tcPr>
            <w:tcW w:type="dxa" w:w="2200"/>
            <w:tcMar>
              <w:top w:type="dxa" w:w="80"/>
              <w:left w:type="dxa" w:w="120"/>
              <w:bottom w:type="dxa" w:w="80"/>
              <w:right w:type="dxa" w:w="120"/>
            </w:tcMar>
            <w:vAlign w:val="center"/>
          </w:tcPr>
          <w:p>
            <w:r>
              <w:rPr>
                <w:sz w:val="19"/>
                <w:szCs w:val="19"/>
              </w:rPr>
              <w:t xml:space="preserve">Scientific Computing</w:t>
            </w:r>
          </w:p>
        </w:tc>
        <w:tc>
          <w:tcPr>
            <w:tcW w:type="dxa" w:w="2600"/>
            <w:tcMar>
              <w:top w:type="dxa" w:w="80"/>
              <w:left w:type="dxa" w:w="120"/>
              <w:bottom w:type="dxa" w:w="80"/>
              <w:right w:type="dxa" w:w="120"/>
            </w:tcMar>
            <w:vAlign w:val="center"/>
          </w:tcPr>
          <w:p>
            <w:r>
              <w:rPr>
                <w:sz w:val="19"/>
                <w:szCs w:val="19"/>
              </w:rPr>
              <w:t xml:space="preserve">SciPy</w:t>
            </w:r>
          </w:p>
        </w:tc>
        <w:tc>
          <w:tcPr>
            <w:tcW w:type="dxa" w:w="1400"/>
            <w:tcMar>
              <w:top w:type="dxa" w:w="80"/>
              <w:left w:type="dxa" w:w="120"/>
              <w:bottom w:type="dxa" w:w="80"/>
              <w:right w:type="dxa" w:w="120"/>
            </w:tcMar>
            <w:vAlign w:val="center"/>
          </w:tcPr>
          <w:p>
            <w:r>
              <w:rPr>
                <w:sz w:val="19"/>
                <w:szCs w:val="19"/>
              </w:rPr>
              <w:t xml:space="preserve">1.12+</w:t>
            </w:r>
            <w:r>
              <w:rPr>
                <w:b/>
                <w:bCs/>
                <w:color w:val="C00000"/>
                <w:sz w:val="18"/>
                <w:szCs w:val="18"/>
              </w:rPr>
              <w:t xml:space="preserve">  [REVISED]</w:t>
            </w:r>
          </w:p>
        </w:tc>
        <w:tc>
          <w:tcPr>
            <w:tcW w:type="dxa" w:w="3000"/>
            <w:tcMar>
              <w:top w:type="dxa" w:w="80"/>
              <w:left w:type="dxa" w:w="120"/>
              <w:bottom w:type="dxa" w:w="80"/>
              <w:right w:type="dxa" w:w="120"/>
            </w:tcMar>
            <w:vAlign w:val="center"/>
          </w:tcPr>
          <w:p>
            <w:r>
              <w:rPr>
                <w:sz w:val="19"/>
                <w:szCs w:val="19"/>
              </w:rPr>
              <w:t xml:space="preserve">Root-finding for the global discharge model's particle and power balance equations; interpolation; statistical distributions; scipy.stats for significance testing of ensemble models against the logistic-regression baseline (Sub-Module 2.1).</w:t>
            </w:r>
          </w:p>
        </w:tc>
      </w:tr>
      <w:tr>
        <w:tc>
          <w:tcPr>
            <w:tcW w:type="dxa" w:w="2200"/>
            <w:shd w:fill="F2F2F2" w:val="clear"/>
            <w:tcMar>
              <w:top w:type="dxa" w:w="80"/>
              <w:left w:type="dxa" w:w="120"/>
              <w:bottom w:type="dxa" w:w="80"/>
              <w:right w:type="dxa" w:w="120"/>
            </w:tcMar>
            <w:vAlign w:val="center"/>
          </w:tcPr>
          <w:p>
            <w:r>
              <w:rPr>
                <w:sz w:val="19"/>
                <w:szCs w:val="19"/>
              </w:rPr>
              <w:t xml:space="preserve">Data Visualisation</w:t>
            </w:r>
          </w:p>
        </w:tc>
        <w:tc>
          <w:tcPr>
            <w:tcW w:type="dxa" w:w="2600"/>
            <w:shd w:fill="F2F2F2" w:val="clear"/>
            <w:tcMar>
              <w:top w:type="dxa" w:w="80"/>
              <w:left w:type="dxa" w:w="120"/>
              <w:bottom w:type="dxa" w:w="80"/>
              <w:right w:type="dxa" w:w="120"/>
            </w:tcMar>
            <w:vAlign w:val="center"/>
          </w:tcPr>
          <w:p>
            <w:r>
              <w:rPr>
                <w:sz w:val="19"/>
                <w:szCs w:val="19"/>
              </w:rPr>
              <w:t xml:space="preserve">Plotly</w:t>
            </w:r>
          </w:p>
        </w:tc>
        <w:tc>
          <w:tcPr>
            <w:tcW w:type="dxa" w:w="1400"/>
            <w:shd w:fill="F2F2F2" w:val="clear"/>
            <w:tcMar>
              <w:top w:type="dxa" w:w="80"/>
              <w:left w:type="dxa" w:w="120"/>
              <w:bottom w:type="dxa" w:w="80"/>
              <w:right w:type="dxa" w:w="120"/>
            </w:tcMar>
            <w:vAlign w:val="center"/>
          </w:tcPr>
          <w:p>
            <w:r>
              <w:rPr>
                <w:sz w:val="19"/>
                <w:szCs w:val="19"/>
              </w:rPr>
              <w:t xml:space="preserve">5.19+</w:t>
            </w:r>
          </w:p>
        </w:tc>
        <w:tc>
          <w:tcPr>
            <w:tcW w:type="dxa" w:w="3000"/>
            <w:shd w:fill="F2F2F2" w:val="clear"/>
            <w:tcMar>
              <w:top w:type="dxa" w:w="80"/>
              <w:left w:type="dxa" w:w="120"/>
              <w:bottom w:type="dxa" w:w="80"/>
              <w:right w:type="dxa" w:w="120"/>
            </w:tcMar>
            <w:vAlign w:val="center"/>
          </w:tcPr>
          <w:p>
            <w:r>
              <w:rPr>
                <w:sz w:val="19"/>
                <w:szCs w:val="19"/>
              </w:rPr>
              <w:t xml:space="preserve">Interactive line charts, heatmaps, scatter plots, parallel coordinates, SPC charts, SHAP explanation plots.</w:t>
            </w:r>
          </w:p>
        </w:tc>
      </w:tr>
      <w:tr>
        <w:tc>
          <w:tcPr>
            <w:tcW w:type="dxa" w:w="2200"/>
            <w:tcMar>
              <w:top w:type="dxa" w:w="80"/>
              <w:left w:type="dxa" w:w="120"/>
              <w:bottom w:type="dxa" w:w="80"/>
              <w:right w:type="dxa" w:w="120"/>
            </w:tcMar>
            <w:vAlign w:val="center"/>
          </w:tcPr>
          <w:p>
            <w:r>
              <w:rPr>
                <w:sz w:val="19"/>
                <w:szCs w:val="19"/>
              </w:rPr>
              <w:t xml:space="preserve">Database</w:t>
            </w:r>
          </w:p>
        </w:tc>
        <w:tc>
          <w:tcPr>
            <w:tcW w:type="dxa" w:w="2600"/>
            <w:tcMar>
              <w:top w:type="dxa" w:w="80"/>
              <w:left w:type="dxa" w:w="120"/>
              <w:bottom w:type="dxa" w:w="80"/>
              <w:right w:type="dxa" w:w="120"/>
            </w:tcMar>
            <w:vAlign w:val="center"/>
          </w:tcPr>
          <w:p>
            <w:r>
              <w:rPr>
                <w:sz w:val="19"/>
                <w:szCs w:val="19"/>
              </w:rPr>
              <w:t xml:space="preserve">SQLite (sqlite3)</w:t>
            </w:r>
          </w:p>
        </w:tc>
        <w:tc>
          <w:tcPr>
            <w:tcW w:type="dxa" w:w="1400"/>
            <w:tcMar>
              <w:top w:type="dxa" w:w="80"/>
              <w:left w:type="dxa" w:w="120"/>
              <w:bottom w:type="dxa" w:w="80"/>
              <w:right w:type="dxa" w:w="120"/>
            </w:tcMar>
            <w:vAlign w:val="center"/>
          </w:tcPr>
          <w:p>
            <w:r>
              <w:rPr>
                <w:sz w:val="19"/>
                <w:szCs w:val="19"/>
              </w:rPr>
              <w:t xml:space="preserve">3.44+</w:t>
            </w:r>
          </w:p>
        </w:tc>
        <w:tc>
          <w:tcPr>
            <w:tcW w:type="dxa" w:w="3000"/>
            <w:tcMar>
              <w:top w:type="dxa" w:w="80"/>
              <w:left w:type="dxa" w:w="120"/>
              <w:bottom w:type="dxa" w:w="80"/>
              <w:right w:type="dxa" w:w="120"/>
            </w:tcMar>
            <w:vAlign w:val="center"/>
          </w:tcPr>
          <w:p>
            <w:r>
              <w:rPr>
                <w:sz w:val="19"/>
                <w:szCs w:val="19"/>
              </w:rPr>
              <w:t xml:space="preserve">Lightweight embedded database for experiment session storage and retrieval.</w:t>
            </w:r>
          </w:p>
        </w:tc>
      </w:tr>
      <w:tr>
        <w:tc>
          <w:tcPr>
            <w:tcW w:type="dxa" w:w="2200"/>
            <w:shd w:fill="F2F2F2" w:val="clear"/>
            <w:tcMar>
              <w:top w:type="dxa" w:w="80"/>
              <w:left w:type="dxa" w:w="120"/>
              <w:bottom w:type="dxa" w:w="80"/>
              <w:right w:type="dxa" w:w="120"/>
            </w:tcMar>
            <w:vAlign w:val="center"/>
          </w:tcPr>
          <w:p>
            <w:r>
              <w:rPr>
                <w:sz w:val="19"/>
                <w:szCs w:val="19"/>
              </w:rPr>
              <w:t xml:space="preserve">Development IDE</w:t>
            </w:r>
          </w:p>
        </w:tc>
        <w:tc>
          <w:tcPr>
            <w:tcW w:type="dxa" w:w="2600"/>
            <w:shd w:fill="F2F2F2" w:val="clear"/>
            <w:tcMar>
              <w:top w:type="dxa" w:w="80"/>
              <w:left w:type="dxa" w:w="120"/>
              <w:bottom w:type="dxa" w:w="80"/>
              <w:right w:type="dxa" w:w="120"/>
            </w:tcMar>
            <w:vAlign w:val="center"/>
          </w:tcPr>
          <w:p>
            <w:r>
              <w:rPr>
                <w:sz w:val="19"/>
                <w:szCs w:val="19"/>
              </w:rPr>
              <w:t xml:space="preserve">Visual Studio Code</w:t>
            </w:r>
          </w:p>
        </w:tc>
        <w:tc>
          <w:tcPr>
            <w:tcW w:type="dxa" w:w="1400"/>
            <w:shd w:fill="F2F2F2" w:val="clear"/>
            <w:tcMar>
              <w:top w:type="dxa" w:w="80"/>
              <w:left w:type="dxa" w:w="120"/>
              <w:bottom w:type="dxa" w:w="80"/>
              <w:right w:type="dxa" w:w="120"/>
            </w:tcMar>
            <w:vAlign w:val="center"/>
          </w:tcPr>
          <w:p>
            <w:r>
              <w:rPr>
                <w:sz w:val="19"/>
                <w:szCs w:val="19"/>
              </w:rPr>
              <w:t xml:space="preserve">1.88+</w:t>
            </w:r>
          </w:p>
        </w:tc>
        <w:tc>
          <w:tcPr>
            <w:tcW w:type="dxa" w:w="3000"/>
            <w:shd w:fill="F2F2F2" w:val="clear"/>
            <w:tcMar>
              <w:top w:type="dxa" w:w="80"/>
              <w:left w:type="dxa" w:w="120"/>
              <w:bottom w:type="dxa" w:w="80"/>
              <w:right w:type="dxa" w:w="120"/>
            </w:tcMar>
            <w:vAlign w:val="center"/>
          </w:tcPr>
          <w:p>
            <w:r>
              <w:rPr>
                <w:sz w:val="19"/>
                <w:szCs w:val="19"/>
              </w:rPr>
              <w:t xml:space="preserve">Primary development environment; Python extension; Git integration.</w:t>
            </w:r>
          </w:p>
        </w:tc>
      </w:tr>
      <w:tr>
        <w:tc>
          <w:tcPr>
            <w:tcW w:type="dxa" w:w="2200"/>
            <w:tcMar>
              <w:top w:type="dxa" w:w="80"/>
              <w:left w:type="dxa" w:w="120"/>
              <w:bottom w:type="dxa" w:w="80"/>
              <w:right w:type="dxa" w:w="120"/>
            </w:tcMar>
            <w:vAlign w:val="center"/>
          </w:tcPr>
          <w:p>
            <w:r>
              <w:rPr>
                <w:sz w:val="19"/>
                <w:szCs w:val="19"/>
              </w:rPr>
              <w:t xml:space="preserve">Version Control</w:t>
            </w:r>
          </w:p>
        </w:tc>
        <w:tc>
          <w:tcPr>
            <w:tcW w:type="dxa" w:w="2600"/>
            <w:tcMar>
              <w:top w:type="dxa" w:w="80"/>
              <w:left w:type="dxa" w:w="120"/>
              <w:bottom w:type="dxa" w:w="80"/>
              <w:right w:type="dxa" w:w="120"/>
            </w:tcMar>
            <w:vAlign w:val="center"/>
          </w:tcPr>
          <w:p>
            <w:r>
              <w:rPr>
                <w:sz w:val="19"/>
                <w:szCs w:val="19"/>
              </w:rPr>
              <w:t xml:space="preserve">Git &amp; GitHub</w:t>
            </w:r>
          </w:p>
        </w:tc>
        <w:tc>
          <w:tcPr>
            <w:tcW w:type="dxa" w:w="1400"/>
            <w:tcMar>
              <w:top w:type="dxa" w:w="80"/>
              <w:left w:type="dxa" w:w="120"/>
              <w:bottom w:type="dxa" w:w="80"/>
              <w:right w:type="dxa" w:w="120"/>
            </w:tcMar>
            <w:vAlign w:val="center"/>
          </w:tcPr>
          <w:p>
            <w:r>
              <w:rPr>
                <w:sz w:val="19"/>
                <w:szCs w:val="19"/>
              </w:rPr>
              <w:t xml:space="preserve">2.44+</w:t>
            </w:r>
          </w:p>
        </w:tc>
        <w:tc>
          <w:tcPr>
            <w:tcW w:type="dxa" w:w="3000"/>
            <w:tcMar>
              <w:top w:type="dxa" w:w="80"/>
              <w:left w:type="dxa" w:w="120"/>
              <w:bottom w:type="dxa" w:w="80"/>
              <w:right w:type="dxa" w:w="120"/>
            </w:tcMar>
            <w:vAlign w:val="center"/>
          </w:tcPr>
          <w:p>
            <w:r>
              <w:rPr>
                <w:sz w:val="19"/>
                <w:szCs w:val="19"/>
              </w:rPr>
              <w:t xml:space="preserve">Source code management, collaborative development, version tracking.</w:t>
            </w:r>
          </w:p>
        </w:tc>
      </w:tr>
      <w:tr>
        <w:tc>
          <w:tcPr>
            <w:tcW w:type="dxa" w:w="2200"/>
            <w:shd w:fill="F2F2F2" w:val="clear"/>
            <w:tcMar>
              <w:top w:type="dxa" w:w="80"/>
              <w:left w:type="dxa" w:w="120"/>
              <w:bottom w:type="dxa" w:w="80"/>
              <w:right w:type="dxa" w:w="120"/>
            </w:tcMar>
            <w:vAlign w:val="center"/>
          </w:tcPr>
          <w:p>
            <w:r>
              <w:rPr>
                <w:sz w:val="19"/>
                <w:szCs w:val="19"/>
              </w:rPr>
              <w:t xml:space="preserve">Documentation</w:t>
            </w:r>
          </w:p>
        </w:tc>
        <w:tc>
          <w:tcPr>
            <w:tcW w:type="dxa" w:w="2600"/>
            <w:shd w:fill="F2F2F2" w:val="clear"/>
            <w:tcMar>
              <w:top w:type="dxa" w:w="80"/>
              <w:left w:type="dxa" w:w="120"/>
              <w:bottom w:type="dxa" w:w="80"/>
              <w:right w:type="dxa" w:w="120"/>
            </w:tcMar>
            <w:vAlign w:val="center"/>
          </w:tcPr>
          <w:p>
            <w:r>
              <w:rPr>
                <w:sz w:val="19"/>
                <w:szCs w:val="19"/>
              </w:rPr>
              <w:t xml:space="preserve">MS Word / LaTeX</w:t>
            </w:r>
          </w:p>
        </w:tc>
        <w:tc>
          <w:tcPr>
            <w:tcW w:type="dxa" w:w="1400"/>
            <w:shd w:fill="F2F2F2" w:val="clear"/>
            <w:tcMar>
              <w:top w:type="dxa" w:w="80"/>
              <w:left w:type="dxa" w:w="120"/>
              <w:bottom w:type="dxa" w:w="80"/>
              <w:right w:type="dxa" w:w="120"/>
            </w:tcMar>
            <w:vAlign w:val="center"/>
          </w:tcPr>
          <w:p>
            <w:r>
              <w:rPr>
                <w:sz w:val="19"/>
                <w:szCs w:val="19"/>
              </w:rPr>
              <w:t xml:space="preserve">Latest</w:t>
            </w:r>
          </w:p>
        </w:tc>
        <w:tc>
          <w:tcPr>
            <w:tcW w:type="dxa" w:w="3000"/>
            <w:shd w:fill="F2F2F2" w:val="clear"/>
            <w:tcMar>
              <w:top w:type="dxa" w:w="80"/>
              <w:left w:type="dxa" w:w="120"/>
              <w:bottom w:type="dxa" w:w="80"/>
              <w:right w:type="dxa" w:w="120"/>
            </w:tcMar>
            <w:vAlign w:val="center"/>
          </w:tcPr>
          <w:p>
            <w:r>
              <w:rPr>
                <w:sz w:val="19"/>
                <w:szCs w:val="19"/>
              </w:rPr>
              <w:t xml:space="preserve">FYP report writing; scope document preparation.</w:t>
            </w:r>
          </w:p>
        </w:tc>
      </w:tr>
    </w:tbl>
    <w:p>
      <w:pPr>
        <w:spacing w:after="160" w:line="276"/>
        <w:jc w:val="both"/>
      </w:pPr>
      <w:r>
        <w:rPr>
          <w:b/>
          <w:bCs/>
          <w:sz w:val="22"/>
          <w:szCs w:val="22"/>
        </w:rPr>
        <w:t xml:space="preserve">On not using deep learning for the core classification task: </w:t>
      </w:r>
      <w:r>
        <w:rPr>
          <w:b/>
          <w:bCs/>
          <w:color w:val="2E7D32"/>
          <w:sz w:val="18"/>
          <w:szCs w:val="18"/>
        </w:rPr>
        <w:t xml:space="preserve">  [NEW]</w:t>
      </w:r>
      <w:r>
        <w:rPr>
          <w:sz w:val="22"/>
          <w:szCs w:val="22"/>
        </w:rPr>
        <w:t xml:space="preserve"> Random Forest and XGBoost are deliberately kept as the primary classifiers rather than a neural network. This is an evidence-based choice, not a scope shortcut: tree-based ensembles have been repeatedly shown to outperform deep learning on medium-sized tabular datasets structurally similar to this project's (Grinsztajn, Oyallon &amp; Varoquaux, NeurIPS 2022; independently confirmed with statistical testing in a 2024 PLOS ONE study). The optional PyTorch/TensorFlow row above exists only for the Sub-Module 2.2 anomaly-detection comparison, not the primary classification task.</w:t>
      </w:r>
    </w:p>
    <w:p>
      <w:pPr>
        <w:pStyle w:val="Heading1"/>
        <w:spacing w:after="200" w:before="360"/>
      </w:pPr>
      <w:r>
        <w:rPr>
          <w:b/>
          <w:bCs/>
          <w:color w:val="1F3864"/>
          <w:sz w:val="30"/>
          <w:szCs w:val="30"/>
        </w:rPr>
        <w:t xml:space="preserve">13.  Project Stakeholders and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1F3864" w:val="clear"/>
            <w:tcMar>
              <w:top w:type="dxa" w:w="80"/>
              <w:left w:type="dxa" w:w="120"/>
              <w:bottom w:type="dxa" w:w="80"/>
              <w:right w:type="dxa" w:w="120"/>
            </w:tcMar>
            <w:vAlign w:val="center"/>
          </w:tcPr>
          <w:p>
            <w:r>
              <w:rPr>
                <w:b/>
                <w:bCs/>
                <w:color w:val="FFFFFF"/>
                <w:sz w:val="20"/>
                <w:szCs w:val="20"/>
              </w:rPr>
              <w:t xml:space="preserve">Stakeholder</w:t>
            </w:r>
          </w:p>
        </w:tc>
        <w:tc>
          <w:tcPr>
            <w:tcW w:type="dxa" w:w="2200"/>
            <w:shd w:fill="1F3864" w:val="clear"/>
            <w:tcMar>
              <w:top w:type="dxa" w:w="80"/>
              <w:left w:type="dxa" w:w="120"/>
              <w:bottom w:type="dxa" w:w="80"/>
              <w:right w:type="dxa" w:w="120"/>
            </w:tcMar>
            <w:vAlign w:val="center"/>
          </w:tcPr>
          <w:p>
            <w:r>
              <w:rPr>
                <w:b/>
                <w:bCs/>
                <w:color w:val="FFFFFF"/>
                <w:sz w:val="20"/>
                <w:szCs w:val="20"/>
              </w:rPr>
              <w:t xml:space="preserve">Role</w:t>
            </w:r>
          </w:p>
        </w:tc>
        <w:tc>
          <w:tcPr>
            <w:tcW w:type="dxa" w:w="4400"/>
            <w:shd w:fill="1F3864" w:val="clear"/>
            <w:tcMar>
              <w:top w:type="dxa" w:w="80"/>
              <w:left w:type="dxa" w:w="120"/>
              <w:bottom w:type="dxa" w:w="80"/>
              <w:right w:type="dxa" w:w="120"/>
            </w:tcMar>
            <w:vAlign w:val="center"/>
          </w:tcPr>
          <w:p>
            <w:r>
              <w:rPr>
                <w:b/>
                <w:bCs/>
                <w:color w:val="FFFFFF"/>
                <w:sz w:val="20"/>
                <w:szCs w:val="20"/>
              </w:rPr>
              <w:t xml:space="preserve">Responsibilities</w:t>
            </w:r>
          </w:p>
        </w:tc>
      </w:tr>
      <w:tr>
        <w:tc>
          <w:tcPr>
            <w:tcW w:type="dxa" w:w="2600"/>
            <w:tcMar>
              <w:top w:type="dxa" w:w="80"/>
              <w:left w:type="dxa" w:w="120"/>
              <w:bottom w:type="dxa" w:w="80"/>
              <w:right w:type="dxa" w:w="120"/>
            </w:tcMar>
            <w:vAlign w:val="center"/>
          </w:tcPr>
          <w:p>
            <w:r>
              <w:rPr>
                <w:sz w:val="19"/>
                <w:szCs w:val="19"/>
              </w:rPr>
              <w:t xml:space="preserve">Muhammad Rayyan Taimoor Khan (FA23-BCS-072)</w:t>
            </w:r>
          </w:p>
        </w:tc>
        <w:tc>
          <w:tcPr>
            <w:tcW w:type="dxa" w:w="2200"/>
            <w:tcMar>
              <w:top w:type="dxa" w:w="80"/>
              <w:left w:type="dxa" w:w="120"/>
              <w:bottom w:type="dxa" w:w="80"/>
              <w:right w:type="dxa" w:w="120"/>
            </w:tcMar>
            <w:vAlign w:val="center"/>
          </w:tcPr>
          <w:p>
            <w:r>
              <w:rPr>
                <w:sz w:val="19"/>
                <w:szCs w:val="19"/>
              </w:rPr>
              <w:t xml:space="preserve">Lead Developer — Digital Twin &amp; AI Core</w:t>
            </w:r>
          </w:p>
        </w:tc>
        <w:tc>
          <w:tcPr>
            <w:tcW w:type="dxa" w:w="4400"/>
            <w:tcMar>
              <w:top w:type="dxa" w:w="80"/>
              <w:left w:type="dxa" w:w="120"/>
              <w:bottom w:type="dxa" w:w="80"/>
              <w:right w:type="dxa" w:w="120"/>
            </w:tcMar>
            <w:vAlign w:val="center"/>
          </w:tcPr>
          <w:p>
            <w:r>
              <w:rPr>
                <w:sz w:val="19"/>
                <w:szCs w:val="19"/>
              </w:rPr>
              <w:t xml:space="preserve">Global discharge model implementation; AI model training and deployment; deconfounded synthetic dataset generation; parameter sensitivity analysis; core backend logic.</w:t>
            </w:r>
          </w:p>
        </w:tc>
      </w:tr>
      <w:tr>
        <w:tc>
          <w:tcPr>
            <w:tcW w:type="dxa" w:w="2600"/>
            <w:shd w:fill="F2F2F2" w:val="clear"/>
            <w:tcMar>
              <w:top w:type="dxa" w:w="80"/>
              <w:left w:type="dxa" w:w="120"/>
              <w:bottom w:type="dxa" w:w="80"/>
              <w:right w:type="dxa" w:w="120"/>
            </w:tcMar>
            <w:vAlign w:val="center"/>
          </w:tcPr>
          <w:p>
            <w:r>
              <w:rPr>
                <w:sz w:val="19"/>
                <w:szCs w:val="19"/>
              </w:rPr>
              <w:t xml:space="preserve">Sadeem ur Rehman (FA23-BCS-127)</w:t>
            </w:r>
          </w:p>
        </w:tc>
        <w:tc>
          <w:tcPr>
            <w:tcW w:type="dxa" w:w="2200"/>
            <w:shd w:fill="F2F2F2" w:val="clear"/>
            <w:tcMar>
              <w:top w:type="dxa" w:w="80"/>
              <w:left w:type="dxa" w:w="120"/>
              <w:bottom w:type="dxa" w:w="80"/>
              <w:right w:type="dxa" w:w="120"/>
            </w:tcMar>
            <w:vAlign w:val="center"/>
          </w:tcPr>
          <w:p>
            <w:r>
              <w:rPr>
                <w:sz w:val="19"/>
                <w:szCs w:val="19"/>
              </w:rPr>
              <w:t xml:space="preserve">Lead Developer — Dashboard &amp; Analytics</w:t>
            </w:r>
          </w:p>
        </w:tc>
        <w:tc>
          <w:tcPr>
            <w:tcW w:type="dxa" w:w="4400"/>
            <w:shd w:fill="F2F2F2" w:val="clear"/>
            <w:tcMar>
              <w:top w:type="dxa" w:w="80"/>
              <w:left w:type="dxa" w:w="120"/>
              <w:bottom w:type="dxa" w:w="80"/>
              <w:right w:type="dxa" w:w="120"/>
            </w:tcMar>
            <w:vAlign w:val="center"/>
          </w:tcPr>
          <w:p>
            <w:r>
              <w:rPr>
                <w:sz w:val="19"/>
                <w:szCs w:val="19"/>
              </w:rPr>
              <w:t xml:space="preserve">Streamlit dashboard development; Plotly visualisation integration; database management; session comparison system; documentation; UI/UX design.</w:t>
            </w:r>
          </w:p>
        </w:tc>
      </w:tr>
      <w:tr>
        <w:tc>
          <w:tcPr>
            <w:tcW w:type="dxa" w:w="2600"/>
            <w:tcMar>
              <w:top w:type="dxa" w:w="80"/>
              <w:left w:type="dxa" w:w="120"/>
              <w:bottom w:type="dxa" w:w="80"/>
              <w:right w:type="dxa" w:w="120"/>
            </w:tcMar>
            <w:vAlign w:val="center"/>
          </w:tcPr>
          <w:p>
            <w:r>
              <w:rPr>
                <w:sz w:val="19"/>
                <w:szCs w:val="19"/>
              </w:rPr>
              <w:t xml:space="preserve">Dr. Majid Iqbal (Supervisor)</w:t>
            </w:r>
          </w:p>
        </w:tc>
        <w:tc>
          <w:tcPr>
            <w:tcW w:type="dxa" w:w="2200"/>
            <w:tcMar>
              <w:top w:type="dxa" w:w="80"/>
              <w:left w:type="dxa" w:w="120"/>
              <w:bottom w:type="dxa" w:w="80"/>
              <w:right w:type="dxa" w:w="120"/>
            </w:tcMar>
            <w:vAlign w:val="center"/>
          </w:tcPr>
          <w:p>
            <w:r>
              <w:rPr>
                <w:sz w:val="19"/>
                <w:szCs w:val="19"/>
              </w:rPr>
              <w:t xml:space="preserve">Academic Supervisor</w:t>
            </w:r>
          </w:p>
        </w:tc>
        <w:tc>
          <w:tcPr>
            <w:tcW w:type="dxa" w:w="4400"/>
            <w:tcMar>
              <w:top w:type="dxa" w:w="80"/>
              <w:left w:type="dxa" w:w="120"/>
              <w:bottom w:type="dxa" w:w="80"/>
              <w:right w:type="dxa" w:w="120"/>
            </w:tcMar>
            <w:vAlign w:val="center"/>
          </w:tcPr>
          <w:p>
            <w:r>
              <w:rPr>
                <w:sz w:val="19"/>
                <w:szCs w:val="19"/>
              </w:rPr>
              <w:t xml:space="preserve">Technical guidance on AI and simulation design; project evaluation; milestone review; plasma physics domain consultation; academic feedback.</w:t>
            </w:r>
          </w:p>
        </w:tc>
      </w:tr>
      <w:tr>
        <w:tc>
          <w:tcPr>
            <w:tcW w:type="dxa" w:w="2600"/>
            <w:shd w:fill="F2F2F2" w:val="clear"/>
            <w:tcMar>
              <w:top w:type="dxa" w:w="80"/>
              <w:left w:type="dxa" w:w="120"/>
              <w:bottom w:type="dxa" w:w="80"/>
              <w:right w:type="dxa" w:w="120"/>
            </w:tcMar>
            <w:vAlign w:val="center"/>
          </w:tcPr>
          <w:p>
            <w:r>
              <w:rPr>
                <w:sz w:val="19"/>
                <w:szCs w:val="19"/>
              </w:rPr>
              <w:t xml:space="preserve">Educational Users (Students / Researchers)</w:t>
            </w:r>
          </w:p>
        </w:tc>
        <w:tc>
          <w:tcPr>
            <w:tcW w:type="dxa" w:w="2200"/>
            <w:shd w:fill="F2F2F2" w:val="clear"/>
            <w:tcMar>
              <w:top w:type="dxa" w:w="80"/>
              <w:left w:type="dxa" w:w="120"/>
              <w:bottom w:type="dxa" w:w="80"/>
              <w:right w:type="dxa" w:w="120"/>
            </w:tcMar>
            <w:vAlign w:val="center"/>
          </w:tcPr>
          <w:p>
            <w:r>
              <w:rPr>
                <w:sz w:val="19"/>
                <w:szCs w:val="19"/>
              </w:rPr>
              <w:t xml:space="preserve">Primary End Users</w:t>
            </w:r>
          </w:p>
        </w:tc>
        <w:tc>
          <w:tcPr>
            <w:tcW w:type="dxa" w:w="4400"/>
            <w:shd w:fill="F2F2F2" w:val="clear"/>
            <w:tcMar>
              <w:top w:type="dxa" w:w="80"/>
              <w:left w:type="dxa" w:w="120"/>
              <w:bottom w:type="dxa" w:w="80"/>
              <w:right w:type="dxa" w:w="120"/>
            </w:tcMar>
            <w:vAlign w:val="center"/>
          </w:tcPr>
          <w:p>
            <w:r>
              <w:rPr>
                <w:sz w:val="19"/>
                <w:szCs w:val="19"/>
              </w:rPr>
              <w:t xml:space="preserve">Platform usage for plasma experimentation; AI-assisted process analysis; educational exploration of parameter effects; analytical report generation.</w:t>
            </w:r>
          </w:p>
        </w:tc>
      </w:tr>
      <w:tr>
        <w:tc>
          <w:tcPr>
            <w:tcW w:type="dxa" w:w="2600"/>
            <w:tcMar>
              <w:top w:type="dxa" w:w="80"/>
              <w:left w:type="dxa" w:w="120"/>
              <w:bottom w:type="dxa" w:w="80"/>
              <w:right w:type="dxa" w:w="120"/>
            </w:tcMar>
            <w:vAlign w:val="center"/>
          </w:tcPr>
          <w:p>
            <w:r>
              <w:rPr>
                <w:sz w:val="19"/>
                <w:szCs w:val="19"/>
              </w:rPr>
              <w:t xml:space="preserve">Academic Evaluators (FYP Committee)</w:t>
            </w:r>
          </w:p>
        </w:tc>
        <w:tc>
          <w:tcPr>
            <w:tcW w:type="dxa" w:w="2200"/>
            <w:tcMar>
              <w:top w:type="dxa" w:w="80"/>
              <w:left w:type="dxa" w:w="120"/>
              <w:bottom w:type="dxa" w:w="80"/>
              <w:right w:type="dxa" w:w="120"/>
            </w:tcMar>
            <w:vAlign w:val="center"/>
          </w:tcPr>
          <w:p>
            <w:r>
              <w:rPr>
                <w:sz w:val="19"/>
                <w:szCs w:val="19"/>
              </w:rPr>
              <w:t xml:space="preserve">Assessment Panel</w:t>
            </w:r>
          </w:p>
        </w:tc>
        <w:tc>
          <w:tcPr>
            <w:tcW w:type="dxa" w:w="4400"/>
            <w:tcMar>
              <w:top w:type="dxa" w:w="80"/>
              <w:left w:type="dxa" w:w="120"/>
              <w:bottom w:type="dxa" w:w="80"/>
              <w:right w:type="dxa" w:w="120"/>
            </w:tcMar>
            <w:vAlign w:val="center"/>
          </w:tcPr>
          <w:p>
            <w:r>
              <w:rPr>
                <w:sz w:val="19"/>
                <w:szCs w:val="19"/>
              </w:rPr>
              <w:t xml:space="preserve">Assessment of project originality, technical depth, implementation quality, documentation completeness, and software demonstration.</w:t>
            </w:r>
          </w:p>
        </w:tc>
      </w:tr>
    </w:tbl>
    <w:p>
      <w:r>
        <w:br w:type="page"/>
      </w:r>
    </w:p>
    <w:p>
      <w:pPr>
        <w:pStyle w:val="Heading1"/>
        <w:spacing w:after="200" w:before="360"/>
      </w:pPr>
      <w:r>
        <w:rPr>
          <w:b/>
          <w:bCs/>
          <w:color w:val="1F3864"/>
          <w:sz w:val="30"/>
          <w:szCs w:val="30"/>
        </w:rPr>
        <w:t xml:space="preserve">14.  Module-Based Work Division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000"/>
      </w:tblGrid>
      <w:tr>
        <w:trPr>
          <w:tblHeader/>
        </w:trPr>
        <w:tc>
          <w:tcPr>
            <w:tcW w:type="dxa" w:w="3600"/>
            <w:shd w:fill="1F3864" w:val="clear"/>
            <w:tcMar>
              <w:top w:type="dxa" w:w="80"/>
              <w:left w:type="dxa" w:w="120"/>
              <w:bottom w:type="dxa" w:w="80"/>
              <w:right w:type="dxa" w:w="120"/>
            </w:tcMar>
            <w:vAlign w:val="center"/>
          </w:tcPr>
          <w:p>
            <w:r>
              <w:rPr>
                <w:b/>
                <w:bCs/>
                <w:color w:val="FFFFFF"/>
                <w:sz w:val="20"/>
                <w:szCs w:val="20"/>
              </w:rPr>
              <w:t xml:space="preserve">Component / Sub-Module</w:t>
            </w:r>
          </w:p>
        </w:tc>
        <w:tc>
          <w:tcPr>
            <w:tcW w:type="dxa" w:w="1800"/>
            <w:shd w:fill="1F3864" w:val="clear"/>
            <w:tcMar>
              <w:top w:type="dxa" w:w="80"/>
              <w:left w:type="dxa" w:w="120"/>
              <w:bottom w:type="dxa" w:w="80"/>
              <w:right w:type="dxa" w:w="120"/>
            </w:tcMar>
            <w:vAlign w:val="center"/>
          </w:tcPr>
          <w:p>
            <w:r>
              <w:rPr>
                <w:b/>
                <w:bCs/>
                <w:color w:val="FFFFFF"/>
                <w:sz w:val="20"/>
                <w:szCs w:val="20"/>
              </w:rPr>
              <w:t xml:space="preserve">Rayyan (072)</w:t>
            </w:r>
          </w:p>
        </w:tc>
        <w:tc>
          <w:tcPr>
            <w:tcW w:type="dxa" w:w="1800"/>
            <w:shd w:fill="1F3864" w:val="clear"/>
            <w:tcMar>
              <w:top w:type="dxa" w:w="80"/>
              <w:left w:type="dxa" w:w="120"/>
              <w:bottom w:type="dxa" w:w="80"/>
              <w:right w:type="dxa" w:w="120"/>
            </w:tcMar>
            <w:vAlign w:val="center"/>
          </w:tcPr>
          <w:p>
            <w:r>
              <w:rPr>
                <w:b/>
                <w:bCs/>
                <w:color w:val="FFFFFF"/>
                <w:sz w:val="20"/>
                <w:szCs w:val="20"/>
              </w:rPr>
              <w:t xml:space="preserve">Sadeem (127)</w:t>
            </w:r>
          </w:p>
        </w:tc>
        <w:tc>
          <w:tcPr>
            <w:tcW w:type="dxa" w:w="2000"/>
            <w:shd w:fill="1F3864" w:val="clear"/>
            <w:tcMar>
              <w:top w:type="dxa" w:w="80"/>
              <w:left w:type="dxa" w:w="120"/>
              <w:bottom w:type="dxa" w:w="80"/>
              <w:right w:type="dxa" w:w="120"/>
            </w:tcMar>
            <w:vAlign w:val="center"/>
          </w:tcPr>
          <w:p>
            <w:r>
              <w:rPr>
                <w:b/>
                <w:bCs/>
                <w:color w:val="FFFFFF"/>
                <w:sz w:val="20"/>
                <w:szCs w:val="20"/>
              </w:rPr>
              <w:t xml:space="preserve">Status</w:t>
            </w:r>
          </w:p>
        </w:tc>
      </w:tr>
      <w:tr>
        <w:tc>
          <w:tcPr>
            <w:tcW w:type="dxa" w:w="3600"/>
            <w:tcMar>
              <w:top w:type="dxa" w:w="80"/>
              <w:left w:type="dxa" w:w="120"/>
              <w:bottom w:type="dxa" w:w="80"/>
              <w:right w:type="dxa" w:w="120"/>
            </w:tcMar>
            <w:vAlign w:val="center"/>
          </w:tcPr>
          <w:p>
            <w:r>
              <w:rPr>
                <w:sz w:val="19"/>
                <w:szCs w:val="19"/>
              </w:rPr>
              <w:t xml:space="preserve">1.1 Virtual Plasma Chamber &amp; Parameter Config Engine</w:t>
            </w:r>
          </w:p>
        </w:tc>
        <w:tc>
          <w:tcPr>
            <w:tcW w:type="dxa" w:w="1800"/>
            <w:tcMar>
              <w:top w:type="dxa" w:w="80"/>
              <w:left w:type="dxa" w:w="120"/>
              <w:bottom w:type="dxa" w:w="80"/>
              <w:right w:type="dxa" w:w="120"/>
            </w:tcMar>
            <w:vAlign w:val="center"/>
          </w:tcPr>
          <w:p>
            <w:r>
              <w:rPr>
                <w:sz w:val="19"/>
                <w:szCs w:val="19"/>
              </w:rPr>
              <w:t xml:space="preserve">Primary</w:t>
            </w:r>
          </w:p>
        </w:tc>
        <w:tc>
          <w:tcPr>
            <w:tcW w:type="dxa" w:w="1800"/>
            <w:tcMar>
              <w:top w:type="dxa" w:w="80"/>
              <w:left w:type="dxa" w:w="120"/>
              <w:bottom w:type="dxa" w:w="80"/>
              <w:right w:type="dxa" w:w="120"/>
            </w:tcMar>
            <w:vAlign w:val="center"/>
          </w:tcPr>
          <w:p>
            <w:r>
              <w:rPr>
                <w:sz w:val="19"/>
                <w:szCs w:val="19"/>
              </w:rPr>
              <w:t xml:space="preserve">Review</w:t>
            </w:r>
          </w:p>
        </w:tc>
        <w:tc>
          <w:tcPr>
            <w:tcW w:type="dxa" w:w="2000"/>
            <w:tcMar>
              <w:top w:type="dxa" w:w="80"/>
              <w:left w:type="dxa" w:w="120"/>
              <w:bottom w:type="dxa" w:w="80"/>
              <w:right w:type="dxa" w:w="120"/>
            </w:tcMar>
            <w:vAlign w:val="center"/>
          </w:tcPr>
          <w:p>
            <w:r>
              <w:rPr>
                <w:sz w:val="19"/>
                <w:szCs w:val="19"/>
              </w:rPr>
              <w:t xml:space="preserve">In Progress</w:t>
            </w:r>
          </w:p>
        </w:tc>
      </w:tr>
      <w:tr>
        <w:tc>
          <w:tcPr>
            <w:tcW w:type="dxa" w:w="3600"/>
            <w:shd w:fill="F2F2F2" w:val="clear"/>
            <w:tcMar>
              <w:top w:type="dxa" w:w="80"/>
              <w:left w:type="dxa" w:w="120"/>
              <w:bottom w:type="dxa" w:w="80"/>
              <w:right w:type="dxa" w:w="120"/>
            </w:tcMar>
            <w:vAlign w:val="center"/>
          </w:tcPr>
          <w:p>
            <w:r>
              <w:rPr>
                <w:sz w:val="19"/>
                <w:szCs w:val="19"/>
              </w:rPr>
              <w:t xml:space="preserve">1.2 Global Discharge Physics Engine (revised)</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1800"/>
            <w:shd w:fill="F2F2F2" w:val="clear"/>
            <w:tcMar>
              <w:top w:type="dxa" w:w="80"/>
              <w:left w:type="dxa" w:w="120"/>
              <w:bottom w:type="dxa" w:w="80"/>
              <w:right w:type="dxa" w:w="120"/>
            </w:tcMar>
            <w:vAlign w:val="center"/>
          </w:tcPr>
          <w:p>
            <w:r>
              <w:rPr>
                <w:sz w:val="19"/>
                <w:szCs w:val="19"/>
              </w:rPr>
              <w:t xml:space="preserve">Support</w:t>
            </w:r>
          </w:p>
        </w:tc>
        <w:tc>
          <w:tcPr>
            <w:tcW w:type="dxa" w:w="2000"/>
            <w:shd w:fill="F2F2F2" w:val="clear"/>
            <w:tcMar>
              <w:top w:type="dxa" w:w="80"/>
              <w:left w:type="dxa" w:w="120"/>
              <w:bottom w:type="dxa" w:w="80"/>
              <w:right w:type="dxa" w:w="120"/>
            </w:tcMar>
            <w:vAlign w:val="center"/>
          </w:tcPr>
          <w:p>
            <w:r>
              <w:rPr>
                <w:sz w:val="19"/>
                <w:szCs w:val="19"/>
              </w:rPr>
              <w:t xml:space="preserve">In Progress</w:t>
            </w:r>
          </w:p>
        </w:tc>
      </w:tr>
      <w:tr>
        <w:tc>
          <w:tcPr>
            <w:tcW w:type="dxa" w:w="3600"/>
            <w:tcMar>
              <w:top w:type="dxa" w:w="80"/>
              <w:left w:type="dxa" w:w="120"/>
              <w:bottom w:type="dxa" w:w="80"/>
              <w:right w:type="dxa" w:w="120"/>
            </w:tcMar>
            <w:vAlign w:val="center"/>
          </w:tcPr>
          <w:p>
            <w:r>
              <w:rPr>
                <w:sz w:val="19"/>
                <w:szCs w:val="19"/>
              </w:rPr>
              <w:t xml:space="preserve">1.3 Synthetic Dataset Generation &amp; Management (revised)</w:t>
            </w:r>
          </w:p>
        </w:tc>
        <w:tc>
          <w:tcPr>
            <w:tcW w:type="dxa" w:w="1800"/>
            <w:tcMar>
              <w:top w:type="dxa" w:w="80"/>
              <w:left w:type="dxa" w:w="120"/>
              <w:bottom w:type="dxa" w:w="80"/>
              <w:right w:type="dxa" w:w="120"/>
            </w:tcMar>
            <w:vAlign w:val="center"/>
          </w:tcPr>
          <w:p>
            <w:r>
              <w:rPr>
                <w:sz w:val="19"/>
                <w:szCs w:val="19"/>
              </w:rPr>
              <w:t xml:space="preserve">Primary</w:t>
            </w:r>
          </w:p>
        </w:tc>
        <w:tc>
          <w:tcPr>
            <w:tcW w:type="dxa" w:w="1800"/>
            <w:tcMar>
              <w:top w:type="dxa" w:w="80"/>
              <w:left w:type="dxa" w:w="120"/>
              <w:bottom w:type="dxa" w:w="80"/>
              <w:right w:type="dxa" w:w="120"/>
            </w:tcMar>
            <w:vAlign w:val="center"/>
          </w:tcPr>
          <w:p>
            <w:r>
              <w:rPr>
                <w:sz w:val="19"/>
                <w:szCs w:val="19"/>
              </w:rPr>
              <w:t xml:space="preserve">Review</w:t>
            </w:r>
          </w:p>
        </w:tc>
        <w:tc>
          <w:tcPr>
            <w:tcW w:type="dxa" w:w="2000"/>
            <w:tcMar>
              <w:top w:type="dxa" w:w="80"/>
              <w:left w:type="dxa" w:w="120"/>
              <w:bottom w:type="dxa" w:w="80"/>
              <w:right w:type="dxa" w:w="120"/>
            </w:tcMar>
            <w:vAlign w:val="center"/>
          </w:tcPr>
          <w:p>
            <w:r>
              <w:rPr>
                <w:sz w:val="19"/>
                <w:szCs w:val="19"/>
              </w:rPr>
              <w:t xml:space="preserve">Planned</w:t>
            </w:r>
          </w:p>
        </w:tc>
      </w:tr>
      <w:tr>
        <w:tc>
          <w:tcPr>
            <w:tcW w:type="dxa" w:w="3600"/>
            <w:shd w:fill="F2F2F2" w:val="clear"/>
            <w:tcMar>
              <w:top w:type="dxa" w:w="80"/>
              <w:left w:type="dxa" w:w="120"/>
              <w:bottom w:type="dxa" w:w="80"/>
              <w:right w:type="dxa" w:w="120"/>
            </w:tcMar>
            <w:vAlign w:val="center"/>
          </w:tcPr>
          <w:p>
            <w:r>
              <w:rPr>
                <w:sz w:val="19"/>
                <w:szCs w:val="19"/>
              </w:rPr>
              <w:t xml:space="preserve">1.4 Multi-Session Experiment Management &amp; Comparison</w:t>
            </w:r>
          </w:p>
        </w:tc>
        <w:tc>
          <w:tcPr>
            <w:tcW w:type="dxa" w:w="1800"/>
            <w:shd w:fill="F2F2F2" w:val="clear"/>
            <w:tcMar>
              <w:top w:type="dxa" w:w="80"/>
              <w:left w:type="dxa" w:w="120"/>
              <w:bottom w:type="dxa" w:w="80"/>
              <w:right w:type="dxa" w:w="120"/>
            </w:tcMar>
            <w:vAlign w:val="center"/>
          </w:tcPr>
          <w:p>
            <w:r>
              <w:rPr>
                <w:sz w:val="19"/>
                <w:szCs w:val="19"/>
              </w:rPr>
              <w:t xml:space="preserve">Support</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2000"/>
            <w:shd w:fill="F2F2F2" w:val="clear"/>
            <w:tcMar>
              <w:top w:type="dxa" w:w="80"/>
              <w:left w:type="dxa" w:w="120"/>
              <w:bottom w:type="dxa" w:w="80"/>
              <w:right w:type="dxa" w:w="120"/>
            </w:tcMar>
            <w:vAlign w:val="center"/>
          </w:tcPr>
          <w:p>
            <w:r>
              <w:rPr>
                <w:sz w:val="19"/>
                <w:szCs w:val="19"/>
              </w:rPr>
              <w:t xml:space="preserve">Planned</w:t>
            </w:r>
          </w:p>
        </w:tc>
      </w:tr>
      <w:tr>
        <w:tc>
          <w:tcPr>
            <w:tcW w:type="dxa" w:w="3600"/>
            <w:tcMar>
              <w:top w:type="dxa" w:w="80"/>
              <w:left w:type="dxa" w:w="120"/>
              <w:bottom w:type="dxa" w:w="80"/>
              <w:right w:type="dxa" w:w="120"/>
            </w:tcMar>
            <w:vAlign w:val="center"/>
          </w:tcPr>
          <w:p>
            <w:r>
              <w:rPr>
                <w:sz w:val="19"/>
                <w:szCs w:val="19"/>
              </w:rPr>
              <w:t xml:space="preserve">1.5 Parameter Sensitivity &amp; Sweep Analysis</w:t>
            </w:r>
          </w:p>
        </w:tc>
        <w:tc>
          <w:tcPr>
            <w:tcW w:type="dxa" w:w="1800"/>
            <w:tcMar>
              <w:top w:type="dxa" w:w="80"/>
              <w:left w:type="dxa" w:w="120"/>
              <w:bottom w:type="dxa" w:w="80"/>
              <w:right w:type="dxa" w:w="120"/>
            </w:tcMar>
            <w:vAlign w:val="center"/>
          </w:tcPr>
          <w:p>
            <w:r>
              <w:rPr>
                <w:sz w:val="19"/>
                <w:szCs w:val="19"/>
              </w:rPr>
              <w:t xml:space="preserve">Primary</w:t>
            </w:r>
          </w:p>
        </w:tc>
        <w:tc>
          <w:tcPr>
            <w:tcW w:type="dxa" w:w="1800"/>
            <w:tcMar>
              <w:top w:type="dxa" w:w="80"/>
              <w:left w:type="dxa" w:w="120"/>
              <w:bottom w:type="dxa" w:w="80"/>
              <w:right w:type="dxa" w:w="120"/>
            </w:tcMar>
            <w:vAlign w:val="center"/>
          </w:tcPr>
          <w:p>
            <w:r>
              <w:rPr>
                <w:sz w:val="19"/>
                <w:szCs w:val="19"/>
              </w:rPr>
              <w:t xml:space="preserve">Support</w:t>
            </w:r>
          </w:p>
        </w:tc>
        <w:tc>
          <w:tcPr>
            <w:tcW w:type="dxa" w:w="2000"/>
            <w:tcMar>
              <w:top w:type="dxa" w:w="80"/>
              <w:left w:type="dxa" w:w="120"/>
              <w:bottom w:type="dxa" w:w="80"/>
              <w:right w:type="dxa" w:w="120"/>
            </w:tcMar>
            <w:vAlign w:val="center"/>
          </w:tcPr>
          <w:p>
            <w:r>
              <w:rPr>
                <w:sz w:val="19"/>
                <w:szCs w:val="19"/>
              </w:rPr>
              <w:t xml:space="preserve">Planned</w:t>
            </w:r>
          </w:p>
        </w:tc>
      </w:tr>
      <w:tr>
        <w:tc>
          <w:tcPr>
            <w:tcW w:type="dxa" w:w="3600"/>
            <w:shd w:fill="F2F2F2" w:val="clear"/>
            <w:tcMar>
              <w:top w:type="dxa" w:w="80"/>
              <w:left w:type="dxa" w:w="120"/>
              <w:bottom w:type="dxa" w:w="80"/>
              <w:right w:type="dxa" w:w="120"/>
            </w:tcMar>
            <w:vAlign w:val="center"/>
          </w:tcPr>
          <w:p>
            <w:r>
              <w:rPr>
                <w:sz w:val="19"/>
                <w:szCs w:val="19"/>
              </w:rPr>
              <w:t xml:space="preserve">1.6 Physics Validation &amp; Literature Benchmarking (new)</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1800"/>
            <w:shd w:fill="F2F2F2" w:val="clear"/>
            <w:tcMar>
              <w:top w:type="dxa" w:w="80"/>
              <w:left w:type="dxa" w:w="120"/>
              <w:bottom w:type="dxa" w:w="80"/>
              <w:right w:type="dxa" w:w="120"/>
            </w:tcMar>
            <w:vAlign w:val="center"/>
          </w:tcPr>
          <w:p>
            <w:r>
              <w:rPr>
                <w:sz w:val="19"/>
                <w:szCs w:val="19"/>
              </w:rPr>
              <w:t xml:space="preserve">Review</w:t>
            </w:r>
          </w:p>
        </w:tc>
        <w:tc>
          <w:tcPr>
            <w:tcW w:type="dxa" w:w="2000"/>
            <w:shd w:fill="F2F2F2" w:val="clear"/>
            <w:tcMar>
              <w:top w:type="dxa" w:w="80"/>
              <w:left w:type="dxa" w:w="120"/>
              <w:bottom w:type="dxa" w:w="80"/>
              <w:right w:type="dxa" w:w="120"/>
            </w:tcMar>
            <w:vAlign w:val="center"/>
          </w:tcPr>
          <w:p>
            <w:r>
              <w:rPr>
                <w:sz w:val="19"/>
                <w:szCs w:val="19"/>
              </w:rPr>
              <w:t xml:space="preserve">Planned</w:t>
            </w:r>
          </w:p>
        </w:tc>
      </w:tr>
      <w:tr>
        <w:tc>
          <w:tcPr>
            <w:tcW w:type="dxa" w:w="3600"/>
            <w:tcMar>
              <w:top w:type="dxa" w:w="80"/>
              <w:left w:type="dxa" w:w="120"/>
              <w:bottom w:type="dxa" w:w="80"/>
              <w:right w:type="dxa" w:w="120"/>
            </w:tcMar>
            <w:vAlign w:val="center"/>
          </w:tcPr>
          <w:p>
            <w:r>
              <w:rPr>
                <w:sz w:val="19"/>
                <w:szCs w:val="19"/>
              </w:rPr>
              <w:t xml:space="preserve">2.1 Process Suitability Classification Engine</w:t>
            </w:r>
          </w:p>
        </w:tc>
        <w:tc>
          <w:tcPr>
            <w:tcW w:type="dxa" w:w="1800"/>
            <w:tcMar>
              <w:top w:type="dxa" w:w="80"/>
              <w:left w:type="dxa" w:w="120"/>
              <w:bottom w:type="dxa" w:w="80"/>
              <w:right w:type="dxa" w:w="120"/>
            </w:tcMar>
            <w:vAlign w:val="center"/>
          </w:tcPr>
          <w:p>
            <w:r>
              <w:rPr>
                <w:sz w:val="19"/>
                <w:szCs w:val="19"/>
              </w:rPr>
              <w:t xml:space="preserve">Primary</w:t>
            </w:r>
          </w:p>
        </w:tc>
        <w:tc>
          <w:tcPr>
            <w:tcW w:type="dxa" w:w="1800"/>
            <w:tcMar>
              <w:top w:type="dxa" w:w="80"/>
              <w:left w:type="dxa" w:w="120"/>
              <w:bottom w:type="dxa" w:w="80"/>
              <w:right w:type="dxa" w:w="120"/>
            </w:tcMar>
            <w:vAlign w:val="center"/>
          </w:tcPr>
          <w:p>
            <w:r>
              <w:rPr>
                <w:sz w:val="19"/>
                <w:szCs w:val="19"/>
              </w:rPr>
              <w:t xml:space="preserve">Review</w:t>
            </w:r>
          </w:p>
        </w:tc>
        <w:tc>
          <w:tcPr>
            <w:tcW w:type="dxa" w:w="2000"/>
            <w:tcMar>
              <w:top w:type="dxa" w:w="80"/>
              <w:left w:type="dxa" w:w="120"/>
              <w:bottom w:type="dxa" w:w="80"/>
              <w:right w:type="dxa" w:w="120"/>
            </w:tcMar>
            <w:vAlign w:val="center"/>
          </w:tcPr>
          <w:p>
            <w:r>
              <w:rPr>
                <w:sz w:val="19"/>
                <w:szCs w:val="19"/>
              </w:rPr>
              <w:t xml:space="preserve">Planned</w:t>
            </w:r>
          </w:p>
        </w:tc>
      </w:tr>
      <w:tr>
        <w:tc>
          <w:tcPr>
            <w:tcW w:type="dxa" w:w="3600"/>
            <w:shd w:fill="F2F2F2" w:val="clear"/>
            <w:tcMar>
              <w:top w:type="dxa" w:w="80"/>
              <w:left w:type="dxa" w:w="120"/>
              <w:bottom w:type="dxa" w:w="80"/>
              <w:right w:type="dxa" w:w="120"/>
            </w:tcMar>
            <w:vAlign w:val="center"/>
          </w:tcPr>
          <w:p>
            <w:r>
              <w:rPr>
                <w:sz w:val="19"/>
                <w:szCs w:val="19"/>
              </w:rPr>
              <w:t xml:space="preserve">2.2 Anomaly Detection &amp; Instability Monitor (revised)</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1800"/>
            <w:shd w:fill="F2F2F2" w:val="clear"/>
            <w:tcMar>
              <w:top w:type="dxa" w:w="80"/>
              <w:left w:type="dxa" w:w="120"/>
              <w:bottom w:type="dxa" w:w="80"/>
              <w:right w:type="dxa" w:w="120"/>
            </w:tcMar>
            <w:vAlign w:val="center"/>
          </w:tcPr>
          <w:p>
            <w:r>
              <w:rPr>
                <w:sz w:val="19"/>
                <w:szCs w:val="19"/>
              </w:rPr>
              <w:t xml:space="preserve">Support</w:t>
            </w:r>
          </w:p>
        </w:tc>
        <w:tc>
          <w:tcPr>
            <w:tcW w:type="dxa" w:w="2000"/>
            <w:shd w:fill="F2F2F2" w:val="clear"/>
            <w:tcMar>
              <w:top w:type="dxa" w:w="80"/>
              <w:left w:type="dxa" w:w="120"/>
              <w:bottom w:type="dxa" w:w="80"/>
              <w:right w:type="dxa" w:w="120"/>
            </w:tcMar>
            <w:vAlign w:val="center"/>
          </w:tcPr>
          <w:p>
            <w:r>
              <w:rPr>
                <w:sz w:val="19"/>
                <w:szCs w:val="19"/>
              </w:rPr>
              <w:t xml:space="preserve">Planned</w:t>
            </w:r>
          </w:p>
        </w:tc>
      </w:tr>
      <w:tr>
        <w:tc>
          <w:tcPr>
            <w:tcW w:type="dxa" w:w="3600"/>
            <w:tcMar>
              <w:top w:type="dxa" w:w="80"/>
              <w:left w:type="dxa" w:w="120"/>
              <w:bottom w:type="dxa" w:w="80"/>
              <w:right w:type="dxa" w:w="120"/>
            </w:tcMar>
            <w:vAlign w:val="center"/>
          </w:tcPr>
          <w:p>
            <w:r>
              <w:rPr>
                <w:sz w:val="19"/>
                <w:szCs w:val="19"/>
              </w:rPr>
              <w:t xml:space="preserve">2.3 Trend Analysis &amp; Monitoring Engine</w:t>
            </w:r>
          </w:p>
        </w:tc>
        <w:tc>
          <w:tcPr>
            <w:tcW w:type="dxa" w:w="1800"/>
            <w:tcMar>
              <w:top w:type="dxa" w:w="80"/>
              <w:left w:type="dxa" w:w="120"/>
              <w:bottom w:type="dxa" w:w="80"/>
              <w:right w:type="dxa" w:w="120"/>
            </w:tcMar>
            <w:vAlign w:val="center"/>
          </w:tcPr>
          <w:p>
            <w:r>
              <w:rPr>
                <w:sz w:val="19"/>
                <w:szCs w:val="19"/>
              </w:rPr>
              <w:t xml:space="preserve">Support</w:t>
            </w:r>
          </w:p>
        </w:tc>
        <w:tc>
          <w:tcPr>
            <w:tcW w:type="dxa" w:w="1800"/>
            <w:tcMar>
              <w:top w:type="dxa" w:w="80"/>
              <w:left w:type="dxa" w:w="120"/>
              <w:bottom w:type="dxa" w:w="80"/>
              <w:right w:type="dxa" w:w="120"/>
            </w:tcMar>
            <w:vAlign w:val="center"/>
          </w:tcPr>
          <w:p>
            <w:r>
              <w:rPr>
                <w:sz w:val="19"/>
                <w:szCs w:val="19"/>
              </w:rPr>
              <w:t xml:space="preserve">Primary</w:t>
            </w:r>
          </w:p>
        </w:tc>
        <w:tc>
          <w:tcPr>
            <w:tcW w:type="dxa" w:w="2000"/>
            <w:tcMar>
              <w:top w:type="dxa" w:w="80"/>
              <w:left w:type="dxa" w:w="120"/>
              <w:bottom w:type="dxa" w:w="80"/>
              <w:right w:type="dxa" w:w="120"/>
            </w:tcMar>
            <w:vAlign w:val="center"/>
          </w:tcPr>
          <w:p>
            <w:r>
              <w:rPr>
                <w:sz w:val="19"/>
                <w:szCs w:val="19"/>
              </w:rPr>
              <w:t xml:space="preserve">Planned</w:t>
            </w:r>
          </w:p>
        </w:tc>
      </w:tr>
      <w:tr>
        <w:tc>
          <w:tcPr>
            <w:tcW w:type="dxa" w:w="3600"/>
            <w:shd w:fill="F2F2F2" w:val="clear"/>
            <w:tcMar>
              <w:top w:type="dxa" w:w="80"/>
              <w:left w:type="dxa" w:w="120"/>
              <w:bottom w:type="dxa" w:w="80"/>
              <w:right w:type="dxa" w:w="120"/>
            </w:tcMar>
            <w:vAlign w:val="center"/>
          </w:tcPr>
          <w:p>
            <w:r>
              <w:rPr>
                <w:sz w:val="19"/>
                <w:szCs w:val="19"/>
              </w:rPr>
              <w:t xml:space="preserve">2.4 Correlation &amp; Relationship Analysis</w:t>
            </w:r>
          </w:p>
        </w:tc>
        <w:tc>
          <w:tcPr>
            <w:tcW w:type="dxa" w:w="1800"/>
            <w:shd w:fill="F2F2F2" w:val="clear"/>
            <w:tcMar>
              <w:top w:type="dxa" w:w="80"/>
              <w:left w:type="dxa" w:w="120"/>
              <w:bottom w:type="dxa" w:w="80"/>
              <w:right w:type="dxa" w:w="120"/>
            </w:tcMar>
            <w:vAlign w:val="center"/>
          </w:tcPr>
          <w:p>
            <w:r>
              <w:rPr>
                <w:sz w:val="19"/>
                <w:szCs w:val="19"/>
              </w:rPr>
              <w:t xml:space="preserve">Support</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2000"/>
            <w:shd w:fill="F2F2F2" w:val="clear"/>
            <w:tcMar>
              <w:top w:type="dxa" w:w="80"/>
              <w:left w:type="dxa" w:w="120"/>
              <w:bottom w:type="dxa" w:w="80"/>
              <w:right w:type="dxa" w:w="120"/>
            </w:tcMar>
            <w:vAlign w:val="center"/>
          </w:tcPr>
          <w:p>
            <w:r>
              <w:rPr>
                <w:sz w:val="19"/>
                <w:szCs w:val="19"/>
              </w:rPr>
              <w:t xml:space="preserve">Planned</w:t>
            </w:r>
          </w:p>
        </w:tc>
      </w:tr>
      <w:tr>
        <w:tc>
          <w:tcPr>
            <w:tcW w:type="dxa" w:w="3600"/>
            <w:tcMar>
              <w:top w:type="dxa" w:w="80"/>
              <w:left w:type="dxa" w:w="120"/>
              <w:bottom w:type="dxa" w:w="80"/>
              <w:right w:type="dxa" w:w="120"/>
            </w:tcMar>
            <w:vAlign w:val="center"/>
          </w:tcPr>
          <w:p>
            <w:r>
              <w:rPr>
                <w:sz w:val="19"/>
                <w:szCs w:val="19"/>
              </w:rPr>
              <w:t xml:space="preserve">2.5 Semiconductor Suitability Analysis Module</w:t>
            </w:r>
          </w:p>
        </w:tc>
        <w:tc>
          <w:tcPr>
            <w:tcW w:type="dxa" w:w="1800"/>
            <w:tcMar>
              <w:top w:type="dxa" w:w="80"/>
              <w:left w:type="dxa" w:w="120"/>
              <w:bottom w:type="dxa" w:w="80"/>
              <w:right w:type="dxa" w:w="120"/>
            </w:tcMar>
            <w:vAlign w:val="center"/>
          </w:tcPr>
          <w:p>
            <w:r>
              <w:rPr>
                <w:sz w:val="19"/>
                <w:szCs w:val="19"/>
              </w:rPr>
              <w:t xml:space="preserve">Primary</w:t>
            </w:r>
          </w:p>
        </w:tc>
        <w:tc>
          <w:tcPr>
            <w:tcW w:type="dxa" w:w="1800"/>
            <w:tcMar>
              <w:top w:type="dxa" w:w="80"/>
              <w:left w:type="dxa" w:w="120"/>
              <w:bottom w:type="dxa" w:w="80"/>
              <w:right w:type="dxa" w:w="120"/>
            </w:tcMar>
            <w:vAlign w:val="center"/>
          </w:tcPr>
          <w:p>
            <w:r>
              <w:rPr>
                <w:sz w:val="19"/>
                <w:szCs w:val="19"/>
              </w:rPr>
              <w:t xml:space="preserve">Review</w:t>
            </w:r>
          </w:p>
        </w:tc>
        <w:tc>
          <w:tcPr>
            <w:tcW w:type="dxa" w:w="2000"/>
            <w:tcMar>
              <w:top w:type="dxa" w:w="80"/>
              <w:left w:type="dxa" w:w="120"/>
              <w:bottom w:type="dxa" w:w="80"/>
              <w:right w:type="dxa" w:w="120"/>
            </w:tcMar>
            <w:vAlign w:val="center"/>
          </w:tcPr>
          <w:p>
            <w:r>
              <w:rPr>
                <w:sz w:val="19"/>
                <w:szCs w:val="19"/>
              </w:rPr>
              <w:t xml:space="preserve">Planned</w:t>
            </w:r>
          </w:p>
        </w:tc>
      </w:tr>
      <w:tr>
        <w:tc>
          <w:tcPr>
            <w:tcW w:type="dxa" w:w="3600"/>
            <w:shd w:fill="F2F2F2" w:val="clear"/>
            <w:tcMar>
              <w:top w:type="dxa" w:w="80"/>
              <w:left w:type="dxa" w:w="120"/>
              <w:bottom w:type="dxa" w:w="80"/>
              <w:right w:type="dxa" w:w="120"/>
            </w:tcMar>
            <w:vAlign w:val="center"/>
          </w:tcPr>
          <w:p>
            <w:r>
              <w:rPr>
                <w:sz w:val="19"/>
                <w:szCs w:val="19"/>
              </w:rPr>
              <w:t xml:space="preserve">2.6 Counterfactual Recommendation Engine (revised)</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1800"/>
            <w:shd w:fill="F2F2F2" w:val="clear"/>
            <w:tcMar>
              <w:top w:type="dxa" w:w="80"/>
              <w:left w:type="dxa" w:w="120"/>
              <w:bottom w:type="dxa" w:w="80"/>
              <w:right w:type="dxa" w:w="120"/>
            </w:tcMar>
            <w:vAlign w:val="center"/>
          </w:tcPr>
          <w:p>
            <w:r>
              <w:rPr>
                <w:sz w:val="19"/>
                <w:szCs w:val="19"/>
              </w:rPr>
              <w:t xml:space="preserve">Support</w:t>
            </w:r>
          </w:p>
        </w:tc>
        <w:tc>
          <w:tcPr>
            <w:tcW w:type="dxa" w:w="2000"/>
            <w:shd w:fill="F2F2F2" w:val="clear"/>
            <w:tcMar>
              <w:top w:type="dxa" w:w="80"/>
              <w:left w:type="dxa" w:w="120"/>
              <w:bottom w:type="dxa" w:w="80"/>
              <w:right w:type="dxa" w:w="120"/>
            </w:tcMar>
            <w:vAlign w:val="center"/>
          </w:tcPr>
          <w:p>
            <w:r>
              <w:rPr>
                <w:sz w:val="19"/>
                <w:szCs w:val="19"/>
              </w:rPr>
              <w:t xml:space="preserve">Planned</w:t>
            </w:r>
          </w:p>
        </w:tc>
      </w:tr>
      <w:tr>
        <w:tc>
          <w:tcPr>
            <w:tcW w:type="dxa" w:w="3600"/>
            <w:tcMar>
              <w:top w:type="dxa" w:w="80"/>
              <w:left w:type="dxa" w:w="120"/>
              <w:bottom w:type="dxa" w:w="80"/>
              <w:right w:type="dxa" w:w="120"/>
            </w:tcMar>
            <w:vAlign w:val="center"/>
          </w:tcPr>
          <w:p>
            <w:r>
              <w:rPr>
                <w:sz w:val="19"/>
                <w:szCs w:val="19"/>
              </w:rPr>
              <w:t xml:space="preserve">2.7 AI Model Training &amp; Evaluation Interface</w:t>
            </w:r>
          </w:p>
        </w:tc>
        <w:tc>
          <w:tcPr>
            <w:tcW w:type="dxa" w:w="1800"/>
            <w:tcMar>
              <w:top w:type="dxa" w:w="80"/>
              <w:left w:type="dxa" w:w="120"/>
              <w:bottom w:type="dxa" w:w="80"/>
              <w:right w:type="dxa" w:w="120"/>
            </w:tcMar>
            <w:vAlign w:val="center"/>
          </w:tcPr>
          <w:p>
            <w:r>
              <w:rPr>
                <w:sz w:val="19"/>
                <w:szCs w:val="19"/>
              </w:rPr>
              <w:t xml:space="preserve">Primary</w:t>
            </w:r>
          </w:p>
        </w:tc>
        <w:tc>
          <w:tcPr>
            <w:tcW w:type="dxa" w:w="1800"/>
            <w:tcMar>
              <w:top w:type="dxa" w:w="80"/>
              <w:left w:type="dxa" w:w="120"/>
              <w:bottom w:type="dxa" w:w="80"/>
              <w:right w:type="dxa" w:w="120"/>
            </w:tcMar>
            <w:vAlign w:val="center"/>
          </w:tcPr>
          <w:p>
            <w:r>
              <w:rPr>
                <w:sz w:val="19"/>
                <w:szCs w:val="19"/>
              </w:rPr>
              <w:t xml:space="preserve">Support</w:t>
            </w:r>
          </w:p>
        </w:tc>
        <w:tc>
          <w:tcPr>
            <w:tcW w:type="dxa" w:w="2000"/>
            <w:tcMar>
              <w:top w:type="dxa" w:w="80"/>
              <w:left w:type="dxa" w:w="120"/>
              <w:bottom w:type="dxa" w:w="80"/>
              <w:right w:type="dxa" w:w="120"/>
            </w:tcMar>
            <w:vAlign w:val="center"/>
          </w:tcPr>
          <w:p>
            <w:r>
              <w:rPr>
                <w:sz w:val="19"/>
                <w:szCs w:val="19"/>
              </w:rPr>
              <w:t xml:space="preserve">Planned</w:t>
            </w:r>
          </w:p>
        </w:tc>
      </w:tr>
      <w:tr>
        <w:tc>
          <w:tcPr>
            <w:tcW w:type="dxa" w:w="3600"/>
            <w:shd w:fill="F2F2F2" w:val="clear"/>
            <w:tcMar>
              <w:top w:type="dxa" w:w="80"/>
              <w:left w:type="dxa" w:w="120"/>
              <w:bottom w:type="dxa" w:w="80"/>
              <w:right w:type="dxa" w:w="120"/>
            </w:tcMar>
            <w:vAlign w:val="center"/>
          </w:tcPr>
          <w:p>
            <w:r>
              <w:rPr>
                <w:sz w:val="19"/>
                <w:szCs w:val="19"/>
              </w:rPr>
              <w:t xml:space="preserve">2.8 Uncertainty Quantification &amp; Trust Layer (new, optional)</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1800"/>
            <w:shd w:fill="F2F2F2" w:val="clear"/>
            <w:tcMar>
              <w:top w:type="dxa" w:w="80"/>
              <w:left w:type="dxa" w:w="120"/>
              <w:bottom w:type="dxa" w:w="80"/>
              <w:right w:type="dxa" w:w="120"/>
            </w:tcMar>
            <w:vAlign w:val="center"/>
          </w:tcPr>
          <w:p>
            <w:r>
              <w:rPr>
                <w:sz w:val="19"/>
                <w:szCs w:val="19"/>
              </w:rPr>
              <w:t xml:space="preserve">Support</w:t>
            </w:r>
          </w:p>
        </w:tc>
        <w:tc>
          <w:tcPr>
            <w:tcW w:type="dxa" w:w="2000"/>
            <w:shd w:fill="F2F2F2" w:val="clear"/>
            <w:tcMar>
              <w:top w:type="dxa" w:w="80"/>
              <w:left w:type="dxa" w:w="120"/>
              <w:bottom w:type="dxa" w:w="80"/>
              <w:right w:type="dxa" w:w="120"/>
            </w:tcMar>
            <w:vAlign w:val="center"/>
          </w:tcPr>
          <w:p>
            <w:r>
              <w:rPr>
                <w:sz w:val="19"/>
                <w:szCs w:val="19"/>
              </w:rPr>
              <w:t xml:space="preserve">Planned</w:t>
            </w:r>
          </w:p>
        </w:tc>
      </w:tr>
      <w:tr>
        <w:tc>
          <w:tcPr>
            <w:tcW w:type="dxa" w:w="3600"/>
            <w:tcMar>
              <w:top w:type="dxa" w:w="80"/>
              <w:left w:type="dxa" w:w="120"/>
              <w:bottom w:type="dxa" w:w="80"/>
              <w:right w:type="dxa" w:w="120"/>
            </w:tcMar>
            <w:vAlign w:val="center"/>
          </w:tcPr>
          <w:p>
            <w:r>
              <w:rPr>
                <w:sz w:val="19"/>
                <w:szCs w:val="19"/>
              </w:rPr>
              <w:t xml:space="preserve">Streamlit Dashboard Integration</w:t>
            </w:r>
          </w:p>
        </w:tc>
        <w:tc>
          <w:tcPr>
            <w:tcW w:type="dxa" w:w="1800"/>
            <w:tcMar>
              <w:top w:type="dxa" w:w="80"/>
              <w:left w:type="dxa" w:w="120"/>
              <w:bottom w:type="dxa" w:w="80"/>
              <w:right w:type="dxa" w:w="120"/>
            </w:tcMar>
            <w:vAlign w:val="center"/>
          </w:tcPr>
          <w:p>
            <w:r>
              <w:rPr>
                <w:sz w:val="19"/>
                <w:szCs w:val="19"/>
              </w:rPr>
              <w:t xml:space="preserve">Support</w:t>
            </w:r>
          </w:p>
        </w:tc>
        <w:tc>
          <w:tcPr>
            <w:tcW w:type="dxa" w:w="1800"/>
            <w:tcMar>
              <w:top w:type="dxa" w:w="80"/>
              <w:left w:type="dxa" w:w="120"/>
              <w:bottom w:type="dxa" w:w="80"/>
              <w:right w:type="dxa" w:w="120"/>
            </w:tcMar>
            <w:vAlign w:val="center"/>
          </w:tcPr>
          <w:p>
            <w:r>
              <w:rPr>
                <w:sz w:val="19"/>
                <w:szCs w:val="19"/>
              </w:rPr>
              <w:t xml:space="preserve">Primary</w:t>
            </w:r>
          </w:p>
        </w:tc>
        <w:tc>
          <w:tcPr>
            <w:tcW w:type="dxa" w:w="2000"/>
            <w:tcMar>
              <w:top w:type="dxa" w:w="80"/>
              <w:left w:type="dxa" w:w="120"/>
              <w:bottom w:type="dxa" w:w="80"/>
              <w:right w:type="dxa" w:w="120"/>
            </w:tcMar>
            <w:vAlign w:val="center"/>
          </w:tcPr>
          <w:p>
            <w:r>
              <w:rPr>
                <w:sz w:val="19"/>
                <w:szCs w:val="19"/>
              </w:rPr>
              <w:t xml:space="preserve">In Progress</w:t>
            </w:r>
          </w:p>
        </w:tc>
      </w:tr>
      <w:tr>
        <w:tc>
          <w:tcPr>
            <w:tcW w:type="dxa" w:w="3600"/>
            <w:shd w:fill="F2F2F2" w:val="clear"/>
            <w:tcMar>
              <w:top w:type="dxa" w:w="80"/>
              <w:left w:type="dxa" w:w="120"/>
              <w:bottom w:type="dxa" w:w="80"/>
              <w:right w:type="dxa" w:w="120"/>
            </w:tcMar>
            <w:vAlign w:val="center"/>
          </w:tcPr>
          <w:p>
            <w:r>
              <w:rPr>
                <w:sz w:val="19"/>
                <w:szCs w:val="19"/>
              </w:rPr>
              <w:t xml:space="preserve">SQLite Database Management</w:t>
            </w:r>
          </w:p>
        </w:tc>
        <w:tc>
          <w:tcPr>
            <w:tcW w:type="dxa" w:w="1800"/>
            <w:shd w:fill="F2F2F2" w:val="clear"/>
            <w:tcMar>
              <w:top w:type="dxa" w:w="80"/>
              <w:left w:type="dxa" w:w="120"/>
              <w:bottom w:type="dxa" w:w="80"/>
              <w:right w:type="dxa" w:w="120"/>
            </w:tcMar>
            <w:vAlign w:val="center"/>
          </w:tcPr>
          <w:p>
            <w:r>
              <w:rPr>
                <w:sz w:val="19"/>
                <w:szCs w:val="19"/>
              </w:rPr>
              <w:t xml:space="preserve">Support</w:t>
            </w:r>
          </w:p>
        </w:tc>
        <w:tc>
          <w:tcPr>
            <w:tcW w:type="dxa" w:w="1800"/>
            <w:shd w:fill="F2F2F2" w:val="clear"/>
            <w:tcMar>
              <w:top w:type="dxa" w:w="80"/>
              <w:left w:type="dxa" w:w="120"/>
              <w:bottom w:type="dxa" w:w="80"/>
              <w:right w:type="dxa" w:w="120"/>
            </w:tcMar>
            <w:vAlign w:val="center"/>
          </w:tcPr>
          <w:p>
            <w:r>
              <w:rPr>
                <w:sz w:val="19"/>
                <w:szCs w:val="19"/>
              </w:rPr>
              <w:t xml:space="preserve">Primary</w:t>
            </w:r>
          </w:p>
        </w:tc>
        <w:tc>
          <w:tcPr>
            <w:tcW w:type="dxa" w:w="2000"/>
            <w:shd w:fill="F2F2F2" w:val="clear"/>
            <w:tcMar>
              <w:top w:type="dxa" w:w="80"/>
              <w:left w:type="dxa" w:w="120"/>
              <w:bottom w:type="dxa" w:w="80"/>
              <w:right w:type="dxa" w:w="120"/>
            </w:tcMar>
            <w:vAlign w:val="center"/>
          </w:tcPr>
          <w:p>
            <w:r>
              <w:rPr>
                <w:sz w:val="19"/>
                <w:szCs w:val="19"/>
              </w:rPr>
              <w:t xml:space="preserve">Planned</w:t>
            </w:r>
          </w:p>
        </w:tc>
      </w:tr>
      <w:tr>
        <w:tc>
          <w:tcPr>
            <w:tcW w:type="dxa" w:w="3600"/>
            <w:tcMar>
              <w:top w:type="dxa" w:w="80"/>
              <w:left w:type="dxa" w:w="120"/>
              <w:bottom w:type="dxa" w:w="80"/>
              <w:right w:type="dxa" w:w="120"/>
            </w:tcMar>
            <w:vAlign w:val="center"/>
          </w:tcPr>
          <w:p>
            <w:r>
              <w:rPr>
                <w:sz w:val="19"/>
                <w:szCs w:val="19"/>
              </w:rPr>
              <w:t xml:space="preserve">Plotly Visualisation System</w:t>
            </w:r>
          </w:p>
        </w:tc>
        <w:tc>
          <w:tcPr>
            <w:tcW w:type="dxa" w:w="1800"/>
            <w:tcMar>
              <w:top w:type="dxa" w:w="80"/>
              <w:left w:type="dxa" w:w="120"/>
              <w:bottom w:type="dxa" w:w="80"/>
              <w:right w:type="dxa" w:w="120"/>
            </w:tcMar>
            <w:vAlign w:val="center"/>
          </w:tcPr>
          <w:p>
            <w:r>
              <w:rPr>
                <w:sz w:val="19"/>
                <w:szCs w:val="19"/>
              </w:rPr>
              <w:t xml:space="preserve">Support</w:t>
            </w:r>
          </w:p>
        </w:tc>
        <w:tc>
          <w:tcPr>
            <w:tcW w:type="dxa" w:w="1800"/>
            <w:tcMar>
              <w:top w:type="dxa" w:w="80"/>
              <w:left w:type="dxa" w:w="120"/>
              <w:bottom w:type="dxa" w:w="80"/>
              <w:right w:type="dxa" w:w="120"/>
            </w:tcMar>
            <w:vAlign w:val="center"/>
          </w:tcPr>
          <w:p>
            <w:r>
              <w:rPr>
                <w:sz w:val="19"/>
                <w:szCs w:val="19"/>
              </w:rPr>
              <w:t xml:space="preserve">Primary</w:t>
            </w:r>
          </w:p>
        </w:tc>
        <w:tc>
          <w:tcPr>
            <w:tcW w:type="dxa" w:w="2000"/>
            <w:tcMar>
              <w:top w:type="dxa" w:w="80"/>
              <w:left w:type="dxa" w:w="120"/>
              <w:bottom w:type="dxa" w:w="80"/>
              <w:right w:type="dxa" w:w="120"/>
            </w:tcMar>
            <w:vAlign w:val="center"/>
          </w:tcPr>
          <w:p>
            <w:r>
              <w:rPr>
                <w:sz w:val="19"/>
                <w:szCs w:val="19"/>
              </w:rPr>
              <w:t xml:space="preserve">Planned</w:t>
            </w:r>
          </w:p>
        </w:tc>
      </w:tr>
      <w:tr>
        <w:tc>
          <w:tcPr>
            <w:tcW w:type="dxa" w:w="3600"/>
            <w:shd w:fill="F2F2F2" w:val="clear"/>
            <w:tcMar>
              <w:top w:type="dxa" w:w="80"/>
              <w:left w:type="dxa" w:w="120"/>
              <w:bottom w:type="dxa" w:w="80"/>
              <w:right w:type="dxa" w:w="120"/>
            </w:tcMar>
            <w:vAlign w:val="center"/>
          </w:tcPr>
          <w:p>
            <w:r>
              <w:rPr>
                <w:sz w:val="19"/>
                <w:szCs w:val="19"/>
              </w:rPr>
              <w:t xml:space="preserve">Testing &amp; Integration</w:t>
            </w:r>
          </w:p>
        </w:tc>
        <w:tc>
          <w:tcPr>
            <w:tcW w:type="dxa" w:w="1800"/>
            <w:shd w:fill="F2F2F2" w:val="clear"/>
            <w:tcMar>
              <w:top w:type="dxa" w:w="80"/>
              <w:left w:type="dxa" w:w="120"/>
              <w:bottom w:type="dxa" w:w="80"/>
              <w:right w:type="dxa" w:w="120"/>
            </w:tcMar>
            <w:vAlign w:val="center"/>
          </w:tcPr>
          <w:p>
            <w:r>
              <w:rPr>
                <w:sz w:val="19"/>
                <w:szCs w:val="19"/>
              </w:rPr>
              <w:t xml:space="preserve">Both</w:t>
            </w:r>
          </w:p>
        </w:tc>
        <w:tc>
          <w:tcPr>
            <w:tcW w:type="dxa" w:w="1800"/>
            <w:shd w:fill="F2F2F2" w:val="clear"/>
            <w:tcMar>
              <w:top w:type="dxa" w:w="80"/>
              <w:left w:type="dxa" w:w="120"/>
              <w:bottom w:type="dxa" w:w="80"/>
              <w:right w:type="dxa" w:w="120"/>
            </w:tcMar>
            <w:vAlign w:val="center"/>
          </w:tcPr>
          <w:p>
            <w:r>
              <w:rPr>
                <w:sz w:val="19"/>
                <w:szCs w:val="19"/>
              </w:rPr>
              <w:t xml:space="preserve">Both</w:t>
            </w:r>
          </w:p>
        </w:tc>
        <w:tc>
          <w:tcPr>
            <w:tcW w:type="dxa" w:w="2000"/>
            <w:shd w:fill="F2F2F2" w:val="clear"/>
            <w:tcMar>
              <w:top w:type="dxa" w:w="80"/>
              <w:left w:type="dxa" w:w="120"/>
              <w:bottom w:type="dxa" w:w="80"/>
              <w:right w:type="dxa" w:w="120"/>
            </w:tcMar>
            <w:vAlign w:val="center"/>
          </w:tcPr>
          <w:p>
            <w:r>
              <w:rPr>
                <w:sz w:val="19"/>
                <w:szCs w:val="19"/>
              </w:rPr>
              <w:t xml:space="preserve">Ongoing</w:t>
            </w:r>
          </w:p>
        </w:tc>
      </w:tr>
      <w:tr>
        <w:tc>
          <w:tcPr>
            <w:tcW w:type="dxa" w:w="3600"/>
            <w:tcMar>
              <w:top w:type="dxa" w:w="80"/>
              <w:left w:type="dxa" w:w="120"/>
              <w:bottom w:type="dxa" w:w="80"/>
              <w:right w:type="dxa" w:w="120"/>
            </w:tcMar>
            <w:vAlign w:val="center"/>
          </w:tcPr>
          <w:p>
            <w:r>
              <w:rPr>
                <w:sz w:val="19"/>
                <w:szCs w:val="19"/>
              </w:rPr>
              <w:t xml:space="preserve">Documentation &amp; Report</w:t>
            </w:r>
          </w:p>
        </w:tc>
        <w:tc>
          <w:tcPr>
            <w:tcW w:type="dxa" w:w="1800"/>
            <w:tcMar>
              <w:top w:type="dxa" w:w="80"/>
              <w:left w:type="dxa" w:w="120"/>
              <w:bottom w:type="dxa" w:w="80"/>
              <w:right w:type="dxa" w:w="120"/>
            </w:tcMar>
            <w:vAlign w:val="center"/>
          </w:tcPr>
          <w:p>
            <w:r>
              <w:rPr>
                <w:sz w:val="19"/>
                <w:szCs w:val="19"/>
              </w:rPr>
              <w:t xml:space="preserve">Both</w:t>
            </w:r>
          </w:p>
        </w:tc>
        <w:tc>
          <w:tcPr>
            <w:tcW w:type="dxa" w:w="1800"/>
            <w:tcMar>
              <w:top w:type="dxa" w:w="80"/>
              <w:left w:type="dxa" w:w="120"/>
              <w:bottom w:type="dxa" w:w="80"/>
              <w:right w:type="dxa" w:w="120"/>
            </w:tcMar>
            <w:vAlign w:val="center"/>
          </w:tcPr>
          <w:p>
            <w:r>
              <w:rPr>
                <w:sz w:val="19"/>
                <w:szCs w:val="19"/>
              </w:rPr>
              <w:t xml:space="preserve">Both</w:t>
            </w:r>
          </w:p>
        </w:tc>
        <w:tc>
          <w:tcPr>
            <w:tcW w:type="dxa" w:w="2000"/>
            <w:tcMar>
              <w:top w:type="dxa" w:w="80"/>
              <w:left w:type="dxa" w:w="120"/>
              <w:bottom w:type="dxa" w:w="80"/>
              <w:right w:type="dxa" w:w="120"/>
            </w:tcMar>
            <w:vAlign w:val="center"/>
          </w:tcPr>
          <w:p>
            <w:r>
              <w:rPr>
                <w:sz w:val="19"/>
                <w:szCs w:val="19"/>
              </w:rPr>
              <w:t xml:space="preserve">Ongoing</w:t>
            </w:r>
          </w:p>
        </w:tc>
      </w:tr>
    </w:tbl>
    <w:p>
      <w:r>
        <w:br w:type="page"/>
      </w:r>
    </w:p>
    <w:p>
      <w:pPr>
        <w:pStyle w:val="Heading1"/>
        <w:spacing w:after="200" w:before="360"/>
      </w:pPr>
      <w:r>
        <w:rPr>
          <w:b/>
          <w:bCs/>
          <w:color w:val="1F3864"/>
          <w:sz w:val="30"/>
          <w:szCs w:val="30"/>
        </w:rPr>
        <w:t xml:space="preserve">15–16.  WBS, Gantt Chart, and Interface Mockups</w:t>
      </w:r>
    </w:p>
    <w:p>
      <w:pPr>
        <w:spacing w:after="160" w:line="276"/>
        <w:jc w:val="both"/>
      </w:pPr>
      <w:r>
        <w:rPr>
          <w:b/>
          <w:bCs/>
          <w:sz w:val="22"/>
          <w:szCs w:val="22"/>
        </w:rPr>
        <w:t xml:space="preserve">Note on this revision: </w:t>
      </w:r>
      <w:r>
        <w:rPr>
          <w:sz w:val="22"/>
          <w:szCs w:val="22"/>
        </w:rPr>
        <w:t xml:space="preserve">At the team's request, this revision pass was deliberately scoped to project idea, module structure, and technology correctness — not scheduling or visual mockups. The detailed Work Breakdown Structure, Gantt chart, and interface mockups from Version 1.0 are therefore </w:t>
      </w:r>
      <w:r>
        <w:rPr>
          <w:b/>
          <w:bCs/>
          <w:sz w:val="22"/>
          <w:szCs w:val="22"/>
        </w:rPr>
        <w:t xml:space="preserve">retained without modification</w:t>
      </w:r>
      <w:r>
        <w:rPr>
          <w:sz w:val="22"/>
          <w:szCs w:val="22"/>
        </w:rPr>
        <w:t xml:space="preserve"> and are not reproduced in this document to avoid presenting stale scheduling information as current.</w:t>
      </w:r>
    </w:p>
    <w:p>
      <w:pPr>
        <w:spacing w:after="160" w:line="276"/>
        <w:jc w:val="both"/>
      </w:pPr>
      <w:r>
        <w:rPr>
          <w:b/>
          <w:bCs/>
          <w:sz w:val="22"/>
          <w:szCs w:val="22"/>
        </w:rPr>
        <w:t xml:space="preserve">Follow-up required before Version 2.0 is schedule-complete: </w:t>
      </w:r>
      <w:r>
        <w:rPr>
          <w:sz w:val="22"/>
          <w:szCs w:val="22"/>
        </w:rPr>
        <w:t xml:space="preserve">Two new sub-modules (1.6 Physics Validation &amp; Literature Benchmarking, and 2.8 Uncertainty Quantification &amp; Trust Layer) and several revised sub-modules (1.2, 1.3, 2.2, 2.6) now exist that were not represented in the original WBS/Gantt chart. The Module-Based Work Division table in Section 14 has been updated to include ownership for these, but task-level scheduling, effort estimation, and the Gantt timeline itself should be revisited as a dedicated follow-up pass once the team is ready to plan execution — this was intentionally treated as a separate exercise from the technical correction performed in this revision.</w:t>
      </w:r>
    </w:p>
    <w:p>
      <w:r>
        <w:br w:type="page"/>
      </w:r>
    </w:p>
    <w:p>
      <w:pPr>
        <w:pStyle w:val="Heading1"/>
        <w:spacing w:after="200" w:before="360"/>
      </w:pPr>
      <w:r>
        <w:rPr>
          <w:b/>
          <w:bCs/>
          <w:color w:val="1F3864"/>
          <w:sz w:val="30"/>
          <w:szCs w:val="30"/>
        </w:rPr>
        <w:t xml:space="preserve">17.  References</w:t>
      </w:r>
    </w:p>
    <w:p>
      <w:pPr>
        <w:pStyle w:val="ListParagraph"/>
        <w:numPr>
          <w:ilvl w:val="0"/>
          <w:numId w:val="2"/>
        </w:numPr>
        <w:spacing w:after="100" w:line="276"/>
      </w:pPr>
      <w:r>
        <w:rPr>
          <w:sz w:val="22"/>
          <w:szCs w:val="22"/>
        </w:rPr>
        <w:t xml:space="preserve">Lieberman, M. A., &amp; Lichtenberg, A. J. (2005). Principles of Plasma Discharges and Materials Processing (2nd ed.). Wiley-Interscience. ISBN 978-0-471-72001-0.</w:t>
      </w:r>
    </w:p>
    <w:p>
      <w:pPr>
        <w:pStyle w:val="ListParagraph"/>
        <w:numPr>
          <w:ilvl w:val="0"/>
          <w:numId w:val="2"/>
        </w:numPr>
        <w:spacing w:after="100" w:line="276"/>
      </w:pPr>
      <w:r>
        <w:rPr>
          <w:sz w:val="22"/>
          <w:szCs w:val="22"/>
        </w:rPr>
        <w:t xml:space="preserve">Chabert, P., &amp; Braithwaite, N. (2011). Physics of Radio-Frequency Plasmas. Cambridge University Press.</w:t>
      </w:r>
    </w:p>
    <w:p>
      <w:pPr>
        <w:pStyle w:val="ListParagraph"/>
        <w:numPr>
          <w:ilvl w:val="0"/>
          <w:numId w:val="2"/>
        </w:numPr>
        <w:spacing w:after="100" w:line="276"/>
      </w:pPr>
      <w:r>
        <w:rPr>
          <w:sz w:val="22"/>
          <w:szCs w:val="22"/>
        </w:rPr>
        <w:t xml:space="preserve">Hastie, T., Tibshirani, R., &amp; Friedman, J. (2009). The Elements of Statistical Learning: Data Mining, Inference, and Prediction. Springer.</w:t>
      </w:r>
    </w:p>
    <w:p>
      <w:pPr>
        <w:pStyle w:val="ListParagraph"/>
        <w:numPr>
          <w:ilvl w:val="0"/>
          <w:numId w:val="2"/>
        </w:numPr>
        <w:spacing w:after="100" w:line="276"/>
      </w:pPr>
      <w:r>
        <w:rPr>
          <w:sz w:val="22"/>
          <w:szCs w:val="22"/>
        </w:rPr>
        <w:t xml:space="preserve">Chen, T., &amp; Guestrin, C. (2016). XGBoost: A Scalable Tree Boosting System. Proceedings of ACM KDD 2016.</w:t>
      </w:r>
    </w:p>
    <w:p>
      <w:pPr>
        <w:pStyle w:val="ListParagraph"/>
        <w:numPr>
          <w:ilvl w:val="0"/>
          <w:numId w:val="2"/>
        </w:numPr>
        <w:spacing w:after="100" w:line="276"/>
      </w:pPr>
      <w:r>
        <w:rPr>
          <w:sz w:val="22"/>
          <w:szCs w:val="22"/>
        </w:rPr>
        <w:t xml:space="preserve">Liu, F. T., Ting, K. M., &amp; Zhou, Z. H. (2008). Isolation Forest. Proceedings of the 8th IEEE International Conference on Data Mining (ICDM 2008).</w:t>
      </w:r>
    </w:p>
    <w:p>
      <w:pPr>
        <w:pStyle w:val="ListParagraph"/>
        <w:numPr>
          <w:ilvl w:val="0"/>
          <w:numId w:val="2"/>
        </w:numPr>
        <w:spacing w:after="100" w:line="276"/>
      </w:pPr>
      <w:r>
        <w:rPr>
          <w:sz w:val="22"/>
          <w:szCs w:val="22"/>
        </w:rPr>
        <w:t xml:space="preserve">Montgomery, D. C. (2019). Introduction to Statistical Quality Control (8th ed.). Wiley.</w:t>
      </w:r>
    </w:p>
    <w:p>
      <w:pPr>
        <w:pStyle w:val="ListParagraph"/>
        <w:numPr>
          <w:ilvl w:val="0"/>
          <w:numId w:val="2"/>
        </w:numPr>
        <w:spacing w:after="100" w:line="276"/>
      </w:pPr>
      <w:r>
        <w:rPr>
          <w:sz w:val="22"/>
          <w:szCs w:val="22"/>
        </w:rPr>
        <w:t xml:space="preserve">Grieves, M. (2014). Digital Twin: Manufacturing Excellence through Virtual Factory Replication. Digital Manufacturing Institute White Paper.</w:t>
      </w:r>
    </w:p>
    <w:p>
      <w:pPr>
        <w:pStyle w:val="ListParagraph"/>
        <w:numPr>
          <w:ilvl w:val="0"/>
          <w:numId w:val="2"/>
        </w:numPr>
        <w:spacing w:after="100" w:line="276"/>
      </w:pPr>
      <w:r>
        <w:rPr>
          <w:sz w:val="22"/>
          <w:szCs w:val="22"/>
        </w:rPr>
        <w:t xml:space="preserve">Grieves, M., &amp; Vickers, J. (2017). Digital Twin: Mitigating Unpredictable, Undesirable Emergent Behavior in Complex Systems. Springer.</w:t>
      </w:r>
    </w:p>
    <w:p>
      <w:pPr>
        <w:pStyle w:val="ListParagraph"/>
        <w:numPr>
          <w:ilvl w:val="0"/>
          <w:numId w:val="2"/>
        </w:numPr>
        <w:spacing w:after="100" w:line="276"/>
      </w:pPr>
      <w:r>
        <w:rPr>
          <w:sz w:val="22"/>
          <w:szCs w:val="22"/>
        </w:rPr>
        <w:t xml:space="preserve">Prentice, P., &amp; Noto, G. (2019). AI-Assisted Process Monitoring in Semiconductor Manufacturing. IEEE Transactions on Semiconductor Manufacturing, 32(4), 512–521.</w:t>
      </w:r>
    </w:p>
    <w:p>
      <w:pPr>
        <w:pStyle w:val="ListParagraph"/>
        <w:numPr>
          <w:ilvl w:val="0"/>
          <w:numId w:val="2"/>
        </w:numPr>
        <w:spacing w:after="100" w:line="276"/>
      </w:pPr>
      <w:r>
        <w:rPr>
          <w:sz w:val="22"/>
          <w:szCs w:val="22"/>
        </w:rPr>
        <w:t xml:space="preserve">IEEE Xplore Digital Library — Plasma Physics and Semiconductor Processing Research Collection. Available: https://ieeexplore.ieee.org</w:t>
      </w:r>
    </w:p>
    <w:p>
      <w:pPr>
        <w:pStyle w:val="ListParagraph"/>
        <w:numPr>
          <w:ilvl w:val="0"/>
          <w:numId w:val="2"/>
        </w:numPr>
        <w:spacing w:after="100" w:line="276"/>
      </w:pPr>
      <w:r>
        <w:rPr>
          <w:sz w:val="22"/>
          <w:szCs w:val="22"/>
        </w:rPr>
        <w:t xml:space="preserve">ScienceDirect Plasma Research Publications — Elsevier. Available: https://www.sciencedirect.com</w:t>
      </w:r>
    </w:p>
    <w:p>
      <w:pPr>
        <w:pStyle w:val="ListParagraph"/>
        <w:numPr>
          <w:ilvl w:val="0"/>
          <w:numId w:val="2"/>
        </w:numPr>
        <w:spacing w:after="100" w:line="276"/>
      </w:pPr>
      <w:r>
        <w:rPr>
          <w:sz w:val="22"/>
          <w:szCs w:val="22"/>
        </w:rPr>
        <w:t xml:space="preserve">PlasmaPy Community. (2023). PlasmaPy Documentation v2023.1. Available: https://docs.plasmapy.org</w:t>
      </w:r>
    </w:p>
    <w:p>
      <w:pPr>
        <w:pStyle w:val="ListParagraph"/>
        <w:numPr>
          <w:ilvl w:val="0"/>
          <w:numId w:val="2"/>
        </w:numPr>
        <w:spacing w:after="100" w:line="276"/>
      </w:pPr>
      <w:r>
        <w:rPr>
          <w:sz w:val="22"/>
          <w:szCs w:val="22"/>
        </w:rPr>
        <w:t xml:space="preserve">Streamlit Inc. (2024). Streamlit Documentation. Available: https://docs.streamlit.io</w:t>
      </w:r>
    </w:p>
    <w:p>
      <w:pPr>
        <w:pStyle w:val="ListParagraph"/>
        <w:numPr>
          <w:ilvl w:val="0"/>
          <w:numId w:val="2"/>
        </w:numPr>
        <w:spacing w:after="100" w:line="276"/>
      </w:pPr>
      <w:r>
        <w:rPr>
          <w:sz w:val="22"/>
          <w:szCs w:val="22"/>
        </w:rPr>
        <w:t xml:space="preserve">Pedregosa, F., et al. (2011). Scikit-learn: Machine Learning in Python. Journal of Machine Learning Research, 12, 2825–2830.</w:t>
      </w:r>
    </w:p>
    <w:p>
      <w:pPr>
        <w:pStyle w:val="ListParagraph"/>
        <w:numPr>
          <w:ilvl w:val="0"/>
          <w:numId w:val="2"/>
        </w:numPr>
        <w:spacing w:after="100" w:line="276"/>
      </w:pPr>
      <w:r>
        <w:rPr>
          <w:sz w:val="22"/>
          <w:szCs w:val="22"/>
        </w:rPr>
        <w:t xml:space="preserve">Lundberg, S. M., &amp; Lee, S. I. (2017). A Unified Approach to Interpreting Model Predictions. </w:t>
      </w:r>
      <w:r>
        <w:rPr>
          <w:i/>
          <w:iCs/>
          <w:sz w:val="22"/>
          <w:szCs w:val="22"/>
        </w:rPr>
        <w:t xml:space="preserve">Advances in Neural Information Processing Systems (NeurIPS) 30.</w:t>
      </w:r>
      <w:r>
        <w:rPr>
          <w:b/>
          <w:bCs/>
          <w:color w:val="2E7D32"/>
          <w:sz w:val="18"/>
          <w:szCs w:val="18"/>
        </w:rPr>
        <w:t xml:space="preserve">  [NEW]</w:t>
      </w:r>
    </w:p>
    <w:p>
      <w:pPr>
        <w:pStyle w:val="ListParagraph"/>
        <w:numPr>
          <w:ilvl w:val="0"/>
          <w:numId w:val="2"/>
        </w:numPr>
        <w:spacing w:after="100" w:line="276"/>
      </w:pPr>
      <w:r>
        <w:rPr>
          <w:sz w:val="22"/>
          <w:szCs w:val="22"/>
        </w:rPr>
        <w:t xml:space="preserve">Zaharia, M., et al. (2018). Accelerating the Machine Learning Lifecycle with MLflow. </w:t>
      </w:r>
      <w:r>
        <w:rPr>
          <w:i/>
          <w:iCs/>
          <w:sz w:val="22"/>
          <w:szCs w:val="22"/>
        </w:rPr>
        <w:t xml:space="preserve">IEEE Data Engineering Bulletin, 41</w:t>
      </w:r>
      <w:r>
        <w:rPr>
          <w:sz w:val="22"/>
          <w:szCs w:val="22"/>
        </w:rPr>
        <w:t xml:space="preserve">(4).</w:t>
      </w:r>
      <w:r>
        <w:rPr>
          <w:b/>
          <w:bCs/>
          <w:color w:val="2E7D32"/>
          <w:sz w:val="18"/>
          <w:szCs w:val="18"/>
        </w:rPr>
        <w:t xml:space="preserve">  [NEW]</w:t>
      </w:r>
    </w:p>
    <w:p>
      <w:pPr>
        <w:pStyle w:val="ListParagraph"/>
        <w:numPr>
          <w:ilvl w:val="0"/>
          <w:numId w:val="2"/>
        </w:numPr>
        <w:spacing w:after="100" w:line="276"/>
      </w:pPr>
      <w:r>
        <w:rPr>
          <w:sz w:val="22"/>
          <w:szCs w:val="22"/>
        </w:rPr>
        <w:t xml:space="preserve">Vovk, V., Gammerman, A., &amp; Shafer, G. (2005). Algorithmic Learning in a Random World. Springer.</w:t>
      </w:r>
      <w:r>
        <w:rPr>
          <w:b/>
          <w:bCs/>
          <w:color w:val="2E7D32"/>
          <w:sz w:val="18"/>
          <w:szCs w:val="18"/>
        </w:rPr>
        <w:t xml:space="preserve">  [NEW]</w:t>
      </w:r>
    </w:p>
    <w:p>
      <w:r>
        <w:br w:type="page"/>
      </w:r>
    </w:p>
    <w:p>
      <w:pPr>
        <w:pStyle w:val="Heading1"/>
        <w:spacing w:after="200" w:before="360"/>
      </w:pPr>
      <w:r>
        <w:rPr>
          <w:b/>
          <w:bCs/>
          <w:color w:val="1F3864"/>
          <w:sz w:val="30"/>
          <w:szCs w:val="30"/>
        </w:rPr>
        <w:t xml:space="preserve">18.  Plagiarism / Originality Statement</w:t>
      </w:r>
    </w:p>
    <w:p>
      <w:pPr>
        <w:spacing w:after="160" w:line="276"/>
        <w:jc w:val="both"/>
      </w:pPr>
      <w:r>
        <w:rPr>
          <w:sz w:val="22"/>
          <w:szCs w:val="22"/>
        </w:rPr>
        <w:t xml:space="preserve">The proposed project documentation has been written entirely using original technical descriptions, analytical content, and educational explanations developed specifically for this final year project. All plasma physics concepts, AI methodologies, and software architecture descriptions are derived from peer-reviewed academic literature and technical documentation, which have been properly studied, synthesised, and cited in accordance with academic integrity standards.</w:t>
      </w:r>
    </w:p>
    <w:p>
      <w:pPr>
        <w:spacing w:after="160" w:line="276"/>
        <w:jc w:val="both"/>
      </w:pPr>
      <w:r>
        <w:rPr>
          <w:sz w:val="22"/>
          <w:szCs w:val="22"/>
        </w:rPr>
        <w:t xml:space="preserve">The complete software implementation — including the Digital Twin simulation engine, AI analytics modules, Streamlit dashboard, Plotly visualisation system, SQLite data management, and all supporting sub-components — will be developed from scratch by the project team members using original code. No proprietary codebases, unlicensed third-party implementations, or AI-generated code will be included in the final submission without proper attribution.</w:t>
      </w:r>
    </w:p>
    <w:p>
      <w:pPr>
        <w:spacing w:after="160" w:line="276"/>
        <w:jc w:val="both"/>
      </w:pPr>
      <w:r>
        <w:rPr>
          <w:sz w:val="22"/>
          <w:szCs w:val="22"/>
        </w:rPr>
        <w:t xml:space="preserve">All references, research papers, technical standards, and cited resources used during development will be properly documented in the project report bibliography. The project will be submitted for plagiarism checking using COMSATS University's designated plagiarism detection service prior to final submission.</w:t>
      </w:r>
    </w:p>
    <w:p>
      <w:pPr>
        <w:pStyle w:val="Heading2"/>
        <w:spacing w:after="140" w:before="240"/>
      </w:pPr>
      <w:r>
        <w:rPr>
          <w:b/>
          <w:bCs/>
          <w:color w:val="1F3864"/>
          <w:sz w:val="25"/>
          <w:szCs w:val="25"/>
        </w:rPr>
        <w:t xml:space="preserve">Student Declarations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3200"/>
            <w:shd w:fill="1F3864" w:val="clear"/>
            <w:tcMar>
              <w:top w:type="dxa" w:w="80"/>
              <w:left w:type="dxa" w:w="120"/>
              <w:bottom w:type="dxa" w:w="80"/>
              <w:right w:type="dxa" w:w="120"/>
            </w:tcMar>
            <w:vAlign w:val="center"/>
          </w:tcPr>
          <w:p>
            <w:r>
              <w:rPr>
                <w:b/>
                <w:bCs/>
                <w:color w:val="FFFFFF"/>
                <w:sz w:val="20"/>
                <w:szCs w:val="20"/>
              </w:rPr>
              <w:t xml:space="preserve">Student 1</w:t>
            </w:r>
          </w:p>
        </w:tc>
        <w:tc>
          <w:tcPr>
            <w:tcW w:type="dxa" w:w="3200"/>
            <w:shd w:fill="1F3864" w:val="clear"/>
            <w:tcMar>
              <w:top w:type="dxa" w:w="80"/>
              <w:left w:type="dxa" w:w="120"/>
              <w:bottom w:type="dxa" w:w="80"/>
              <w:right w:type="dxa" w:w="120"/>
            </w:tcMar>
            <w:vAlign w:val="center"/>
          </w:tcPr>
          <w:p>
            <w:r>
              <w:rPr>
                <w:b/>
                <w:bCs/>
                <w:color w:val="FFFFFF"/>
                <w:sz w:val="20"/>
                <w:szCs w:val="20"/>
              </w:rPr>
              <w:t xml:space="preserve">Student 2</w:t>
            </w:r>
          </w:p>
        </w:tc>
      </w:tr>
      <w:tr>
        <w:tc>
          <w:tcPr>
            <w:tcW w:type="dxa" w:w="2800"/>
            <w:tcMar>
              <w:top w:type="dxa" w:w="80"/>
              <w:left w:type="dxa" w:w="120"/>
              <w:bottom w:type="dxa" w:w="80"/>
              <w:right w:type="dxa" w:w="120"/>
            </w:tcMar>
            <w:vAlign w:val="center"/>
          </w:tcPr>
          <w:p>
            <w:r>
              <w:rPr>
                <w:sz w:val="19"/>
                <w:szCs w:val="19"/>
              </w:rPr>
              <w:t xml:space="preserve">Full Name</w:t>
            </w:r>
          </w:p>
        </w:tc>
        <w:tc>
          <w:tcPr>
            <w:tcW w:type="dxa" w:w="3200"/>
            <w:tcMar>
              <w:top w:type="dxa" w:w="80"/>
              <w:left w:type="dxa" w:w="120"/>
              <w:bottom w:type="dxa" w:w="80"/>
              <w:right w:type="dxa" w:w="120"/>
            </w:tcMar>
            <w:vAlign w:val="center"/>
          </w:tcPr>
          <w:p>
            <w:r>
              <w:rPr>
                <w:sz w:val="19"/>
                <w:szCs w:val="19"/>
              </w:rPr>
              <w:t xml:space="preserve">Muhammad Rayyan Taimoor Khan</w:t>
            </w:r>
          </w:p>
        </w:tc>
        <w:tc>
          <w:tcPr>
            <w:tcW w:type="dxa" w:w="3200"/>
            <w:tcMar>
              <w:top w:type="dxa" w:w="80"/>
              <w:left w:type="dxa" w:w="120"/>
              <w:bottom w:type="dxa" w:w="80"/>
              <w:right w:type="dxa" w:w="120"/>
            </w:tcMar>
            <w:vAlign w:val="center"/>
          </w:tcPr>
          <w:p>
            <w:r>
              <w:rPr>
                <w:sz w:val="19"/>
                <w:szCs w:val="19"/>
              </w:rPr>
              <w:t xml:space="preserve">Sadeem ur Rehman</w:t>
            </w:r>
          </w:p>
        </w:tc>
      </w:tr>
      <w:tr>
        <w:tc>
          <w:tcPr>
            <w:tcW w:type="dxa" w:w="2800"/>
            <w:shd w:fill="F2F2F2" w:val="clear"/>
            <w:tcMar>
              <w:top w:type="dxa" w:w="80"/>
              <w:left w:type="dxa" w:w="120"/>
              <w:bottom w:type="dxa" w:w="80"/>
              <w:right w:type="dxa" w:w="120"/>
            </w:tcMar>
            <w:vAlign w:val="center"/>
          </w:tcPr>
          <w:p>
            <w:r>
              <w:rPr>
                <w:sz w:val="19"/>
                <w:szCs w:val="19"/>
              </w:rPr>
              <w:t xml:space="preserve">Registration No.</w:t>
            </w:r>
          </w:p>
        </w:tc>
        <w:tc>
          <w:tcPr>
            <w:tcW w:type="dxa" w:w="3200"/>
            <w:shd w:fill="F2F2F2" w:val="clear"/>
            <w:tcMar>
              <w:top w:type="dxa" w:w="80"/>
              <w:left w:type="dxa" w:w="120"/>
              <w:bottom w:type="dxa" w:w="80"/>
              <w:right w:type="dxa" w:w="120"/>
            </w:tcMar>
            <w:vAlign w:val="center"/>
          </w:tcPr>
          <w:p>
            <w:r>
              <w:rPr>
                <w:sz w:val="19"/>
                <w:szCs w:val="19"/>
              </w:rPr>
              <w:t xml:space="preserve">FA23-BCS-072</w:t>
            </w:r>
          </w:p>
        </w:tc>
        <w:tc>
          <w:tcPr>
            <w:tcW w:type="dxa" w:w="3200"/>
            <w:shd w:fill="F2F2F2" w:val="clear"/>
            <w:tcMar>
              <w:top w:type="dxa" w:w="80"/>
              <w:left w:type="dxa" w:w="120"/>
              <w:bottom w:type="dxa" w:w="80"/>
              <w:right w:type="dxa" w:w="120"/>
            </w:tcMar>
            <w:vAlign w:val="center"/>
          </w:tcPr>
          <w:p>
            <w:r>
              <w:rPr>
                <w:sz w:val="19"/>
                <w:szCs w:val="19"/>
              </w:rPr>
              <w:t xml:space="preserve">FA23-BCS-127</w:t>
            </w:r>
          </w:p>
        </w:tc>
      </w:tr>
      <w:tr>
        <w:tc>
          <w:tcPr>
            <w:tcW w:type="dxa" w:w="2800"/>
            <w:tcMar>
              <w:top w:type="dxa" w:w="80"/>
              <w:left w:type="dxa" w:w="120"/>
              <w:bottom w:type="dxa" w:w="80"/>
              <w:right w:type="dxa" w:w="120"/>
            </w:tcMar>
            <w:vAlign w:val="center"/>
          </w:tcPr>
          <w:p>
            <w:r>
              <w:rPr>
                <w:sz w:val="19"/>
                <w:szCs w:val="19"/>
              </w:rPr>
              <w:t xml:space="preserve">Program</w:t>
            </w:r>
          </w:p>
        </w:tc>
        <w:tc>
          <w:tcPr>
            <w:tcW w:type="dxa" w:w="3200"/>
            <w:tcMar>
              <w:top w:type="dxa" w:w="80"/>
              <w:left w:type="dxa" w:w="120"/>
              <w:bottom w:type="dxa" w:w="80"/>
              <w:right w:type="dxa" w:w="120"/>
            </w:tcMar>
            <w:vAlign w:val="center"/>
          </w:tcPr>
          <w:p>
            <w:r>
              <w:rPr>
                <w:sz w:val="19"/>
                <w:szCs w:val="19"/>
              </w:rPr>
              <w:t xml:space="preserve">BS Computer Science</w:t>
            </w:r>
          </w:p>
        </w:tc>
        <w:tc>
          <w:tcPr>
            <w:tcW w:type="dxa" w:w="3200"/>
            <w:tcMar>
              <w:top w:type="dxa" w:w="80"/>
              <w:left w:type="dxa" w:w="120"/>
              <w:bottom w:type="dxa" w:w="80"/>
              <w:right w:type="dxa" w:w="120"/>
            </w:tcMar>
            <w:vAlign w:val="center"/>
          </w:tcPr>
          <w:p>
            <w:r>
              <w:rPr>
                <w:sz w:val="19"/>
                <w:szCs w:val="19"/>
              </w:rPr>
              <w:t xml:space="preserve">BS Computer Science</w:t>
            </w:r>
          </w:p>
        </w:tc>
      </w:tr>
      <w:tr>
        <w:tc>
          <w:tcPr>
            <w:tcW w:type="dxa" w:w="2800"/>
            <w:shd w:fill="F2F2F2" w:val="clear"/>
            <w:tcMar>
              <w:top w:type="dxa" w:w="80"/>
              <w:left w:type="dxa" w:w="120"/>
              <w:bottom w:type="dxa" w:w="80"/>
              <w:right w:type="dxa" w:w="120"/>
            </w:tcMar>
            <w:vAlign w:val="center"/>
          </w:tcPr>
          <w:p>
            <w:r>
              <w:rPr>
                <w:sz w:val="19"/>
                <w:szCs w:val="19"/>
              </w:rPr>
              <w:t xml:space="preserve">Signature</w:t>
            </w:r>
          </w:p>
        </w:tc>
        <w:tc>
          <w:tcPr>
            <w:tcW w:type="dxa" w:w="3200"/>
            <w:shd w:fill="F2F2F2" w:val="clear"/>
            <w:tcMar>
              <w:top w:type="dxa" w:w="80"/>
              <w:left w:type="dxa" w:w="120"/>
              <w:bottom w:type="dxa" w:w="80"/>
              <w:right w:type="dxa" w:w="120"/>
            </w:tcMar>
            <w:vAlign w:val="center"/>
          </w:tcPr>
          <w:p>
            <w:r>
              <w:rPr>
                <w:sz w:val="19"/>
                <w:szCs w:val="19"/>
              </w:rPr>
              <w:t xml:space="preserve"/>
            </w:r>
          </w:p>
        </w:tc>
        <w:tc>
          <w:tcPr>
            <w:tcW w:type="dxa" w:w="3200"/>
            <w:shd w:fill="F2F2F2" w:val="clear"/>
            <w:tcMar>
              <w:top w:type="dxa" w:w="80"/>
              <w:left w:type="dxa" w:w="120"/>
              <w:bottom w:type="dxa" w:w="80"/>
              <w:right w:type="dxa" w:w="120"/>
            </w:tcMar>
            <w:vAlign w:val="center"/>
          </w:tcPr>
          <w:p>
            <w:r>
              <w:rPr>
                <w:sz w:val="19"/>
                <w:szCs w:val="19"/>
              </w:rPr>
              <w:t xml:space="preserve"/>
            </w:r>
          </w:p>
        </w:tc>
      </w:tr>
      <w:tr>
        <w:tc>
          <w:tcPr>
            <w:tcW w:type="dxa" w:w="2800"/>
            <w:tcMar>
              <w:top w:type="dxa" w:w="80"/>
              <w:left w:type="dxa" w:w="120"/>
              <w:bottom w:type="dxa" w:w="80"/>
              <w:right w:type="dxa" w:w="120"/>
            </w:tcMar>
            <w:vAlign w:val="center"/>
          </w:tcPr>
          <w:p>
            <w:r>
              <w:rPr>
                <w:sz w:val="19"/>
                <w:szCs w:val="19"/>
              </w:rPr>
              <w:t xml:space="preserve">Date</w:t>
            </w:r>
          </w:p>
        </w:tc>
        <w:tc>
          <w:tcPr>
            <w:tcW w:type="dxa" w:w="3200"/>
            <w:tcMar>
              <w:top w:type="dxa" w:w="80"/>
              <w:left w:type="dxa" w:w="120"/>
              <w:bottom w:type="dxa" w:w="80"/>
              <w:right w:type="dxa" w:w="120"/>
            </w:tcMar>
            <w:vAlign w:val="center"/>
          </w:tcPr>
          <w:p>
            <w:r>
              <w:rPr>
                <w:sz w:val="19"/>
                <w:szCs w:val="19"/>
              </w:rPr>
              <w:t xml:space="preserve"/>
            </w:r>
          </w:p>
        </w:tc>
        <w:tc>
          <w:tcPr>
            <w:tcW w:type="dxa" w:w="3200"/>
            <w:tcMar>
              <w:top w:type="dxa" w:w="80"/>
              <w:left w:type="dxa" w:w="120"/>
              <w:bottom w:type="dxa" w:w="80"/>
              <w:right w:type="dxa" w:w="120"/>
            </w:tcMar>
            <w:vAlign w:val="center"/>
          </w:tcPr>
          <w:p>
            <w:r>
              <w:rPr>
                <w:sz w:val="19"/>
                <w:szCs w:val="19"/>
              </w:rPr>
              <w:t xml:space="preserve"/>
            </w:r>
          </w:p>
        </w:tc>
      </w:tr>
    </w:tbl>
    <w:p>
      <w:pPr>
        <w:pStyle w:val="Heading2"/>
        <w:spacing w:after="140" w:before="240"/>
      </w:pPr>
      <w:r>
        <w:rPr>
          <w:b/>
          <w:bCs/>
          <w:color w:val="1F3864"/>
          <w:sz w:val="25"/>
          <w:szCs w:val="25"/>
        </w:rPr>
        <w:t xml:space="preserve">Supervisor 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000"/>
            <w:shd w:fill="1F3864" w:val="clear"/>
            <w:tcMar>
              <w:top w:type="dxa" w:w="80"/>
              <w:left w:type="dxa" w:w="120"/>
              <w:bottom w:type="dxa" w:w="80"/>
              <w:right w:type="dxa" w:w="120"/>
            </w:tcMar>
            <w:vAlign w:val="center"/>
          </w:tcPr>
          <w:p>
            <w:r>
              <w:rPr>
                <w:b/>
                <w:bCs/>
                <w:color w:val="FFFFFF"/>
                <w:sz w:val="20"/>
                <w:szCs w:val="20"/>
              </w:rPr>
              <w:t xml:space="preserve">Details</w:t>
            </w:r>
          </w:p>
        </w:tc>
      </w:tr>
      <w:tr>
        <w:tc>
          <w:tcPr>
            <w:tcW w:type="dxa" w:w="3000"/>
            <w:tcMar>
              <w:top w:type="dxa" w:w="80"/>
              <w:left w:type="dxa" w:w="120"/>
              <w:bottom w:type="dxa" w:w="80"/>
              <w:right w:type="dxa" w:w="120"/>
            </w:tcMar>
            <w:vAlign w:val="center"/>
          </w:tcPr>
          <w:p>
            <w:r>
              <w:rPr>
                <w:sz w:val="19"/>
                <w:szCs w:val="19"/>
              </w:rPr>
              <w:t xml:space="preserve">Supervisor Name</w:t>
            </w:r>
          </w:p>
        </w:tc>
        <w:tc>
          <w:tcPr>
            <w:tcW w:type="dxa" w:w="6000"/>
            <w:tcMar>
              <w:top w:type="dxa" w:w="80"/>
              <w:left w:type="dxa" w:w="120"/>
              <w:bottom w:type="dxa" w:w="80"/>
              <w:right w:type="dxa" w:w="120"/>
            </w:tcMar>
            <w:vAlign w:val="center"/>
          </w:tcPr>
          <w:p>
            <w:r>
              <w:rPr>
                <w:sz w:val="19"/>
                <w:szCs w:val="19"/>
              </w:rPr>
              <w:t xml:space="preserve">Dr. Majid Iqbal</w:t>
            </w:r>
          </w:p>
        </w:tc>
      </w:tr>
      <w:tr>
        <w:tc>
          <w:tcPr>
            <w:tcW w:type="dxa" w:w="3000"/>
            <w:shd w:fill="F2F2F2" w:val="clear"/>
            <w:tcMar>
              <w:top w:type="dxa" w:w="80"/>
              <w:left w:type="dxa" w:w="120"/>
              <w:bottom w:type="dxa" w:w="80"/>
              <w:right w:type="dxa" w:w="120"/>
            </w:tcMar>
            <w:vAlign w:val="center"/>
          </w:tcPr>
          <w:p>
            <w:r>
              <w:rPr>
                <w:sz w:val="19"/>
                <w:szCs w:val="19"/>
              </w:rPr>
              <w:t xml:space="preserve">Designation</w:t>
            </w:r>
          </w:p>
        </w:tc>
        <w:tc>
          <w:tcPr>
            <w:tcW w:type="dxa" w:w="6000"/>
            <w:shd w:fill="F2F2F2" w:val="clear"/>
            <w:tcMar>
              <w:top w:type="dxa" w:w="80"/>
              <w:left w:type="dxa" w:w="120"/>
              <w:bottom w:type="dxa" w:w="80"/>
              <w:right w:type="dxa" w:w="120"/>
            </w:tcMar>
            <w:vAlign w:val="center"/>
          </w:tcPr>
          <w:p>
            <w:r>
              <w:rPr>
                <w:sz w:val="19"/>
                <w:szCs w:val="19"/>
              </w:rPr>
              <w:t xml:space="preserve">Associate Professor, Department of Computer Science, COMSATS University Islamabad</w:t>
            </w:r>
          </w:p>
        </w:tc>
      </w:tr>
      <w:tr>
        <w:tc>
          <w:tcPr>
            <w:tcW w:type="dxa" w:w="3000"/>
            <w:tcMar>
              <w:top w:type="dxa" w:w="80"/>
              <w:left w:type="dxa" w:w="120"/>
              <w:bottom w:type="dxa" w:w="80"/>
              <w:right w:type="dxa" w:w="120"/>
            </w:tcMar>
            <w:vAlign w:val="center"/>
          </w:tcPr>
          <w:p>
            <w:r>
              <w:rPr>
                <w:sz w:val="19"/>
                <w:szCs w:val="19"/>
              </w:rPr>
              <w:t xml:space="preserve">Signature</w:t>
            </w:r>
          </w:p>
        </w:tc>
        <w:tc>
          <w:tcPr>
            <w:tcW w:type="dxa" w:w="6000"/>
            <w:tcMar>
              <w:top w:type="dxa" w:w="80"/>
              <w:left w:type="dxa" w:w="120"/>
              <w:bottom w:type="dxa" w:w="80"/>
              <w:right w:type="dxa" w:w="120"/>
            </w:tcMar>
            <w:vAlign w:val="center"/>
          </w:tcPr>
          <w:p>
            <w:r>
              <w:rPr>
                <w:sz w:val="19"/>
                <w:szCs w:val="19"/>
              </w:rPr>
              <w:t xml:space="preserve"/>
            </w:r>
          </w:p>
        </w:tc>
      </w:tr>
      <w:tr>
        <w:tc>
          <w:tcPr>
            <w:tcW w:type="dxa" w:w="3000"/>
            <w:shd w:fill="F2F2F2" w:val="clear"/>
            <w:tcMar>
              <w:top w:type="dxa" w:w="80"/>
              <w:left w:type="dxa" w:w="120"/>
              <w:bottom w:type="dxa" w:w="80"/>
              <w:right w:type="dxa" w:w="120"/>
            </w:tcMar>
            <w:vAlign w:val="center"/>
          </w:tcPr>
          <w:p>
            <w:r>
              <w:rPr>
                <w:sz w:val="19"/>
                <w:szCs w:val="19"/>
              </w:rPr>
              <w:t xml:space="preserve">Date</w:t>
            </w:r>
          </w:p>
        </w:tc>
        <w:tc>
          <w:tcPr>
            <w:tcW w:type="dxa" w:w="6000"/>
            <w:shd w:fill="F2F2F2" w:val="clear"/>
            <w:tcMar>
              <w:top w:type="dxa" w:w="80"/>
              <w:left w:type="dxa" w:w="120"/>
              <w:bottom w:type="dxa" w:w="80"/>
              <w:right w:type="dxa" w:w="120"/>
            </w:tcMar>
            <w:vAlign w:val="center"/>
          </w:tcPr>
          <w:p>
            <w:r>
              <w:rPr>
                <w:sz w:val="19"/>
                <w:szCs w:val="19"/>
              </w:rPr>
              <w:t xml:space="preserve"/>
            </w:r>
          </w:p>
        </w:tc>
      </w:tr>
      <w:tr>
        <w:tc>
          <w:tcPr>
            <w:tcW w:type="dxa" w:w="3000"/>
            <w:tcMar>
              <w:top w:type="dxa" w:w="80"/>
              <w:left w:type="dxa" w:w="120"/>
              <w:bottom w:type="dxa" w:w="80"/>
              <w:right w:type="dxa" w:w="120"/>
            </w:tcMar>
            <w:vAlign w:val="center"/>
          </w:tcPr>
          <w:p>
            <w:r>
              <w:rPr>
                <w:sz w:val="19"/>
                <w:szCs w:val="19"/>
              </w:rPr>
              <w:t xml:space="preserve">Comments / Remarks</w:t>
            </w:r>
          </w:p>
        </w:tc>
        <w:tc>
          <w:tcPr>
            <w:tcW w:type="dxa" w:w="6000"/>
            <w:tcMar>
              <w:top w:type="dxa" w:w="80"/>
              <w:left w:type="dxa" w:w="120"/>
              <w:bottom w:type="dxa" w:w="80"/>
              <w:right w:type="dxa" w:w="120"/>
            </w:tcMar>
            <w:vAlign w:val="center"/>
          </w:tcPr>
          <w:p>
            <w:r>
              <w:rPr>
                <w:sz w:val="19"/>
                <w:szCs w:val="19"/>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FYP Scope Document v2.0 — AI-Assisted Plasma Process Experimentation &amp; Digital Twin Analytics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2026-07-09T05:46:45.255Z</dcterms:created>
  <dcterms:modified xsi:type="dcterms:W3CDTF">2026-07-09T05:46:45.267Z</dcterms:modified>
</cp:coreProperties>
</file>

<file path=docProps/custom.xml><?xml version="1.0" encoding="utf-8"?>
<Properties xmlns="http://schemas.openxmlformats.org/officeDocument/2006/custom-properties" xmlns:vt="http://schemas.openxmlformats.org/officeDocument/2006/docPropsVTypes"/>
</file>