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60"/>
        <w:jc w:val="center"/>
      </w:pPr>
      <w:r>
        <w:rPr>
          <w:rFonts w:ascii="Arial" w:cs="Arial" w:eastAsia="Arial" w:hAnsi="Arial"/>
          <w:b/>
          <w:bCs/>
          <w:color w:val="1B2A4A"/>
          <w:sz w:val="28"/>
          <w:szCs w:val="28"/>
        </w:rPr>
        <w:t xml:space="preserve">PT GLOBAL DATAVERSE INDONESIA</w:t>
      </w:r>
    </w:p>
    <w:p>
      <w:pPr>
        <w:spacing w:after="200"/>
        <w:jc w:val="center"/>
      </w:pPr>
      <w:r>
        <w:rPr>
          <w:rFonts w:ascii="Arial" w:cs="Arial" w:eastAsia="Arial" w:hAnsi="Arial"/>
          <w:i/>
          <w:iCs/>
          <w:color w:val="2E75B6"/>
          <w:sz w:val="18"/>
          <w:szCs w:val="18"/>
        </w:rPr>
        <w:t xml:space="preserve">AI-First Enterprise Systems Integrator</w:t>
      </w:r>
    </w:p>
    <w:p>
      <w:pPr>
        <w:pBdr>
          <w:bottom w:val="single" w:color="1B2A4A" w:sz="8" w:space="1"/>
        </w:pBdr>
        <w:spacing w:after="200"/>
        <w:jc w:val="center"/>
      </w:pPr>
    </w:p>
    <w:p>
      <w:pPr>
        <w:spacing w:after="100"/>
      </w:pPr>
    </w:p>
    <w:p>
      <w:pPr>
        <w:spacing w:after="80"/>
        <w:jc w:val="center"/>
      </w:pPr>
      <w:r>
        <w:rPr>
          <w:rFonts w:ascii="Arial" w:cs="Arial" w:eastAsia="Arial" w:hAnsi="Arial"/>
          <w:b/>
          <w:bCs/>
          <w:color w:val="1B2A4A"/>
          <w:sz w:val="32"/>
          <w:szCs w:val="32"/>
        </w:rPr>
        <w:t xml:space="preserve">STANDARD OPERATING PROCEDURE</w:t>
      </w:r>
    </w:p>
    <w:p>
      <w:pPr>
        <w:spacing w:after="300"/>
        <w:jc w:val="center"/>
      </w:pPr>
      <w:r>
        <w:rPr>
          <w:rFonts w:ascii="Arial" w:cs="Arial" w:eastAsia="Arial" w:hAnsi="Arial"/>
          <w:b/>
          <w:bCs/>
          <w:color w:val="2E75B6"/>
          <w:sz w:val="26"/>
          <w:szCs w:val="26"/>
        </w:rPr>
        <w:t xml:space="preserve">OFFICIAL DOCUMENT NUMBERING SYSTEM</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none" w:sz="0"/>
              <w:left w:val="none" w:sz="0"/>
              <w:bottom w:val="single" w:color="B0BEC5" w:sz="1"/>
              <w:right w:val="none" w:sz="0"/>
            </w:tcBorders>
            <w:tcMar>
              <w:top w:type="dxa" w:w="60"/>
              <w:left w:type="dxa" w:w="80"/>
              <w:bottom w:type="dxa" w:w="60"/>
              <w:right w:type="dxa" w:w="80"/>
            </w:tcMar>
          </w:tcPr>
          <w:p>
            <w:r>
              <w:rPr>
                <w:rFonts w:ascii="Arial" w:cs="Arial" w:eastAsia="Arial" w:hAnsi="Arial"/>
                <w:b/>
                <w:bCs/>
                <w:color w:val="1B2A4A"/>
                <w:sz w:val="18"/>
                <w:szCs w:val="18"/>
              </w:rPr>
              <w:t xml:space="preserve">Document ID</w:t>
            </w:r>
          </w:p>
        </w:tc>
        <w:tc>
          <w:tcPr>
            <w:tcW w:type="dxa" w:w="3200"/>
            <w:tcBorders>
              <w:top w:val="none" w:sz="0"/>
              <w:left w:val="none" w:sz="0"/>
              <w:bottom w:val="single" w:color="B0BEC5" w:sz="1"/>
              <w:right w:val="none" w:sz="0"/>
            </w:tcBorders>
            <w:tcMar>
              <w:top w:type="dxa" w:w="60"/>
              <w:left w:type="dxa" w:w="80"/>
              <w:bottom w:type="dxa" w:w="60"/>
              <w:right w:type="dxa" w:w="80"/>
            </w:tcMar>
          </w:tcPr>
          <w:p>
            <w:r>
              <w:rPr>
                <w:rFonts w:ascii="Arial" w:cs="Arial" w:eastAsia="Arial" w:hAnsi="Arial"/>
                <w:color w:val="2D3748"/>
                <w:sz w:val="18"/>
                <w:szCs w:val="18"/>
              </w:rPr>
              <w:t xml:space="preserve">SOP/ADM/INT/IV/2026/001</w:t>
            </w:r>
          </w:p>
        </w:tc>
      </w:tr>
      <w:tr>
        <w:tc>
          <w:tcPr>
            <w:tcW w:type="dxa" w:w="2200"/>
            <w:tcBorders>
              <w:top w:val="none" w:sz="0"/>
              <w:left w:val="none" w:sz="0"/>
              <w:bottom w:val="single" w:color="B0BEC5" w:sz="1"/>
              <w:right w:val="none" w:sz="0"/>
            </w:tcBorders>
            <w:tcMar>
              <w:top w:type="dxa" w:w="60"/>
              <w:left w:type="dxa" w:w="80"/>
              <w:bottom w:type="dxa" w:w="60"/>
              <w:right w:type="dxa" w:w="80"/>
            </w:tcMar>
          </w:tcPr>
          <w:p>
            <w:r>
              <w:rPr>
                <w:rFonts w:ascii="Arial" w:cs="Arial" w:eastAsia="Arial" w:hAnsi="Arial"/>
                <w:b/>
                <w:bCs/>
                <w:color w:val="1B2A4A"/>
                <w:sz w:val="18"/>
                <w:szCs w:val="18"/>
              </w:rPr>
              <w:t xml:space="preserve">Effective Date</w:t>
            </w:r>
          </w:p>
        </w:tc>
        <w:tc>
          <w:tcPr>
            <w:tcW w:type="dxa" w:w="3200"/>
            <w:tcBorders>
              <w:top w:val="none" w:sz="0"/>
              <w:left w:val="none" w:sz="0"/>
              <w:bottom w:val="single" w:color="B0BEC5" w:sz="1"/>
              <w:right w:val="none" w:sz="0"/>
            </w:tcBorders>
            <w:tcMar>
              <w:top w:type="dxa" w:w="60"/>
              <w:left w:type="dxa" w:w="80"/>
              <w:bottom w:type="dxa" w:w="60"/>
              <w:right w:type="dxa" w:w="80"/>
            </w:tcMar>
          </w:tcPr>
          <w:p>
            <w:r>
              <w:rPr>
                <w:rFonts w:ascii="Arial" w:cs="Arial" w:eastAsia="Arial" w:hAnsi="Arial"/>
                <w:color w:val="2D3748"/>
                <w:sz w:val="18"/>
                <w:szCs w:val="18"/>
              </w:rPr>
              <w:t xml:space="preserve">20 April 2026</w:t>
            </w:r>
          </w:p>
        </w:tc>
      </w:tr>
      <w:tr>
        <w:tc>
          <w:tcPr>
            <w:tcW w:type="dxa" w:w="2200"/>
            <w:tcBorders>
              <w:top w:val="none" w:sz="0"/>
              <w:left w:val="none" w:sz="0"/>
              <w:bottom w:val="single" w:color="B0BEC5" w:sz="1"/>
              <w:right w:val="none" w:sz="0"/>
            </w:tcBorders>
            <w:tcMar>
              <w:top w:type="dxa" w:w="60"/>
              <w:left w:type="dxa" w:w="80"/>
              <w:bottom w:type="dxa" w:w="60"/>
              <w:right w:type="dxa" w:w="80"/>
            </w:tcMar>
          </w:tcPr>
          <w:p>
            <w:r>
              <w:rPr>
                <w:rFonts w:ascii="Arial" w:cs="Arial" w:eastAsia="Arial" w:hAnsi="Arial"/>
                <w:b/>
                <w:bCs/>
                <w:color w:val="1B2A4A"/>
                <w:sz w:val="18"/>
                <w:szCs w:val="18"/>
              </w:rPr>
              <w:t xml:space="preserve">Version</w:t>
            </w:r>
          </w:p>
        </w:tc>
        <w:tc>
          <w:tcPr>
            <w:tcW w:type="dxa" w:w="3200"/>
            <w:tcBorders>
              <w:top w:val="none" w:sz="0"/>
              <w:left w:val="none" w:sz="0"/>
              <w:bottom w:val="single" w:color="B0BEC5" w:sz="1"/>
              <w:right w:val="none" w:sz="0"/>
            </w:tcBorders>
            <w:tcMar>
              <w:top w:type="dxa" w:w="60"/>
              <w:left w:type="dxa" w:w="80"/>
              <w:bottom w:type="dxa" w:w="60"/>
              <w:right w:type="dxa" w:w="80"/>
            </w:tcMar>
          </w:tcPr>
          <w:p>
            <w:r>
              <w:rPr>
                <w:rFonts w:ascii="Arial" w:cs="Arial" w:eastAsia="Arial" w:hAnsi="Arial"/>
                <w:color w:val="2D3748"/>
                <w:sz w:val="18"/>
                <w:szCs w:val="18"/>
              </w:rPr>
              <w:t xml:space="preserve">1.0</w:t>
            </w:r>
          </w:p>
        </w:tc>
      </w:tr>
      <w:tr>
        <w:tc>
          <w:tcPr>
            <w:tcW w:type="dxa" w:w="2200"/>
            <w:tcBorders>
              <w:top w:val="none" w:sz="0"/>
              <w:left w:val="none" w:sz="0"/>
              <w:bottom w:val="single" w:color="B0BEC5" w:sz="1"/>
              <w:right w:val="none" w:sz="0"/>
            </w:tcBorders>
            <w:tcMar>
              <w:top w:type="dxa" w:w="60"/>
              <w:left w:type="dxa" w:w="80"/>
              <w:bottom w:type="dxa" w:w="60"/>
              <w:right w:type="dxa" w:w="80"/>
            </w:tcMar>
          </w:tcPr>
          <w:p>
            <w:r>
              <w:rPr>
                <w:rFonts w:ascii="Arial" w:cs="Arial" w:eastAsia="Arial" w:hAnsi="Arial"/>
                <w:b/>
                <w:bCs/>
                <w:color w:val="1B2A4A"/>
                <w:sz w:val="18"/>
                <w:szCs w:val="18"/>
              </w:rPr>
              <w:t xml:space="preserve">Classification</w:t>
            </w:r>
          </w:p>
        </w:tc>
        <w:tc>
          <w:tcPr>
            <w:tcW w:type="dxa" w:w="3200"/>
            <w:tcBorders>
              <w:top w:val="none" w:sz="0"/>
              <w:left w:val="none" w:sz="0"/>
              <w:bottom w:val="single" w:color="B0BEC5" w:sz="1"/>
              <w:right w:val="none" w:sz="0"/>
            </w:tcBorders>
            <w:tcMar>
              <w:top w:type="dxa" w:w="60"/>
              <w:left w:type="dxa" w:w="80"/>
              <w:bottom w:type="dxa" w:w="60"/>
              <w:right w:type="dxa" w:w="80"/>
            </w:tcMar>
          </w:tcPr>
          <w:p>
            <w:r>
              <w:rPr>
                <w:rFonts w:ascii="Arial" w:cs="Arial" w:eastAsia="Arial" w:hAnsi="Arial"/>
                <w:color w:val="2D3748"/>
                <w:sz w:val="18"/>
                <w:szCs w:val="18"/>
              </w:rPr>
              <w:t xml:space="preserve">Internal — Confidential</w:t>
            </w:r>
          </w:p>
        </w:tc>
      </w:tr>
      <w:tr>
        <w:tc>
          <w:tcPr>
            <w:tcW w:type="dxa" w:w="2200"/>
            <w:tcBorders>
              <w:top w:val="none" w:sz="0"/>
              <w:left w:val="none" w:sz="0"/>
              <w:bottom w:val="single" w:color="B0BEC5" w:sz="1"/>
              <w:right w:val="none" w:sz="0"/>
            </w:tcBorders>
            <w:tcMar>
              <w:top w:type="dxa" w:w="60"/>
              <w:left w:type="dxa" w:w="80"/>
              <w:bottom w:type="dxa" w:w="60"/>
              <w:right w:type="dxa" w:w="80"/>
            </w:tcMar>
          </w:tcPr>
          <w:p>
            <w:r>
              <w:rPr>
                <w:rFonts w:ascii="Arial" w:cs="Arial" w:eastAsia="Arial" w:hAnsi="Arial"/>
                <w:b/>
                <w:bCs/>
                <w:color w:val="1B2A4A"/>
                <w:sz w:val="18"/>
                <w:szCs w:val="18"/>
              </w:rPr>
              <w:t xml:space="preserve">Issued By</w:t>
            </w:r>
          </w:p>
        </w:tc>
        <w:tc>
          <w:tcPr>
            <w:tcW w:type="dxa" w:w="3200"/>
            <w:tcBorders>
              <w:top w:val="none" w:sz="0"/>
              <w:left w:val="none" w:sz="0"/>
              <w:bottom w:val="single" w:color="B0BEC5" w:sz="1"/>
              <w:right w:val="none" w:sz="0"/>
            </w:tcBorders>
            <w:tcMar>
              <w:top w:type="dxa" w:w="60"/>
              <w:left w:type="dxa" w:w="80"/>
              <w:bottom w:type="dxa" w:w="60"/>
              <w:right w:type="dxa" w:w="80"/>
            </w:tcMar>
          </w:tcPr>
          <w:p>
            <w:r>
              <w:rPr>
                <w:rFonts w:ascii="Arial" w:cs="Arial" w:eastAsia="Arial" w:hAnsi="Arial"/>
                <w:color w:val="2D3748"/>
                <w:sz w:val="18"/>
                <w:szCs w:val="18"/>
              </w:rPr>
              <w:t xml:space="preserve">Office of Operations</w:t>
            </w:r>
          </w:p>
        </w:tc>
      </w:tr>
    </w:tbl>
    <w:p>
      <w:r>
        <w:br w:type="page"/>
      </w:r>
    </w:p>
    <w:p>
      <w:pPr>
        <w:pBdr>
          <w:bottom w:val="single" w:color="2E75B6" w:sz="4" w:space="4"/>
        </w:pBdr>
        <w:spacing w:after="160" w:before="360"/>
      </w:pPr>
      <w:r>
        <w:rPr>
          <w:rFonts w:ascii="Arial" w:cs="Arial" w:eastAsia="Arial" w:hAnsi="Arial"/>
          <w:b/>
          <w:bCs/>
          <w:color w:val="1B2A4A"/>
          <w:sz w:val="24"/>
          <w:szCs w:val="24"/>
        </w:rPr>
        <w:t xml:space="preserve">1. PURPOSE AND SCOPE</w:t>
      </w:r>
    </w:p>
    <w:p>
      <w:pPr>
        <w:spacing w:after="200" w:line="276"/>
        <w:jc w:val="both"/>
      </w:pPr>
      <w:r>
        <w:rPr>
          <w:rFonts w:ascii="Arial" w:cs="Arial" w:eastAsia="Arial" w:hAnsi="Arial"/>
          <w:color w:val="2D3748"/>
          <w:sz w:val="21"/>
          <w:szCs w:val="21"/>
        </w:rPr>
        <w:t xml:space="preserve">This Standard Operating Procedure establishes the mandatory document numbering convention for all official documents produced, issued, or distributed by PT Global Dataverse Indonesia (GDI). It applies to every business unit, project team, and administrative function within the organization.</w:t>
      </w:r>
    </w:p>
    <w:p>
      <w:pPr>
        <w:spacing w:after="200" w:line="276"/>
        <w:jc w:val="both"/>
      </w:pPr>
      <w:r>
        <w:rPr>
          <w:rFonts w:ascii="Arial" w:cs="Arial" w:eastAsia="Arial" w:hAnsi="Arial"/>
          <w:color w:val="2D3748"/>
          <w:sz w:val="21"/>
          <w:szCs w:val="21"/>
        </w:rPr>
        <w:t xml:space="preserve">A consistent and traceable numbering system is a foundational requirement for any professional services firm operating in enterprise technology. Without it, document retrieval becomes unreliable, version control breaks down, and audit readiness deteriorates. This procedure eliminates those risks by defining a single, enforceable standard that every GDI document must follow from the date of its adoption.</w:t>
      </w:r>
    </w:p>
    <w:p>
      <w:pPr>
        <w:pBdr>
          <w:bottom w:val="single" w:color="2E75B6" w:sz="4" w:space="4"/>
        </w:pBdr>
        <w:spacing w:after="160" w:before="360"/>
      </w:pPr>
      <w:r>
        <w:rPr>
          <w:rFonts w:ascii="Arial" w:cs="Arial" w:eastAsia="Arial" w:hAnsi="Arial"/>
          <w:b/>
          <w:bCs/>
          <w:color w:val="1B2A4A"/>
          <w:sz w:val="24"/>
          <w:szCs w:val="24"/>
        </w:rPr>
        <w:t xml:space="preserve">2. AUTHORITY AND ENFORCEMENT</w:t>
      </w:r>
    </w:p>
    <w:p>
      <w:pPr>
        <w:spacing w:after="200" w:line="276"/>
        <w:jc w:val="both"/>
      </w:pPr>
      <w:r>
        <w:rPr>
          <w:rFonts w:ascii="Arial" w:cs="Arial" w:eastAsia="Arial" w:hAnsi="Arial"/>
          <w:color w:val="2D3748"/>
          <w:sz w:val="21"/>
          <w:szCs w:val="21"/>
        </w:rPr>
        <w:t xml:space="preserve">This SOP is issued under the authority of the GDI co-founding leadership and is binding on all personnel, contractors, and affiliates who produce documents on behalf of PT Global Dataverse Indonesia. Non-compliance will be treated as a procedural violation subject to internal review.</w:t>
      </w:r>
    </w:p>
    <w:p>
      <w:pPr>
        <w:spacing w:after="200" w:line="276"/>
        <w:jc w:val="both"/>
      </w:pPr>
      <w:r>
        <w:rPr>
          <w:rFonts w:ascii="Arial" w:cs="Arial" w:eastAsia="Arial" w:hAnsi="Arial"/>
          <w:color w:val="2D3748"/>
          <w:sz w:val="21"/>
          <w:szCs w:val="21"/>
        </w:rPr>
        <w:t xml:space="preserve">The Office of Operations is designated as the custodian of this standard and holds responsibility for maintaining the Document Type Registry, arbitrating disputes over code assignments, and conducting periodic compliance audits.</w:t>
      </w:r>
    </w:p>
    <w:p>
      <w:pPr>
        <w:pBdr>
          <w:bottom w:val="single" w:color="2E75B6" w:sz="4" w:space="4"/>
        </w:pBdr>
        <w:spacing w:after="160" w:before="360"/>
      </w:pPr>
      <w:r>
        <w:rPr>
          <w:rFonts w:ascii="Arial" w:cs="Arial" w:eastAsia="Arial" w:hAnsi="Arial"/>
          <w:b/>
          <w:bCs/>
          <w:color w:val="1B2A4A"/>
          <w:sz w:val="24"/>
          <w:szCs w:val="24"/>
        </w:rPr>
        <w:t xml:space="preserve">3. NUMBERING STRUCTURE</w:t>
      </w:r>
    </w:p>
    <w:p>
      <w:pPr>
        <w:spacing w:after="200" w:line="276"/>
        <w:jc w:val="both"/>
      </w:pPr>
      <w:r>
        <w:rPr>
          <w:rFonts w:ascii="Arial" w:cs="Arial" w:eastAsia="Arial" w:hAnsi="Arial"/>
          <w:color w:val="2D3748"/>
          <w:sz w:val="21"/>
          <w:szCs w:val="21"/>
        </w:rPr>
        <w:t xml:space="preserve">Every official GDI document shall bear a unique identifier constructed from six concatenated components, separated by a forward slash (/). The complete format is defined as follows: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single" w:color="2E75B6" w:sz="6"/>
              <w:bottom w:val="single" w:color="2E75B6" w:sz="6"/>
              <w:right w:val="single" w:color="2E75B6" w:sz="6"/>
            </w:tcBorders>
            <w:shd w:fill="EDF2F7" w:val="clear"/>
            <w:tcMar>
              <w:top w:type="dxa" w:w="200"/>
              <w:left w:type="dxa" w:w="300"/>
              <w:bottom w:type="dxa" w:w="200"/>
              <w:right w:type="dxa" w:w="300"/>
            </w:tcMar>
          </w:tcPr>
          <w:p>
            <w:pPr>
              <w:spacing w:after="100"/>
              <w:jc w:val="center"/>
            </w:pPr>
            <w:r>
              <w:rPr>
                <w:rFonts w:ascii="Arial" w:cs="Arial" w:eastAsia="Arial" w:hAnsi="Arial"/>
                <w:b/>
                <w:bCs/>
                <w:color w:val="2E75B6"/>
                <w:sz w:val="18"/>
                <w:szCs w:val="18"/>
              </w:rPr>
              <w:t xml:space="preserve">STANDARD FORMAT</w:t>
            </w:r>
          </w:p>
          <w:p>
            <w:pPr>
              <w:spacing w:after="0"/>
              <w:jc w:val="center"/>
            </w:pPr>
            <w:r>
              <w:rPr>
                <w:rFonts w:ascii="Consolas" w:cs="Consolas" w:eastAsia="Consolas" w:hAnsi="Consolas"/>
                <w:b/>
                <w:bCs/>
                <w:color w:val="1B2A4A"/>
                <w:sz w:val="24"/>
                <w:szCs w:val="24"/>
              </w:rPr>
              <w:t xml:space="preserve">GDI / [DOCUMENT TYPE] / [PROJECT CODE] / [ROMAN MONTH] / [YEAR] / [SEQUENCE]</w:t>
            </w:r>
          </w:p>
        </w:tc>
      </w:tr>
    </w:tbl>
    <w:p>
      <w:pPr>
        <w:spacing w:after="120"/>
      </w:pPr>
    </w:p>
    <w:p>
      <w:pPr>
        <w:spacing w:after="200" w:line="276"/>
        <w:jc w:val="both"/>
      </w:pPr>
      <w:r>
        <w:rPr>
          <w:rFonts w:ascii="Arial" w:cs="Arial" w:eastAsia="Arial" w:hAnsi="Arial"/>
          <w:color w:val="2D3748"/>
          <w:sz w:val="21"/>
          <w:szCs w:val="21"/>
        </w:rPr>
        <w:t xml:space="preserve">Each component carries a specific function within the identifier. The following table provides a detailed specification of every element: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c>
          <w:tcPr>
            <w:tcW w:type="dxa" w:w="2200"/>
            <w:tcBorders>
              <w:top w:val="single" w:color="B0BEC5" w:sz="1"/>
              <w:left w:val="single" w:color="B0BEC5" w:sz="1"/>
              <w:bottom w:val="single" w:color="B0BEC5" w:sz="1"/>
              <w:right w:val="single" w:color="B0BEC5"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Component</w:t>
            </w:r>
          </w:p>
        </w:tc>
        <w:tc>
          <w:tcPr>
            <w:tcW w:type="dxa" w:w="2400"/>
            <w:tcBorders>
              <w:top w:val="single" w:color="B0BEC5" w:sz="1"/>
              <w:left w:val="single" w:color="B0BEC5" w:sz="1"/>
              <w:bottom w:val="single" w:color="B0BEC5" w:sz="1"/>
              <w:right w:val="single" w:color="B0BEC5"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Format</w:t>
            </w:r>
          </w:p>
        </w:tc>
        <w:tc>
          <w:tcPr>
            <w:tcW w:type="dxa" w:w="4426"/>
            <w:tcBorders>
              <w:top w:val="single" w:color="B0BEC5" w:sz="1"/>
              <w:left w:val="single" w:color="B0BEC5" w:sz="1"/>
              <w:bottom w:val="single" w:color="B0BEC5" w:sz="1"/>
              <w:right w:val="single" w:color="B0BEC5"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Specification</w:t>
            </w:r>
          </w:p>
        </w:tc>
      </w:tr>
      <w:tr>
        <w:tc>
          <w:tcPr>
            <w:tcW w:type="dxa" w:w="2200"/>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Company Identifier</w:t>
            </w:r>
          </w:p>
        </w:tc>
        <w:tc>
          <w:tcPr>
            <w:tcW w:type="dxa" w:w="2400"/>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GDI</w:t>
            </w:r>
          </w:p>
        </w:tc>
        <w:tc>
          <w:tcPr>
            <w:tcW w:type="dxa" w:w="4426"/>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Fixed prefix representing PT Global Dataverse Indonesia. Present on all documents without exception.</w:t>
            </w:r>
          </w:p>
        </w:tc>
      </w:tr>
      <w:tr>
        <w:tc>
          <w:tcPr>
            <w:tcW w:type="dxa" w:w="2200"/>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Document Type</w:t>
            </w:r>
          </w:p>
        </w:tc>
        <w:tc>
          <w:tcPr>
            <w:tcW w:type="dxa" w:w="2400"/>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Alphabetic code</w:t>
            </w:r>
          </w:p>
        </w:tc>
        <w:tc>
          <w:tcPr>
            <w:tcW w:type="dxa" w:w="4426"/>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Standardized abbreviation identifying the category of document (see Section 4 for the complete registry).</w:t>
            </w:r>
          </w:p>
        </w:tc>
      </w:tr>
      <w:tr>
        <w:tc>
          <w:tcPr>
            <w:tcW w:type="dxa" w:w="2200"/>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Project Code</w:t>
            </w:r>
          </w:p>
        </w:tc>
        <w:tc>
          <w:tcPr>
            <w:tcW w:type="dxa" w:w="2400"/>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3-letter code</w:t>
            </w:r>
          </w:p>
        </w:tc>
        <w:tc>
          <w:tcPr>
            <w:tcW w:type="dxa" w:w="4426"/>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Assigned per project or engagement. Internal matters use INT. Codes are defined at project inception and remain fixed.</w:t>
            </w:r>
          </w:p>
        </w:tc>
      </w:tr>
      <w:tr>
        <w:tc>
          <w:tcPr>
            <w:tcW w:type="dxa" w:w="2200"/>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Month of Issuance</w:t>
            </w:r>
          </w:p>
        </w:tc>
        <w:tc>
          <w:tcPr>
            <w:tcW w:type="dxa" w:w="2400"/>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Roman numeral (I–XII)</w:t>
            </w:r>
          </w:p>
        </w:tc>
        <w:tc>
          <w:tcPr>
            <w:tcW w:type="dxa" w:w="4426"/>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The calendar month in which the document is formally issued. Numeric month notation is not permitted.</w:t>
            </w:r>
          </w:p>
        </w:tc>
      </w:tr>
      <w:tr>
        <w:tc>
          <w:tcPr>
            <w:tcW w:type="dxa" w:w="2200"/>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Year of Issuance</w:t>
            </w:r>
          </w:p>
        </w:tc>
        <w:tc>
          <w:tcPr>
            <w:tcW w:type="dxa" w:w="2400"/>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4-digit year</w:t>
            </w:r>
          </w:p>
        </w:tc>
        <w:tc>
          <w:tcPr>
            <w:tcW w:type="dxa" w:w="4426"/>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The full calendar year of issuance (e.g., 2026). Two-digit year abbreviations are not accepted.</w:t>
            </w:r>
          </w:p>
        </w:tc>
      </w:tr>
      <w:tr>
        <w:tc>
          <w:tcPr>
            <w:tcW w:type="dxa" w:w="2200"/>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Sequence Number</w:t>
            </w:r>
          </w:p>
        </w:tc>
        <w:tc>
          <w:tcPr>
            <w:tcW w:type="dxa" w:w="2400"/>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3-digit zero-padded</w:t>
            </w:r>
          </w:p>
        </w:tc>
        <w:tc>
          <w:tcPr>
            <w:tcW w:type="dxa" w:w="4426"/>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A sequential counter (001, 002, ...) that resets under conditions defined in Section 6.</w:t>
            </w:r>
          </w:p>
        </w:tc>
      </w:tr>
    </w:tbl>
    <w:p>
      <w:pPr>
        <w:pBdr>
          <w:bottom w:val="single" w:color="2E75B6" w:sz="4" w:space="4"/>
        </w:pBdr>
        <w:spacing w:after="160" w:before="360"/>
      </w:pPr>
      <w:r>
        <w:rPr>
          <w:rFonts w:ascii="Arial" w:cs="Arial" w:eastAsia="Arial" w:hAnsi="Arial"/>
          <w:b/>
          <w:bCs/>
          <w:color w:val="1B2A4A"/>
          <w:sz w:val="24"/>
          <w:szCs w:val="24"/>
        </w:rPr>
        <w:t xml:space="preserve">4. DOCUMENT TYPE REGISTRY</w:t>
      </w:r>
    </w:p>
    <w:p>
      <w:pPr>
        <w:spacing w:after="200" w:line="276"/>
        <w:jc w:val="both"/>
      </w:pPr>
      <w:r>
        <w:rPr>
          <w:rFonts w:ascii="Arial" w:cs="Arial" w:eastAsia="Arial" w:hAnsi="Arial"/>
          <w:color w:val="2D3748"/>
          <w:sz w:val="21"/>
          <w:szCs w:val="21"/>
        </w:rPr>
        <w:t xml:space="preserve">The Document Type Registry below defines the authorized codes for use in the second component of the numbering format. New document types may only be added through a formal request to the Office of Operations. Unofficial or improvised codes are not permitted under any circumstance.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c>
          <w:tcPr>
            <w:tcW w:type="dxa" w:w="1500"/>
            <w:tcBorders>
              <w:top w:val="single" w:color="B0BEC5" w:sz="1"/>
              <w:left w:val="single" w:color="B0BEC5" w:sz="1"/>
              <w:bottom w:val="single" w:color="B0BEC5" w:sz="1"/>
              <w:right w:val="single" w:color="B0BEC5"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Code</w:t>
            </w:r>
          </w:p>
        </w:tc>
        <w:tc>
          <w:tcPr>
            <w:tcW w:type="dxa" w:w="3200"/>
            <w:tcBorders>
              <w:top w:val="single" w:color="B0BEC5" w:sz="1"/>
              <w:left w:val="single" w:color="B0BEC5" w:sz="1"/>
              <w:bottom w:val="single" w:color="B0BEC5" w:sz="1"/>
              <w:right w:val="single" w:color="B0BEC5"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Document Type</w:t>
            </w:r>
          </w:p>
        </w:tc>
        <w:tc>
          <w:tcPr>
            <w:tcW w:type="dxa" w:w="4326"/>
            <w:tcBorders>
              <w:top w:val="single" w:color="B0BEC5" w:sz="1"/>
              <w:left w:val="single" w:color="B0BEC5" w:sz="1"/>
              <w:bottom w:val="single" w:color="B0BEC5" w:sz="1"/>
              <w:right w:val="single" w:color="B0BEC5"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Description</w:t>
            </w:r>
          </w:p>
        </w:tc>
      </w:tr>
      <w:tr>
        <w:tc>
          <w:tcPr>
            <w:tcW w:type="dxa" w:w="1500"/>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PROP</w:t>
            </w:r>
          </w:p>
        </w:tc>
        <w:tc>
          <w:tcPr>
            <w:tcW w:type="dxa" w:w="3200"/>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Proposal</w:t>
            </w:r>
          </w:p>
        </w:tc>
        <w:tc>
          <w:tcPr>
            <w:tcW w:type="dxa" w:w="4326"/>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Commercial or technical proposals submitted to prospective clients</w:t>
            </w:r>
          </w:p>
        </w:tc>
      </w:tr>
      <w:tr>
        <w:tc>
          <w:tcPr>
            <w:tcW w:type="dxa" w:w="1500"/>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RAB</w:t>
            </w:r>
          </w:p>
        </w:tc>
        <w:tc>
          <w:tcPr>
            <w:tcW w:type="dxa" w:w="3200"/>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Rencana Anggaran Biaya</w:t>
            </w:r>
          </w:p>
        </w:tc>
        <w:tc>
          <w:tcPr>
            <w:tcW w:type="dxa" w:w="4326"/>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Cost estimation and budget planning documents</w:t>
            </w:r>
          </w:p>
        </w:tc>
      </w:tr>
      <w:tr>
        <w:tc>
          <w:tcPr>
            <w:tcW w:type="dxa" w:w="1500"/>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INV</w:t>
            </w:r>
          </w:p>
        </w:tc>
        <w:tc>
          <w:tcPr>
            <w:tcW w:type="dxa" w:w="3200"/>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Invoice</w:t>
            </w:r>
          </w:p>
        </w:tc>
        <w:tc>
          <w:tcPr>
            <w:tcW w:type="dxa" w:w="4326"/>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Billing documents issued for services rendered or products delivered</w:t>
            </w:r>
          </w:p>
        </w:tc>
      </w:tr>
      <w:tr>
        <w:tc>
          <w:tcPr>
            <w:tcW w:type="dxa" w:w="1500"/>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QUO</w:t>
            </w:r>
          </w:p>
        </w:tc>
        <w:tc>
          <w:tcPr>
            <w:tcW w:type="dxa" w:w="3200"/>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Quotation</w:t>
            </w:r>
          </w:p>
        </w:tc>
        <w:tc>
          <w:tcPr>
            <w:tcW w:type="dxa" w:w="4326"/>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Price quotations provided in response to client inquiries</w:t>
            </w:r>
          </w:p>
        </w:tc>
      </w:tr>
      <w:tr>
        <w:tc>
          <w:tcPr>
            <w:tcW w:type="dxa" w:w="1500"/>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AGR</w:t>
            </w:r>
          </w:p>
        </w:tc>
        <w:tc>
          <w:tcPr>
            <w:tcW w:type="dxa" w:w="3200"/>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Agreement</w:t>
            </w:r>
          </w:p>
        </w:tc>
        <w:tc>
          <w:tcPr>
            <w:tcW w:type="dxa" w:w="4326"/>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Binding agreements, contracts, and memoranda of understanding</w:t>
            </w:r>
          </w:p>
        </w:tc>
      </w:tr>
      <w:tr>
        <w:tc>
          <w:tcPr>
            <w:tcW w:type="dxa" w:w="1500"/>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NDA</w:t>
            </w:r>
          </w:p>
        </w:tc>
        <w:tc>
          <w:tcPr>
            <w:tcW w:type="dxa" w:w="3200"/>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Non-Disclosure Agreement</w:t>
            </w:r>
          </w:p>
        </w:tc>
        <w:tc>
          <w:tcPr>
            <w:tcW w:type="dxa" w:w="4326"/>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Confidentiality agreements governing the exchange of proprietary information</w:t>
            </w:r>
          </w:p>
        </w:tc>
      </w:tr>
      <w:tr>
        <w:tc>
          <w:tcPr>
            <w:tcW w:type="dxa" w:w="1500"/>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REP</w:t>
            </w:r>
          </w:p>
        </w:tc>
        <w:tc>
          <w:tcPr>
            <w:tcW w:type="dxa" w:w="3200"/>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Report</w:t>
            </w:r>
          </w:p>
        </w:tc>
        <w:tc>
          <w:tcPr>
            <w:tcW w:type="dxa" w:w="4326"/>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Internal or external reports including project updates and audits</w:t>
            </w:r>
          </w:p>
        </w:tc>
      </w:tr>
      <w:tr>
        <w:tc>
          <w:tcPr>
            <w:tcW w:type="dxa" w:w="1500"/>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MOM</w:t>
            </w:r>
          </w:p>
        </w:tc>
        <w:tc>
          <w:tcPr>
            <w:tcW w:type="dxa" w:w="3200"/>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Minutes of Meeting</w:t>
            </w:r>
          </w:p>
        </w:tc>
        <w:tc>
          <w:tcPr>
            <w:tcW w:type="dxa" w:w="4326"/>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Official records of proceedings and decisions from formal meetings</w:t>
            </w:r>
          </w:p>
        </w:tc>
      </w:tr>
      <w:tr>
        <w:tc>
          <w:tcPr>
            <w:tcW w:type="dxa" w:w="1500"/>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LTR</w:t>
            </w:r>
          </w:p>
        </w:tc>
        <w:tc>
          <w:tcPr>
            <w:tcW w:type="dxa" w:w="3200"/>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Letter</w:t>
            </w:r>
          </w:p>
        </w:tc>
        <w:tc>
          <w:tcPr>
            <w:tcW w:type="dxa" w:w="4326"/>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Formal correspondence including cover letters and official notices</w:t>
            </w:r>
          </w:p>
        </w:tc>
      </w:tr>
      <w:tr>
        <w:tc>
          <w:tcPr>
            <w:tcW w:type="dxa" w:w="1500"/>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SPK</w:t>
            </w:r>
          </w:p>
        </w:tc>
        <w:tc>
          <w:tcPr>
            <w:tcW w:type="dxa" w:w="3200"/>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Surat Perintah Kerja</w:t>
            </w:r>
          </w:p>
        </w:tc>
        <w:tc>
          <w:tcPr>
            <w:tcW w:type="dxa" w:w="4326"/>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Work orders issued to authorize project commencement</w:t>
            </w:r>
          </w:p>
        </w:tc>
      </w:tr>
    </w:tbl>
    <w:p>
      <w:pPr>
        <w:spacing w:after="120"/>
      </w:pPr>
    </w:p>
    <w:p>
      <w:pPr>
        <w:spacing w:after="200" w:line="276"/>
        <w:jc w:val="both"/>
      </w:pPr>
      <w:r>
        <w:rPr>
          <w:rFonts w:ascii="Arial" w:cs="Arial" w:eastAsia="Arial" w:hAnsi="Arial"/>
          <w:color w:val="2D3748"/>
          <w:sz w:val="21"/>
          <w:szCs w:val="21"/>
        </w:rPr>
        <w:t xml:space="preserve">Additional codes may be introduced as GDI’s operational scope evolves. All additions require written approval and must be reflected in a revised edition of this SOP before they enter active use.</w:t>
      </w:r>
    </w:p>
    <w:p>
      <w:pPr>
        <w:pBdr>
          <w:bottom w:val="single" w:color="2E75B6" w:sz="4" w:space="4"/>
        </w:pBdr>
        <w:spacing w:after="160" w:before="360"/>
      </w:pPr>
      <w:r>
        <w:rPr>
          <w:rFonts w:ascii="Arial" w:cs="Arial" w:eastAsia="Arial" w:hAnsi="Arial"/>
          <w:b/>
          <w:bCs/>
          <w:color w:val="1B2A4A"/>
          <w:sz w:val="24"/>
          <w:szCs w:val="24"/>
        </w:rPr>
        <w:t xml:space="preserve">5. MONTH NOTATION</w:t>
      </w:r>
    </w:p>
    <w:p>
      <w:pPr>
        <w:spacing w:after="200" w:line="276"/>
        <w:jc w:val="both"/>
      </w:pPr>
      <w:r>
        <w:rPr>
          <w:rFonts w:ascii="Arial" w:cs="Arial" w:eastAsia="Arial" w:hAnsi="Arial"/>
          <w:color w:val="2D3748"/>
          <w:sz w:val="21"/>
          <w:szCs w:val="21"/>
        </w:rPr>
        <w:t xml:space="preserve">GDI exclusively uses Roman numeral notation for the month component. Numeric month representations (01, 02, etc.) are expressly prohibited. The complete reference is provided below:</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6"/>
        <w:gridCol w:w="1506"/>
        <w:gridCol w:w="1506"/>
        <w:gridCol w:w="1506"/>
        <w:gridCol w:w="1506"/>
        <w:gridCol w:w="1496"/>
      </w:tblGrid>
      <w:tr>
        <w:tc>
          <w:tcPr>
            <w:tcW w:type="dxa" w:w="1506"/>
            <w:tcBorders>
              <w:top w:val="single" w:color="B0BEC5" w:sz="1"/>
              <w:left w:val="single" w:color="B0BEC5" w:sz="1"/>
              <w:bottom w:val="single" w:color="B0BEC5" w:sz="1"/>
              <w:right w:val="single" w:color="B0BEC5"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Numeral</w:t>
            </w:r>
          </w:p>
        </w:tc>
        <w:tc>
          <w:tcPr>
            <w:tcW w:type="dxa" w:w="1506"/>
            <w:tcBorders>
              <w:top w:val="single" w:color="B0BEC5" w:sz="1"/>
              <w:left w:val="single" w:color="B0BEC5" w:sz="1"/>
              <w:bottom w:val="single" w:color="B0BEC5" w:sz="1"/>
              <w:right w:val="single" w:color="B0BEC5"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Month</w:t>
            </w:r>
          </w:p>
        </w:tc>
        <w:tc>
          <w:tcPr>
            <w:tcW w:type="dxa" w:w="1506"/>
            <w:tcBorders>
              <w:top w:val="single" w:color="B0BEC5" w:sz="1"/>
              <w:left w:val="single" w:color="B0BEC5" w:sz="1"/>
              <w:bottom w:val="single" w:color="B0BEC5" w:sz="1"/>
              <w:right w:val="single" w:color="B0BEC5"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Numeral</w:t>
            </w:r>
          </w:p>
        </w:tc>
        <w:tc>
          <w:tcPr>
            <w:tcW w:type="dxa" w:w="1506"/>
            <w:tcBorders>
              <w:top w:val="single" w:color="B0BEC5" w:sz="1"/>
              <w:left w:val="single" w:color="B0BEC5" w:sz="1"/>
              <w:bottom w:val="single" w:color="B0BEC5" w:sz="1"/>
              <w:right w:val="single" w:color="B0BEC5"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Month</w:t>
            </w:r>
          </w:p>
        </w:tc>
        <w:tc>
          <w:tcPr>
            <w:tcW w:type="dxa" w:w="1506"/>
            <w:tcBorders>
              <w:top w:val="single" w:color="B0BEC5" w:sz="1"/>
              <w:left w:val="single" w:color="B0BEC5" w:sz="1"/>
              <w:bottom w:val="single" w:color="B0BEC5" w:sz="1"/>
              <w:right w:val="single" w:color="B0BEC5"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Numeral</w:t>
            </w:r>
          </w:p>
        </w:tc>
        <w:tc>
          <w:tcPr>
            <w:tcW w:type="dxa" w:w="1496"/>
            <w:tcBorders>
              <w:top w:val="single" w:color="B0BEC5" w:sz="1"/>
              <w:left w:val="single" w:color="B0BEC5" w:sz="1"/>
              <w:bottom w:val="single" w:color="B0BEC5" w:sz="1"/>
              <w:right w:val="single" w:color="B0BEC5"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Month</w:t>
            </w:r>
          </w:p>
        </w:tc>
      </w:tr>
      <w:tr>
        <w:tc>
          <w:tcPr>
            <w:tcW w:type="dxa" w:w="1506"/>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center"/>
            </w:pPr>
            <w:r>
              <w:rPr>
                <w:rFonts w:ascii="Arial" w:cs="Arial" w:eastAsia="Arial" w:hAnsi="Arial"/>
                <w:b/>
                <w:bCs/>
                <w:color w:val="2D3748"/>
                <w:sz w:val="20"/>
                <w:szCs w:val="20"/>
              </w:rPr>
              <w:t xml:space="preserve">I</w:t>
            </w:r>
          </w:p>
        </w:tc>
        <w:tc>
          <w:tcPr>
            <w:tcW w:type="dxa" w:w="1506"/>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center"/>
            </w:pPr>
            <w:r>
              <w:rPr>
                <w:rFonts w:ascii="Arial" w:cs="Arial" w:eastAsia="Arial" w:hAnsi="Arial"/>
                <w:b w:val="false"/>
                <w:bCs w:val="false"/>
                <w:color w:val="2D3748"/>
                <w:sz w:val="20"/>
                <w:szCs w:val="20"/>
              </w:rPr>
              <w:t xml:space="preserve">January</w:t>
            </w:r>
          </w:p>
        </w:tc>
        <w:tc>
          <w:tcPr>
            <w:tcW w:type="dxa" w:w="1506"/>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center"/>
            </w:pPr>
            <w:r>
              <w:rPr>
                <w:rFonts w:ascii="Arial" w:cs="Arial" w:eastAsia="Arial" w:hAnsi="Arial"/>
                <w:b/>
                <w:bCs/>
                <w:color w:val="2D3748"/>
                <w:sz w:val="20"/>
                <w:szCs w:val="20"/>
              </w:rPr>
              <w:t xml:space="preserve">II</w:t>
            </w:r>
          </w:p>
        </w:tc>
        <w:tc>
          <w:tcPr>
            <w:tcW w:type="dxa" w:w="1506"/>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center"/>
            </w:pPr>
            <w:r>
              <w:rPr>
                <w:rFonts w:ascii="Arial" w:cs="Arial" w:eastAsia="Arial" w:hAnsi="Arial"/>
                <w:b w:val="false"/>
                <w:bCs w:val="false"/>
                <w:color w:val="2D3748"/>
                <w:sz w:val="20"/>
                <w:szCs w:val="20"/>
              </w:rPr>
              <w:t xml:space="preserve">February</w:t>
            </w:r>
          </w:p>
        </w:tc>
        <w:tc>
          <w:tcPr>
            <w:tcW w:type="dxa" w:w="1506"/>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center"/>
            </w:pPr>
            <w:r>
              <w:rPr>
                <w:rFonts w:ascii="Arial" w:cs="Arial" w:eastAsia="Arial" w:hAnsi="Arial"/>
                <w:b/>
                <w:bCs/>
                <w:color w:val="2D3748"/>
                <w:sz w:val="20"/>
                <w:szCs w:val="20"/>
              </w:rPr>
              <w:t xml:space="preserve">III</w:t>
            </w:r>
          </w:p>
        </w:tc>
        <w:tc>
          <w:tcPr>
            <w:tcW w:type="dxa" w:w="1496"/>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center"/>
            </w:pPr>
            <w:r>
              <w:rPr>
                <w:rFonts w:ascii="Arial" w:cs="Arial" w:eastAsia="Arial" w:hAnsi="Arial"/>
                <w:b w:val="false"/>
                <w:bCs w:val="false"/>
                <w:color w:val="2D3748"/>
                <w:sz w:val="20"/>
                <w:szCs w:val="20"/>
              </w:rPr>
              <w:t xml:space="preserve">March</w:t>
            </w:r>
          </w:p>
        </w:tc>
      </w:tr>
      <w:tr>
        <w:tc>
          <w:tcPr>
            <w:tcW w:type="dxa" w:w="1506"/>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center"/>
            </w:pPr>
            <w:r>
              <w:rPr>
                <w:rFonts w:ascii="Arial" w:cs="Arial" w:eastAsia="Arial" w:hAnsi="Arial"/>
                <w:b/>
                <w:bCs/>
                <w:color w:val="2D3748"/>
                <w:sz w:val="20"/>
                <w:szCs w:val="20"/>
              </w:rPr>
              <w:t xml:space="preserve">IV</w:t>
            </w:r>
          </w:p>
        </w:tc>
        <w:tc>
          <w:tcPr>
            <w:tcW w:type="dxa" w:w="1506"/>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center"/>
            </w:pPr>
            <w:r>
              <w:rPr>
                <w:rFonts w:ascii="Arial" w:cs="Arial" w:eastAsia="Arial" w:hAnsi="Arial"/>
                <w:b w:val="false"/>
                <w:bCs w:val="false"/>
                <w:color w:val="2D3748"/>
                <w:sz w:val="20"/>
                <w:szCs w:val="20"/>
              </w:rPr>
              <w:t xml:space="preserve">April</w:t>
            </w:r>
          </w:p>
        </w:tc>
        <w:tc>
          <w:tcPr>
            <w:tcW w:type="dxa" w:w="1506"/>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center"/>
            </w:pPr>
            <w:r>
              <w:rPr>
                <w:rFonts w:ascii="Arial" w:cs="Arial" w:eastAsia="Arial" w:hAnsi="Arial"/>
                <w:b/>
                <w:bCs/>
                <w:color w:val="2D3748"/>
                <w:sz w:val="20"/>
                <w:szCs w:val="20"/>
              </w:rPr>
              <w:t xml:space="preserve">V</w:t>
            </w:r>
          </w:p>
        </w:tc>
        <w:tc>
          <w:tcPr>
            <w:tcW w:type="dxa" w:w="1506"/>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center"/>
            </w:pPr>
            <w:r>
              <w:rPr>
                <w:rFonts w:ascii="Arial" w:cs="Arial" w:eastAsia="Arial" w:hAnsi="Arial"/>
                <w:b w:val="false"/>
                <w:bCs w:val="false"/>
                <w:color w:val="2D3748"/>
                <w:sz w:val="20"/>
                <w:szCs w:val="20"/>
              </w:rPr>
              <w:t xml:space="preserve">May</w:t>
            </w:r>
          </w:p>
        </w:tc>
        <w:tc>
          <w:tcPr>
            <w:tcW w:type="dxa" w:w="1506"/>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center"/>
            </w:pPr>
            <w:r>
              <w:rPr>
                <w:rFonts w:ascii="Arial" w:cs="Arial" w:eastAsia="Arial" w:hAnsi="Arial"/>
                <w:b/>
                <w:bCs/>
                <w:color w:val="2D3748"/>
                <w:sz w:val="20"/>
                <w:szCs w:val="20"/>
              </w:rPr>
              <w:t xml:space="preserve">VI</w:t>
            </w:r>
          </w:p>
        </w:tc>
        <w:tc>
          <w:tcPr>
            <w:tcW w:type="dxa" w:w="1496"/>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center"/>
            </w:pPr>
            <w:r>
              <w:rPr>
                <w:rFonts w:ascii="Arial" w:cs="Arial" w:eastAsia="Arial" w:hAnsi="Arial"/>
                <w:b w:val="false"/>
                <w:bCs w:val="false"/>
                <w:color w:val="2D3748"/>
                <w:sz w:val="20"/>
                <w:szCs w:val="20"/>
              </w:rPr>
              <w:t xml:space="preserve">June</w:t>
            </w:r>
          </w:p>
        </w:tc>
      </w:tr>
      <w:tr>
        <w:tc>
          <w:tcPr>
            <w:tcW w:type="dxa" w:w="1506"/>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center"/>
            </w:pPr>
            <w:r>
              <w:rPr>
                <w:rFonts w:ascii="Arial" w:cs="Arial" w:eastAsia="Arial" w:hAnsi="Arial"/>
                <w:b/>
                <w:bCs/>
                <w:color w:val="2D3748"/>
                <w:sz w:val="20"/>
                <w:szCs w:val="20"/>
              </w:rPr>
              <w:t xml:space="preserve">VII</w:t>
            </w:r>
          </w:p>
        </w:tc>
        <w:tc>
          <w:tcPr>
            <w:tcW w:type="dxa" w:w="1506"/>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center"/>
            </w:pPr>
            <w:r>
              <w:rPr>
                <w:rFonts w:ascii="Arial" w:cs="Arial" w:eastAsia="Arial" w:hAnsi="Arial"/>
                <w:b w:val="false"/>
                <w:bCs w:val="false"/>
                <w:color w:val="2D3748"/>
                <w:sz w:val="20"/>
                <w:szCs w:val="20"/>
              </w:rPr>
              <w:t xml:space="preserve">July</w:t>
            </w:r>
          </w:p>
        </w:tc>
        <w:tc>
          <w:tcPr>
            <w:tcW w:type="dxa" w:w="1506"/>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center"/>
            </w:pPr>
            <w:r>
              <w:rPr>
                <w:rFonts w:ascii="Arial" w:cs="Arial" w:eastAsia="Arial" w:hAnsi="Arial"/>
                <w:b/>
                <w:bCs/>
                <w:color w:val="2D3748"/>
                <w:sz w:val="20"/>
                <w:szCs w:val="20"/>
              </w:rPr>
              <w:t xml:space="preserve">VIII</w:t>
            </w:r>
          </w:p>
        </w:tc>
        <w:tc>
          <w:tcPr>
            <w:tcW w:type="dxa" w:w="1506"/>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center"/>
            </w:pPr>
            <w:r>
              <w:rPr>
                <w:rFonts w:ascii="Arial" w:cs="Arial" w:eastAsia="Arial" w:hAnsi="Arial"/>
                <w:b w:val="false"/>
                <w:bCs w:val="false"/>
                <w:color w:val="2D3748"/>
                <w:sz w:val="20"/>
                <w:szCs w:val="20"/>
              </w:rPr>
              <w:t xml:space="preserve">August</w:t>
            </w:r>
          </w:p>
        </w:tc>
        <w:tc>
          <w:tcPr>
            <w:tcW w:type="dxa" w:w="1506"/>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center"/>
            </w:pPr>
            <w:r>
              <w:rPr>
                <w:rFonts w:ascii="Arial" w:cs="Arial" w:eastAsia="Arial" w:hAnsi="Arial"/>
                <w:b/>
                <w:bCs/>
                <w:color w:val="2D3748"/>
                <w:sz w:val="20"/>
                <w:szCs w:val="20"/>
              </w:rPr>
              <w:t xml:space="preserve">IX</w:t>
            </w:r>
          </w:p>
        </w:tc>
        <w:tc>
          <w:tcPr>
            <w:tcW w:type="dxa" w:w="1496"/>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center"/>
            </w:pPr>
            <w:r>
              <w:rPr>
                <w:rFonts w:ascii="Arial" w:cs="Arial" w:eastAsia="Arial" w:hAnsi="Arial"/>
                <w:b w:val="false"/>
                <w:bCs w:val="false"/>
                <w:color w:val="2D3748"/>
                <w:sz w:val="20"/>
                <w:szCs w:val="20"/>
              </w:rPr>
              <w:t xml:space="preserve">September</w:t>
            </w:r>
          </w:p>
        </w:tc>
      </w:tr>
      <w:tr>
        <w:tc>
          <w:tcPr>
            <w:tcW w:type="dxa" w:w="1506"/>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center"/>
            </w:pPr>
            <w:r>
              <w:rPr>
                <w:rFonts w:ascii="Arial" w:cs="Arial" w:eastAsia="Arial" w:hAnsi="Arial"/>
                <w:b/>
                <w:bCs/>
                <w:color w:val="2D3748"/>
                <w:sz w:val="20"/>
                <w:szCs w:val="20"/>
              </w:rPr>
              <w:t xml:space="preserve">X</w:t>
            </w:r>
          </w:p>
        </w:tc>
        <w:tc>
          <w:tcPr>
            <w:tcW w:type="dxa" w:w="1506"/>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center"/>
            </w:pPr>
            <w:r>
              <w:rPr>
                <w:rFonts w:ascii="Arial" w:cs="Arial" w:eastAsia="Arial" w:hAnsi="Arial"/>
                <w:b w:val="false"/>
                <w:bCs w:val="false"/>
                <w:color w:val="2D3748"/>
                <w:sz w:val="20"/>
                <w:szCs w:val="20"/>
              </w:rPr>
              <w:t xml:space="preserve">October</w:t>
            </w:r>
          </w:p>
        </w:tc>
        <w:tc>
          <w:tcPr>
            <w:tcW w:type="dxa" w:w="1506"/>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center"/>
            </w:pPr>
            <w:r>
              <w:rPr>
                <w:rFonts w:ascii="Arial" w:cs="Arial" w:eastAsia="Arial" w:hAnsi="Arial"/>
                <w:b/>
                <w:bCs/>
                <w:color w:val="2D3748"/>
                <w:sz w:val="20"/>
                <w:szCs w:val="20"/>
              </w:rPr>
              <w:t xml:space="preserve">XI</w:t>
            </w:r>
          </w:p>
        </w:tc>
        <w:tc>
          <w:tcPr>
            <w:tcW w:type="dxa" w:w="1506"/>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center"/>
            </w:pPr>
            <w:r>
              <w:rPr>
                <w:rFonts w:ascii="Arial" w:cs="Arial" w:eastAsia="Arial" w:hAnsi="Arial"/>
                <w:b w:val="false"/>
                <w:bCs w:val="false"/>
                <w:color w:val="2D3748"/>
                <w:sz w:val="20"/>
                <w:szCs w:val="20"/>
              </w:rPr>
              <w:t xml:space="preserve">November</w:t>
            </w:r>
          </w:p>
        </w:tc>
        <w:tc>
          <w:tcPr>
            <w:tcW w:type="dxa" w:w="1506"/>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center"/>
            </w:pPr>
            <w:r>
              <w:rPr>
                <w:rFonts w:ascii="Arial" w:cs="Arial" w:eastAsia="Arial" w:hAnsi="Arial"/>
                <w:b/>
                <w:bCs/>
                <w:color w:val="2D3748"/>
                <w:sz w:val="20"/>
                <w:szCs w:val="20"/>
              </w:rPr>
              <w:t xml:space="preserve">XII</w:t>
            </w:r>
          </w:p>
        </w:tc>
        <w:tc>
          <w:tcPr>
            <w:tcW w:type="dxa" w:w="1496"/>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center"/>
            </w:pPr>
            <w:r>
              <w:rPr>
                <w:rFonts w:ascii="Arial" w:cs="Arial" w:eastAsia="Arial" w:hAnsi="Arial"/>
                <w:b w:val="false"/>
                <w:bCs w:val="false"/>
                <w:color w:val="2D3748"/>
                <w:sz w:val="20"/>
                <w:szCs w:val="20"/>
              </w:rPr>
              <w:t xml:space="preserve">December</w:t>
            </w:r>
          </w:p>
        </w:tc>
      </w:tr>
    </w:tbl>
    <w:p>
      <w:pPr>
        <w:pBdr>
          <w:bottom w:val="single" w:color="2E75B6" w:sz="4" w:space="4"/>
        </w:pBdr>
        <w:spacing w:after="160" w:before="360"/>
      </w:pPr>
      <w:r>
        <w:rPr>
          <w:rFonts w:ascii="Arial" w:cs="Arial" w:eastAsia="Arial" w:hAnsi="Arial"/>
          <w:b/>
          <w:bCs/>
          <w:color w:val="1B2A4A"/>
          <w:sz w:val="24"/>
          <w:szCs w:val="24"/>
        </w:rPr>
        <w:t xml:space="preserve">6. SEQUENCE LOGIC AND IMPLEMENTATION RULES</w:t>
      </w:r>
    </w:p>
    <w:p>
      <w:pPr>
        <w:spacing w:after="120" w:before="240"/>
      </w:pPr>
      <w:r>
        <w:rPr>
          <w:rFonts w:ascii="Arial" w:cs="Arial" w:eastAsia="Arial" w:hAnsi="Arial"/>
          <w:b/>
          <w:bCs/>
          <w:color w:val="2E75B6"/>
          <w:sz w:val="22"/>
          <w:szCs w:val="22"/>
        </w:rPr>
        <w:t xml:space="preserve">6.1 Sequence Reset Conditions</w:t>
      </w:r>
    </w:p>
    <w:p>
      <w:pPr>
        <w:spacing w:after="200" w:line="276"/>
        <w:jc w:val="both"/>
      </w:pPr>
      <w:r>
        <w:rPr>
          <w:rFonts w:ascii="Arial" w:cs="Arial" w:eastAsia="Arial" w:hAnsi="Arial"/>
          <w:color w:val="2D3748"/>
          <w:sz w:val="21"/>
          <w:szCs w:val="21"/>
        </w:rPr>
        <w:t xml:space="preserve">The three-digit sequence number (001, 002, ...) resets to 001 at the start of each calendar year. Within a given year, the sequence increments continuously across all months for each unique combination of document type and project code. The sequence does not reset monthly.</w:t>
      </w:r>
    </w:p>
    <w:p>
      <w:pPr>
        <w:spacing w:after="120" w:before="240"/>
      </w:pPr>
      <w:r>
        <w:rPr>
          <w:rFonts w:ascii="Arial" w:cs="Arial" w:eastAsia="Arial" w:hAnsi="Arial"/>
          <w:b/>
          <w:bCs/>
          <w:color w:val="2E75B6"/>
          <w:sz w:val="22"/>
          <w:szCs w:val="22"/>
        </w:rPr>
        <w:t xml:space="preserve">6.2 Uniqueness Guarantee</w:t>
      </w:r>
    </w:p>
    <w:p>
      <w:pPr>
        <w:spacing w:after="200" w:line="276"/>
        <w:jc w:val="both"/>
      </w:pPr>
      <w:r>
        <w:rPr>
          <w:rFonts w:ascii="Arial" w:cs="Arial" w:eastAsia="Arial" w:hAnsi="Arial"/>
          <w:color w:val="2D3748"/>
          <w:sz w:val="21"/>
          <w:szCs w:val="21"/>
        </w:rPr>
        <w:t xml:space="preserve">No two documents may share an identical document number. The combination of all six components produces a globally unique identifier within the GDI document ecosystem. If a document is voided or withdrawn, its number is retired permanently and must not be reassigned.</w:t>
      </w:r>
    </w:p>
    <w:p>
      <w:pPr>
        <w:spacing w:after="120" w:before="240"/>
      </w:pPr>
      <w:r>
        <w:rPr>
          <w:rFonts w:ascii="Arial" w:cs="Arial" w:eastAsia="Arial" w:hAnsi="Arial"/>
          <w:b/>
          <w:bCs/>
          <w:color w:val="2E75B6"/>
          <w:sz w:val="22"/>
          <w:szCs w:val="22"/>
        </w:rPr>
        <w:t xml:space="preserve">6.3 Consistency Across Formats</w:t>
      </w:r>
    </w:p>
    <w:p>
      <w:pPr>
        <w:spacing w:after="200" w:line="276"/>
        <w:jc w:val="both"/>
      </w:pPr>
      <w:r>
        <w:rPr>
          <w:rFonts w:ascii="Arial" w:cs="Arial" w:eastAsia="Arial" w:hAnsi="Arial"/>
          <w:color w:val="2D3748"/>
          <w:sz w:val="21"/>
          <w:szCs w:val="21"/>
        </w:rPr>
        <w:t xml:space="preserve">The document number must appear in a consistent location across all formats: on the header or the first page of proposals, invoices, agreements, and reports; on the subject line of formal letters; and in the metadata or footer of internal memoranda. Placement must remain uniform within each document type.</w:t>
      </w:r>
    </w:p>
    <w:p>
      <w:pPr>
        <w:spacing w:after="120" w:before="240"/>
      </w:pPr>
      <w:r>
        <w:rPr>
          <w:rFonts w:ascii="Arial" w:cs="Arial" w:eastAsia="Arial" w:hAnsi="Arial"/>
          <w:b/>
          <w:bCs/>
          <w:color w:val="2E75B6"/>
          <w:sz w:val="22"/>
          <w:szCs w:val="22"/>
        </w:rPr>
        <w:t xml:space="preserve">6.4 Project Code Assignment</w:t>
      </w:r>
    </w:p>
    <w:p>
      <w:pPr>
        <w:spacing w:after="200" w:line="276"/>
        <w:jc w:val="both"/>
      </w:pPr>
      <w:r>
        <w:rPr>
          <w:rFonts w:ascii="Arial" w:cs="Arial" w:eastAsia="Arial" w:hAnsi="Arial"/>
          <w:color w:val="2D3748"/>
          <w:sz w:val="21"/>
          <w:szCs w:val="21"/>
        </w:rPr>
        <w:t xml:space="preserve">Project codes are three-letter alphabetic identifiers assigned at the inception of each client engagement or internal initiative. Once assigned, a project code is immutable for the duration of that engagement. The code INT is reserved exclusively for internal administrative documents not tied to any specific project.</w:t>
      </w:r>
    </w:p>
    <w:p>
      <w:pPr>
        <w:spacing w:after="120" w:before="240"/>
      </w:pPr>
      <w:r>
        <w:rPr>
          <w:rFonts w:ascii="Arial" w:cs="Arial" w:eastAsia="Arial" w:hAnsi="Arial"/>
          <w:b/>
          <w:bCs/>
          <w:color w:val="2E75B6"/>
          <w:sz w:val="22"/>
          <w:szCs w:val="22"/>
        </w:rPr>
        <w:t xml:space="preserve">6.5 Retroactive Application</w:t>
      </w:r>
    </w:p>
    <w:p>
      <w:pPr>
        <w:spacing w:after="200" w:line="276"/>
        <w:jc w:val="both"/>
      </w:pPr>
      <w:r>
        <w:rPr>
          <w:rFonts w:ascii="Arial" w:cs="Arial" w:eastAsia="Arial" w:hAnsi="Arial"/>
          <w:color w:val="2D3748"/>
          <w:sz w:val="21"/>
          <w:szCs w:val="21"/>
        </w:rPr>
        <w:t xml:space="preserve">Documents issued prior to the effective date of this SOP are not required to be renumbered. However, any document reissued, revised, or referenced after the effective date must conform to this standard.</w:t>
      </w:r>
    </w:p>
    <w:p>
      <w:pPr>
        <w:pBdr>
          <w:bottom w:val="single" w:color="2E75B6" w:sz="4" w:space="4"/>
        </w:pBdr>
        <w:spacing w:after="160" w:before="360"/>
      </w:pPr>
      <w:r>
        <w:rPr>
          <w:rFonts w:ascii="Arial" w:cs="Arial" w:eastAsia="Arial" w:hAnsi="Arial"/>
          <w:b/>
          <w:bCs/>
          <w:color w:val="1B2A4A"/>
          <w:sz w:val="24"/>
          <w:szCs w:val="24"/>
        </w:rPr>
        <w:t xml:space="preserve">7. APPLICATION EXAMPLES</w:t>
      </w:r>
    </w:p>
    <w:p>
      <w:pPr>
        <w:spacing w:after="200" w:line="276"/>
        <w:jc w:val="both"/>
      </w:pPr>
      <w:r>
        <w:rPr>
          <w:rFonts w:ascii="Arial" w:cs="Arial" w:eastAsia="Arial" w:hAnsi="Arial"/>
          <w:color w:val="2D3748"/>
          <w:sz w:val="21"/>
          <w:szCs w:val="21"/>
        </w:rPr>
        <w:t xml:space="preserve">The following table illustrates correct application of this numbering system across a range of document types and scenarios: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0BEC5" w:sz="1"/>
              <w:left w:val="single" w:color="B0BEC5" w:sz="1"/>
              <w:bottom w:val="single" w:color="B0BEC5" w:sz="1"/>
              <w:right w:val="single" w:color="B0BEC5"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Document Number</w:t>
            </w:r>
          </w:p>
        </w:tc>
        <w:tc>
          <w:tcPr>
            <w:tcW w:type="dxa" w:w="6026"/>
            <w:tcBorders>
              <w:top w:val="single" w:color="B0BEC5" w:sz="1"/>
              <w:left w:val="single" w:color="B0BEC5" w:sz="1"/>
              <w:bottom w:val="single" w:color="B0BEC5" w:sz="1"/>
              <w:right w:val="single" w:color="B0BEC5"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Interpretation</w:t>
            </w:r>
          </w:p>
        </w:tc>
      </w:tr>
      <w:tr>
        <w:tc>
          <w:tcPr>
            <w:tcW w:type="dxa" w:w="3000"/>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GDI/PROP/MNR/IV/2026/001</w:t>
            </w:r>
          </w:p>
        </w:tc>
        <w:tc>
          <w:tcPr>
            <w:tcW w:type="dxa" w:w="6026"/>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First proposal document for Project MNR, issued in April 2026</w:t>
            </w:r>
          </w:p>
        </w:tc>
      </w:tr>
      <w:tr>
        <w:tc>
          <w:tcPr>
            <w:tcW w:type="dxa" w:w="3000"/>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GDI/RAB/GSB/IV/2026/001</w:t>
            </w:r>
          </w:p>
        </w:tc>
        <w:tc>
          <w:tcPr>
            <w:tcW w:type="dxa" w:w="6026"/>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First cost estimation document for Project GSB, issued in April 2026</w:t>
            </w:r>
          </w:p>
        </w:tc>
      </w:tr>
      <w:tr>
        <w:tc>
          <w:tcPr>
            <w:tcW w:type="dxa" w:w="3000"/>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GDI/INV/TLK/VI/2026/003</w:t>
            </w:r>
          </w:p>
        </w:tc>
        <w:tc>
          <w:tcPr>
            <w:tcW w:type="dxa" w:w="6026"/>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Third invoice for Project TLK, issued in June 2026</w:t>
            </w:r>
          </w:p>
        </w:tc>
      </w:tr>
      <w:tr>
        <w:tc>
          <w:tcPr>
            <w:tcW w:type="dxa" w:w="3000"/>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GDI/AGR/MNR/I/2026/001</w:t>
            </w:r>
          </w:p>
        </w:tc>
        <w:tc>
          <w:tcPr>
            <w:tcW w:type="dxa" w:w="6026"/>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First agreement document for Project MNR, issued in January 2026</w:t>
            </w:r>
          </w:p>
        </w:tc>
      </w:tr>
      <w:tr>
        <w:tc>
          <w:tcPr>
            <w:tcW w:type="dxa" w:w="3000"/>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GDI/NDA/GSB/III/2026/002</w:t>
            </w:r>
          </w:p>
        </w:tc>
        <w:tc>
          <w:tcPr>
            <w:tcW w:type="dxa" w:w="6026"/>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Second NDA for Project GSB, issued in March 2026</w:t>
            </w:r>
          </w:p>
        </w:tc>
      </w:tr>
      <w:tr>
        <w:tc>
          <w:tcPr>
            <w:tcW w:type="dxa" w:w="3000"/>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GDI/MOM/INT/IV/2026/005</w:t>
            </w:r>
          </w:p>
        </w:tc>
        <w:tc>
          <w:tcPr>
            <w:tcW w:type="dxa" w:w="6026"/>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Fifth meeting minutes for internal matters, issued in April 2026</w:t>
            </w:r>
          </w:p>
        </w:tc>
      </w:tr>
      <w:tr>
        <w:tc>
          <w:tcPr>
            <w:tcW w:type="dxa" w:w="3000"/>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GDI/QUO/TLK/XII/2025/001</w:t>
            </w:r>
          </w:p>
        </w:tc>
        <w:tc>
          <w:tcPr>
            <w:tcW w:type="dxa" w:w="6026"/>
            <w:tcBorders>
              <w:top w:val="single" w:color="B0BEC5" w:sz="1"/>
              <w:left w:val="single" w:color="B0BEC5" w:sz="1"/>
              <w:bottom w:val="single" w:color="B0BEC5" w:sz="1"/>
              <w:right w:val="single" w:color="B0BEC5" w:sz="1"/>
            </w:tcBorders>
            <w:shd w:fill="EDF2F7"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First quotation for Project TLK, issued in December 2025</w:t>
            </w:r>
          </w:p>
        </w:tc>
      </w:tr>
      <w:tr>
        <w:tc>
          <w:tcPr>
            <w:tcW w:type="dxa" w:w="3000"/>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GDI/REP/INT/IX/2026/001</w:t>
            </w:r>
          </w:p>
        </w:tc>
        <w:tc>
          <w:tcPr>
            <w:tcW w:type="dxa" w:w="6026"/>
            <w:tcBorders>
              <w:top w:val="single" w:color="B0BEC5" w:sz="1"/>
              <w:left w:val="single" w:color="B0BEC5" w:sz="1"/>
              <w:bottom w:val="single" w:color="B0BEC5" w:sz="1"/>
              <w:right w:val="single" w:color="B0BEC5" w:sz="1"/>
            </w:tcBorders>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First report for internal use, issued in September 2026</w:t>
            </w:r>
          </w:p>
        </w:tc>
      </w:tr>
    </w:tbl>
    <w:p>
      <w:pPr>
        <w:pBdr>
          <w:bottom w:val="single" w:color="2E75B6" w:sz="4" w:space="4"/>
        </w:pBdr>
        <w:spacing w:after="160" w:before="360"/>
      </w:pPr>
      <w:r>
        <w:rPr>
          <w:rFonts w:ascii="Arial" w:cs="Arial" w:eastAsia="Arial" w:hAnsi="Arial"/>
          <w:b/>
          <w:bCs/>
          <w:color w:val="1B2A4A"/>
          <w:sz w:val="24"/>
          <w:szCs w:val="24"/>
        </w:rPr>
        <w:t xml:space="preserve">8. EFFECTIVE DATE AND REVISION CONTROL</w:t>
      </w:r>
    </w:p>
    <w:p>
      <w:pPr>
        <w:spacing w:after="200" w:line="276"/>
        <w:jc w:val="both"/>
      </w:pPr>
      <w:r>
        <w:rPr>
          <w:rFonts w:ascii="Arial" w:cs="Arial" w:eastAsia="Arial" w:hAnsi="Arial"/>
          <w:color w:val="2D3748"/>
          <w:sz w:val="21"/>
          <w:szCs w:val="21"/>
        </w:rPr>
        <w:t xml:space="preserve">This procedure takes effect on 20 April 2026 and supersedes any prior informal or ad hoc numbering practices in use within PT Global Dataverse Indonesia.</w:t>
      </w:r>
    </w:p>
    <w:p>
      <w:pPr>
        <w:spacing w:after="200" w:line="276"/>
        <w:jc w:val="both"/>
      </w:pPr>
      <w:r>
        <w:rPr>
          <w:rFonts w:ascii="Arial" w:cs="Arial" w:eastAsia="Arial" w:hAnsi="Arial"/>
          <w:color w:val="2D3748"/>
          <w:sz w:val="21"/>
          <w:szCs w:val="21"/>
        </w:rPr>
        <w:t xml:space="preserve">Revisions to this SOP shall follow a controlled release process managed by the Office of Operations. Each revision will increment the version number and require formal acknowledgment by all department leads before distribution. The most current version shall be maintained in the GDI internal knowledge base and shall be the sole authoritative reference.</w:t>
      </w:r>
    </w:p>
    <w:p>
      <w:pPr>
        <w:spacing w:after="200"/>
      </w:pPr>
    </w:p>
    <w:p>
      <w:pPr>
        <w:pBdr>
          <w:top w:val="single" w:color="1B2A4A" w:sz="2" w:space="8"/>
        </w:pBdr>
        <w:spacing w:after="0"/>
      </w:pPr>
    </w:p>
    <w:p>
      <w:pPr>
        <w:spacing w:after="60"/>
      </w:pPr>
    </w:p>
    <w:p>
      <w:pPr>
        <w:spacing w:after="40"/>
      </w:pPr>
      <w:r>
        <w:rPr>
          <w:rFonts w:ascii="Arial" w:cs="Arial" w:eastAsia="Arial" w:hAnsi="Arial"/>
          <w:i/>
          <w:iCs/>
          <w:color w:val="718096"/>
          <w:sz w:val="18"/>
          <w:szCs w:val="18"/>
        </w:rPr>
        <w:t xml:space="preserve">Approved and Issued by:</w:t>
      </w:r>
    </w:p>
    <w:p>
      <w:pPr>
        <w:spacing w:after="40"/>
      </w:pPr>
      <w:r>
        <w:rPr>
          <w:rFonts w:ascii="Arial" w:cs="Arial" w:eastAsia="Arial" w:hAnsi="Arial"/>
          <w:b/>
          <w:bCs/>
          <w:color w:val="1B2A4A"/>
          <w:sz w:val="20"/>
          <w:szCs w:val="20"/>
        </w:rPr>
        <w:t xml:space="preserve">Co-Founder &amp; Director of Operations</w:t>
      </w:r>
    </w:p>
    <w:p>
      <w:pPr>
        <w:spacing w:after="40"/>
      </w:pPr>
      <w:r>
        <w:rPr>
          <w:rFonts w:ascii="Arial" w:cs="Arial" w:eastAsia="Arial" w:hAnsi="Arial"/>
          <w:color w:val="2D3748"/>
          <w:sz w:val="20"/>
          <w:szCs w:val="20"/>
        </w:rPr>
        <w:t xml:space="preserve">PT Global Dataverse Indonesia</w:t>
      </w:r>
    </w:p>
    <w:p>
      <w:pPr>
        <w:spacing w:after="0"/>
      </w:pPr>
      <w:r>
        <w:rPr>
          <w:rFonts w:ascii="Arial" w:cs="Arial" w:eastAsia="Arial" w:hAnsi="Arial"/>
          <w:color w:val="718096"/>
          <w:sz w:val="18"/>
          <w:szCs w:val="18"/>
        </w:rPr>
        <w:t xml:space="preserve">Bandung, West Java  —  April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space="6"/>
      </w:pBdr>
      <w:tabs>
        <w:tab w:val="right" w:pos="9026"/>
      </w:tabs>
    </w:pPr>
    <w:r>
      <w:rPr>
        <w:rFonts w:ascii="Arial" w:cs="Arial" w:eastAsia="Arial" w:hAnsi="Arial"/>
        <w:color w:val="718096"/>
        <w:sz w:val="14"/>
        <w:szCs w:val="14"/>
      </w:rPr>
      <w:t xml:space="preserve">SOP/ADM/INT/IV/2026/001  —  Confidential</w:t>
    </w:r>
    <w:r>
      <w:rPr>
        <w:rFonts w:ascii="Arial" w:cs="Arial" w:eastAsia="Arial" w:hAnsi="Arial"/>
        <w:color w:val="718096"/>
        <w:sz w:val="14"/>
        <w:szCs w:val="14"/>
      </w:rPr>
      <w:t xml:space="preserve">	Page </w:t>
    </w:r>
    <w:r>
      <w:rPr>
        <w:rFonts w:ascii="Arial" w:cs="Arial" w:eastAsia="Arial" w:hAnsi="Arial"/>
        <w:color w:val="71809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tabs>
        <w:tab w:val="right" w:pos="9026"/>
      </w:tabs>
      <w:spacing w:after="0"/>
    </w:pPr>
    <w:r>
      <w:rPr>
        <w:rFonts w:ascii="Arial" w:cs="Arial" w:eastAsia="Arial" w:hAnsi="Arial"/>
        <w:b/>
        <w:bCs/>
        <w:color w:val="1B2A4A"/>
        <w:sz w:val="16"/>
        <w:szCs w:val="16"/>
      </w:rPr>
      <w:t xml:space="preserve">PT GLOBAL DATAVERSE INDONESIA</w:t>
    </w:r>
    <w:r>
      <w:rPr>
        <w:rFonts w:ascii="Arial" w:cs="Arial" w:eastAsia="Arial" w:hAnsi="Arial"/>
        <w:color w:val="2E75B6"/>
        <w:sz w:val="14"/>
        <w:szCs w:val="14"/>
      </w:rPr>
      <w:t xml:space="preserve">	INTERNAL STANDARD OPERATING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B2A4A"/>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2026-04-20T04:08:26.707Z</dcterms:created>
  <dcterms:modified xsi:type="dcterms:W3CDTF">2026-04-20T04:08:26.707Z</dcterms:modified>
</cp:coreProperties>
</file>

<file path=docProps/custom.xml><?xml version="1.0" encoding="utf-8"?>
<Properties xmlns="http://schemas.openxmlformats.org/officeDocument/2006/custom-properties" xmlns:vt="http://schemas.openxmlformats.org/officeDocument/2006/docPropsVTypes"/>
</file>