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4F46E5"/>
          <w:sz w:val="22"/>
          <w:szCs w:val="22"/>
        </w:rPr>
        <w:t xml:space="preserve">Smartalyze</w:t>
      </w:r>
    </w:p>
    <w:p>
      <w:pPr>
        <w:pStyle w:val="Title"/>
        <w:spacing w:after="120"/>
      </w:pPr>
      <w:r>
        <w:t xml:space="preserve">Document Issues: Needed Fixes</w:t>
      </w:r>
    </w:p>
    <w:p>
      <w:pPr>
        <w:spacing w:after="120"/>
      </w:pPr>
      <w:r>
        <w:t xml:space="preserve">Manuscript reviewed: </w:t>
      </w:r>
      <w:r>
        <w:rPr>
          <w:b/>
          <w:bCs/>
        </w:rPr>
        <w:t xml:space="preserve">SMARTALYZE: AN AI-ASSISTED DATA VISUALIZATION AND ANALYSIS PLATFORM</w:t>
      </w:r>
      <w:r>
        <w:t xml:space="preserve"> (PDF version of October 20, 2026, 89 pages). Page numbers below are PDF page numbers of that version.</w:t>
      </w:r>
    </w:p>
    <w:p>
      <w:pPr>
        <w:spacing w:after="120"/>
      </w:pPr>
      <w:r>
        <w:t xml:space="preserve">System compared: the current version on GitHub (main branch, October 24, 2026).</w:t>
      </w:r>
    </w:p>
    <w:p>
      <w:pPr>
        <w:spacing w:after="120"/>
      </w:pPr>
      <w:r>
        <w:t xml:space="preserve">For each issue this file gives </w:t>
      </w:r>
      <w:r>
        <w:rPr>
          <w:b/>
          <w:bCs/>
        </w:rPr>
        <w:t xml:space="preserve">where</w:t>
      </w:r>
      <w:r>
        <w:t xml:space="preserve"> it is, </w:t>
      </w:r>
      <w:r>
        <w:rPr>
          <w:b/>
          <w:bCs/>
        </w:rPr>
        <w:t xml:space="preserve">why</w:t>
      </w:r>
      <w:r>
        <w:t xml:space="preserve"> it must change, the </w:t>
      </w:r>
      <w:r>
        <w:rPr>
          <w:b/>
          <w:bCs/>
        </w:rPr>
        <w:t xml:space="preserve">exact text to find</w:t>
      </w:r>
      <w:r>
        <w:t xml:space="preserve">, and the </w:t>
      </w:r>
      <w:r>
        <w:rPr>
          <w:b/>
          <w:bCs/>
        </w:rPr>
        <w:t xml:space="preserve">exact text to put instead</w:t>
      </w:r>
      <w:r>
        <w:t xml:space="preserve">. Copy the green text into the manuscript. Bracketed parts like [YEAR] must be filled from the source, never guessed.</w:t>
      </w:r>
    </w:p>
    <w:p>
      <w:pPr>
        <w:pStyle w:val="Heading1"/>
        <w:spacing w:after="160" w:before="360"/>
      </w:pPr>
      <w:r>
        <w:t xml:space="preserve">Summary</w:t>
      </w:r>
    </w:p>
    <w:p>
      <w:pPr>
        <w:spacing w:after="120"/>
      </w:pPr>
      <w:r>
        <w:t xml:space="preserve">Do the “Now” items first; they do not depend on any more system changes. Items marked “After the UI freeze” wait until November 1, 2026, when the system screens stop changing.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026"/>
        <w:gridCol w:w="2400"/>
        <w:gridCol w:w="1800"/>
      </w:tblGrid>
      <w:tr>
        <w:trPr>
          <w:tblHeader/>
        </w:trPr>
        <w:tc>
          <w:tcPr>
            <w:tcW w:type="dxa" w:w="800"/>
            <w:tcBorders>
              <w:top w:val="single" w:color="C9CED6" w:sz="4"/>
              <w:left w:val="single" w:color="C9CED6" w:sz="4"/>
              <w:bottom w:val="single" w:color="C9CED6" w:sz="4"/>
              <w:right w:val="single" w:color="C9CED6" w:sz="4"/>
            </w:tcBorders>
            <w:shd w:fill="DCE4EE" w:color="auto" w:val="clear"/>
            <w:tcMar>
              <w:top w:type="dxa" w:w="90"/>
              <w:left w:type="dxa" w:w="120"/>
              <w:bottom w:type="dxa" w:w="90"/>
              <w:right w:type="dxa" w:w="120"/>
            </w:tcMar>
          </w:tcPr>
          <w:p>
            <w:r>
              <w:rPr>
                <w:b/>
                <w:bCs/>
                <w:sz w:val="20"/>
                <w:szCs w:val="20"/>
              </w:rPr>
              <w:t xml:space="preserve">ID</w:t>
            </w:r>
          </w:p>
        </w:tc>
        <w:tc>
          <w:tcPr>
            <w:tcW w:type="dxa" w:w="4026"/>
            <w:tcBorders>
              <w:top w:val="single" w:color="C9CED6" w:sz="4"/>
              <w:left w:val="single" w:color="C9CED6" w:sz="4"/>
              <w:bottom w:val="single" w:color="C9CED6" w:sz="4"/>
              <w:right w:val="single" w:color="C9CED6" w:sz="4"/>
            </w:tcBorders>
            <w:shd w:fill="DCE4EE" w:color="auto" w:val="clear"/>
            <w:tcMar>
              <w:top w:type="dxa" w:w="90"/>
              <w:left w:type="dxa" w:w="120"/>
              <w:bottom w:type="dxa" w:w="90"/>
              <w:right w:type="dxa" w:w="120"/>
            </w:tcMar>
          </w:tcPr>
          <w:p>
            <w:r>
              <w:rPr>
                <w:b/>
                <w:bCs/>
                <w:sz w:val="20"/>
                <w:szCs w:val="20"/>
              </w:rPr>
              <w:t xml:space="preserve">Issue</w:t>
            </w:r>
          </w:p>
        </w:tc>
        <w:tc>
          <w:tcPr>
            <w:tcW w:type="dxa" w:w="2400"/>
            <w:tcBorders>
              <w:top w:val="single" w:color="C9CED6" w:sz="4"/>
              <w:left w:val="single" w:color="C9CED6" w:sz="4"/>
              <w:bottom w:val="single" w:color="C9CED6" w:sz="4"/>
              <w:right w:val="single" w:color="C9CED6" w:sz="4"/>
            </w:tcBorders>
            <w:shd w:fill="DCE4EE" w:color="auto" w:val="clear"/>
            <w:tcMar>
              <w:top w:type="dxa" w:w="90"/>
              <w:left w:type="dxa" w:w="120"/>
              <w:bottom w:type="dxa" w:w="90"/>
              <w:right w:type="dxa" w:w="120"/>
            </w:tcMar>
          </w:tcPr>
          <w:p>
            <w:r>
              <w:rPr>
                <w:b/>
                <w:bCs/>
                <w:sz w:val="20"/>
                <w:szCs w:val="20"/>
              </w:rPr>
              <w:t xml:space="preserve">Where</w:t>
            </w:r>
          </w:p>
        </w:tc>
        <w:tc>
          <w:tcPr>
            <w:tcW w:type="dxa" w:w="1800"/>
            <w:tcBorders>
              <w:top w:val="single" w:color="C9CED6" w:sz="4"/>
              <w:left w:val="single" w:color="C9CED6" w:sz="4"/>
              <w:bottom w:val="single" w:color="C9CED6" w:sz="4"/>
              <w:right w:val="single" w:color="C9CED6" w:sz="4"/>
            </w:tcBorders>
            <w:shd w:fill="DCE4EE" w:color="auto" w:val="clear"/>
            <w:tcMar>
              <w:top w:type="dxa" w:w="90"/>
              <w:left w:type="dxa" w:w="120"/>
              <w:bottom w:type="dxa" w:w="90"/>
              <w:right w:type="dxa" w:w="120"/>
            </w:tcMar>
          </w:tcPr>
          <w:p>
            <w:r>
              <w:rPr>
                <w:b/>
                <w:bCs/>
                <w:sz w:val="20"/>
                <w:szCs w:val="20"/>
              </w:rPr>
              <w:t xml:space="preserve">When</w:t>
            </w:r>
          </w:p>
        </w:tc>
      </w:tr>
      <w:tr>
        <w:trPr>
          <w:tblHeader w:val="off"/>
        </w:trPr>
        <w:tc>
          <w:tcPr>
            <w:tcW w:type="dxa" w:w="800"/>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D1</w:t>
            </w:r>
          </w:p>
        </w:tc>
        <w:tc>
          <w:tcPr>
            <w:tcW w:type="dxa" w:w="4026"/>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Scope says there is no predictive analysis</w:t>
            </w:r>
          </w:p>
        </w:tc>
        <w:tc>
          <w:tcPr>
            <w:tcW w:type="dxa" w:w="2400"/>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p. 9</w:t>
            </w:r>
          </w:p>
        </w:tc>
        <w:tc>
          <w:tcPr>
            <w:tcW w:type="dxa" w:w="1800"/>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Now</w:t>
            </w:r>
          </w:p>
        </w:tc>
      </w:tr>
      <w:tr>
        <w:trPr>
          <w:tblHeader w:val="off"/>
        </w:trPr>
        <w:tc>
          <w:tcPr>
            <w:tcW w:type="dxa" w:w="800"/>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D2</w:t>
            </w:r>
          </w:p>
        </w:tc>
        <w:tc>
          <w:tcPr>
            <w:tcW w:type="dxa" w:w="4026"/>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Outlier detection is called “machine learning”</w:t>
            </w:r>
          </w:p>
        </w:tc>
        <w:tc>
          <w:tcPr>
            <w:tcW w:type="dxa" w:w="2400"/>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pp. 36, 40, 45, 67, 82</w:t>
            </w:r>
          </w:p>
        </w:tc>
        <w:tc>
          <w:tcPr>
            <w:tcW w:type="dxa" w:w="1800"/>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Now</w:t>
            </w:r>
          </w:p>
        </w:tc>
      </w:tr>
      <w:tr>
        <w:trPr>
          <w:tblHeader w:val="off"/>
        </w:trPr>
        <w:tc>
          <w:tcPr>
            <w:tcW w:type="dxa" w:w="800"/>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D3</w:t>
            </w:r>
          </w:p>
        </w:tc>
        <w:tc>
          <w:tcPr>
            <w:tcW w:type="dxa" w:w="4026"/>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Passwords are described as “encrypted”</w:t>
            </w:r>
          </w:p>
        </w:tc>
        <w:tc>
          <w:tcPr>
            <w:tcW w:type="dxa" w:w="2400"/>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pp. 48, 81</w:t>
            </w:r>
          </w:p>
        </w:tc>
        <w:tc>
          <w:tcPr>
            <w:tcW w:type="dxa" w:w="1800"/>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Now</w:t>
            </w:r>
          </w:p>
        </w:tc>
      </w:tr>
      <w:tr>
        <w:trPr>
          <w:tblHeader w:val="off"/>
        </w:trPr>
        <w:tc>
          <w:tcPr>
            <w:tcW w:type="dxa" w:w="800"/>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D4</w:t>
            </w:r>
          </w:p>
        </w:tc>
        <w:tc>
          <w:tcPr>
            <w:tcW w:type="dxa" w:w="4026"/>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Cleaning execution order is wrong</w:t>
            </w:r>
          </w:p>
        </w:tc>
        <w:tc>
          <w:tcPr>
            <w:tcW w:type="dxa" w:w="2400"/>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p. 65</w:t>
            </w:r>
          </w:p>
        </w:tc>
        <w:tc>
          <w:tcPr>
            <w:tcW w:type="dxa" w:w="1800"/>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Now</w:t>
            </w:r>
          </w:p>
        </w:tc>
      </w:tr>
      <w:tr>
        <w:trPr>
          <w:tblHeader w:val="off"/>
        </w:trPr>
        <w:tc>
          <w:tcPr>
            <w:tcW w:type="dxa" w:w="800"/>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D5</w:t>
            </w:r>
          </w:p>
        </w:tc>
        <w:tc>
          <w:tcPr>
            <w:tcW w:type="dxa" w:w="4026"/>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FR 4 says drafts are only “planned”</w:t>
            </w:r>
          </w:p>
        </w:tc>
        <w:tc>
          <w:tcPr>
            <w:tcW w:type="dxa" w:w="2400"/>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p. 47</w:t>
            </w:r>
          </w:p>
        </w:tc>
        <w:tc>
          <w:tcPr>
            <w:tcW w:type="dxa" w:w="1800"/>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Now</w:t>
            </w:r>
          </w:p>
        </w:tc>
      </w:tr>
      <w:tr>
        <w:trPr>
          <w:tblHeader w:val="off"/>
        </w:trPr>
        <w:tc>
          <w:tcPr>
            <w:tcW w:type="dxa" w:w="800"/>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D6</w:t>
            </w:r>
          </w:p>
        </w:tc>
        <w:tc>
          <w:tcPr>
            <w:tcW w:type="dxa" w:w="4026"/>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FR 2 does not mention renaming datasets</w:t>
            </w:r>
          </w:p>
        </w:tc>
        <w:tc>
          <w:tcPr>
            <w:tcW w:type="dxa" w:w="2400"/>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p. 47</w:t>
            </w:r>
          </w:p>
        </w:tc>
        <w:tc>
          <w:tcPr>
            <w:tcW w:type="dxa" w:w="1800"/>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Now</w:t>
            </w:r>
          </w:p>
        </w:tc>
      </w:tr>
      <w:tr>
        <w:trPr>
          <w:tblHeader w:val="off"/>
        </w:trPr>
        <w:tc>
          <w:tcPr>
            <w:tcW w:type="dxa" w:w="800"/>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D7</w:t>
            </w:r>
          </w:p>
        </w:tc>
        <w:tc>
          <w:tcPr>
            <w:tcW w:type="dxa" w:w="4026"/>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Parquet export is not mentioned</w:t>
            </w:r>
          </w:p>
        </w:tc>
        <w:tc>
          <w:tcPr>
            <w:tcW w:type="dxa" w:w="2400"/>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p. 54</w:t>
            </w:r>
          </w:p>
        </w:tc>
        <w:tc>
          <w:tcPr>
            <w:tcW w:type="dxa" w:w="1800"/>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Now</w:t>
            </w:r>
          </w:p>
        </w:tc>
      </w:tr>
      <w:tr>
        <w:trPr>
          <w:tblHeader w:val="off"/>
        </w:trPr>
        <w:tc>
          <w:tcPr>
            <w:tcW w:type="dxa" w:w="800"/>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D8</w:t>
            </w:r>
          </w:p>
        </w:tc>
        <w:tc>
          <w:tcPr>
            <w:tcW w:type="dxa" w:w="4026"/>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Correlation heatmap and health score are missing from the requirements</w:t>
            </w:r>
          </w:p>
        </w:tc>
        <w:tc>
          <w:tcPr>
            <w:tcW w:type="dxa" w:w="2400"/>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pp. 47–48</w:t>
            </w:r>
          </w:p>
        </w:tc>
        <w:tc>
          <w:tcPr>
            <w:tcW w:type="dxa" w:w="1800"/>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Now</w:t>
            </w:r>
          </w:p>
        </w:tc>
      </w:tr>
      <w:tr>
        <w:trPr>
          <w:tblHeader w:val="off"/>
        </w:trPr>
        <w:tc>
          <w:tcPr>
            <w:tcW w:type="dxa" w:w="800"/>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D10</w:t>
            </w:r>
          </w:p>
        </w:tc>
        <w:tc>
          <w:tcPr>
            <w:tcW w:type="dxa" w:w="4026"/>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Users table in the data dictionary is wrong</w:t>
            </w:r>
          </w:p>
        </w:tc>
        <w:tc>
          <w:tcPr>
            <w:tcW w:type="dxa" w:w="2400"/>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pp. 56–57</w:t>
            </w:r>
          </w:p>
        </w:tc>
        <w:tc>
          <w:tcPr>
            <w:tcW w:type="dxa" w:w="1800"/>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Now</w:t>
            </w:r>
          </w:p>
        </w:tc>
      </w:tr>
      <w:tr>
        <w:trPr>
          <w:tblHeader w:val="off"/>
        </w:trPr>
        <w:tc>
          <w:tcPr>
            <w:tcW w:type="dxa" w:w="800"/>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D11</w:t>
            </w:r>
          </w:p>
        </w:tc>
        <w:tc>
          <w:tcPr>
            <w:tcW w:type="dxa" w:w="4026"/>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Methodology says the language model is “locally installed”</w:t>
            </w:r>
          </w:p>
        </w:tc>
        <w:tc>
          <w:tcPr>
            <w:tcW w:type="dxa" w:w="2400"/>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p. 38</w:t>
            </w:r>
          </w:p>
        </w:tc>
        <w:tc>
          <w:tcPr>
            <w:tcW w:type="dxa" w:w="1800"/>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Now</w:t>
            </w:r>
          </w:p>
        </w:tc>
      </w:tr>
      <w:tr>
        <w:trPr>
          <w:tblHeader w:val="off"/>
        </w:trPr>
        <w:tc>
          <w:tcPr>
            <w:tcW w:type="dxa" w:w="800"/>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D12</w:t>
            </w:r>
          </w:p>
        </w:tc>
        <w:tc>
          <w:tcPr>
            <w:tcW w:type="dxa" w:w="4026"/>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Forecast range is called a “confidence band / interval”</w:t>
            </w:r>
          </w:p>
        </w:tc>
        <w:tc>
          <w:tcPr>
            <w:tcW w:type="dxa" w:w="2400"/>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p. 69</w:t>
            </w:r>
          </w:p>
        </w:tc>
        <w:tc>
          <w:tcPr>
            <w:tcW w:type="dxa" w:w="1800"/>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Now</w:t>
            </w:r>
          </w:p>
        </w:tc>
      </w:tr>
      <w:tr>
        <w:trPr>
          <w:tblHeader w:val="off"/>
        </w:trPr>
        <w:tc>
          <w:tcPr>
            <w:tcW w:type="dxa" w:w="800"/>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D14</w:t>
            </w:r>
          </w:p>
        </w:tc>
        <w:tc>
          <w:tcPr>
            <w:tcW w:type="dxa" w:w="4026"/>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AuthSessions table has no primary key</w:t>
            </w:r>
          </w:p>
        </w:tc>
        <w:tc>
          <w:tcPr>
            <w:tcW w:type="dxa" w:w="2400"/>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p. 57</w:t>
            </w:r>
          </w:p>
        </w:tc>
        <w:tc>
          <w:tcPr>
            <w:tcW w:type="dxa" w:w="1800"/>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Now</w:t>
            </w:r>
          </w:p>
        </w:tc>
      </w:tr>
      <w:tr>
        <w:trPr>
          <w:tblHeader w:val="off"/>
        </w:trPr>
        <w:tc>
          <w:tcPr>
            <w:tcW w:type="dxa" w:w="800"/>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D22</w:t>
            </w:r>
          </w:p>
        </w:tc>
        <w:tc>
          <w:tcPr>
            <w:tcW w:type="dxa" w:w="4026"/>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Objective 4: explain how grouping is recommended</w:t>
            </w:r>
          </w:p>
        </w:tc>
        <w:tc>
          <w:tcPr>
            <w:tcW w:type="dxa" w:w="2400"/>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p. 66</w:t>
            </w:r>
          </w:p>
        </w:tc>
        <w:tc>
          <w:tcPr>
            <w:tcW w:type="dxa" w:w="1800"/>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Now</w:t>
            </w:r>
          </w:p>
        </w:tc>
      </w:tr>
      <w:tr>
        <w:trPr>
          <w:tblHeader w:val="off"/>
        </w:trPr>
        <w:tc>
          <w:tcPr>
            <w:tcW w:type="dxa" w:w="800"/>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D9</w:t>
            </w:r>
          </w:p>
        </w:tc>
        <w:tc>
          <w:tcPr>
            <w:tcW w:type="dxa" w:w="4026"/>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Table 9 test results are all “TBD”</w:t>
            </w:r>
          </w:p>
        </w:tc>
        <w:tc>
          <w:tcPr>
            <w:tcW w:type="dxa" w:w="2400"/>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pp. 78–79</w:t>
            </w:r>
          </w:p>
        </w:tc>
        <w:tc>
          <w:tcPr>
            <w:tcW w:type="dxa" w:w="1800"/>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After the UI freeze (Nov 1)</w:t>
            </w:r>
          </w:p>
        </w:tc>
      </w:tr>
      <w:tr>
        <w:trPr>
          <w:tblHeader w:val="off"/>
        </w:trPr>
        <w:tc>
          <w:tcPr>
            <w:tcW w:type="dxa" w:w="800"/>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D19</w:t>
            </w:r>
          </w:p>
        </w:tc>
        <w:tc>
          <w:tcPr>
            <w:tcW w:type="dxa" w:w="4026"/>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Screenshots are out of date</w:t>
            </w:r>
          </w:p>
        </w:tc>
        <w:tc>
          <w:tcPr>
            <w:tcW w:type="dxa" w:w="2400"/>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All system screenshots</w:t>
            </w:r>
          </w:p>
        </w:tc>
        <w:tc>
          <w:tcPr>
            <w:tcW w:type="dxa" w:w="1800"/>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After the UI freeze (Nov 1)</w:t>
            </w:r>
          </w:p>
        </w:tc>
      </w:tr>
      <w:tr>
        <w:trPr>
          <w:tblHeader w:val="off"/>
        </w:trPr>
        <w:tc>
          <w:tcPr>
            <w:tcW w:type="dxa" w:w="800"/>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D20</w:t>
            </w:r>
          </w:p>
        </w:tc>
        <w:tc>
          <w:tcPr>
            <w:tcW w:type="dxa" w:w="4026"/>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NFR 4 does not mention the guided help or the AI panel</w:t>
            </w:r>
          </w:p>
        </w:tc>
        <w:tc>
          <w:tcPr>
            <w:tcW w:type="dxa" w:w="2400"/>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p. 49</w:t>
            </w:r>
          </w:p>
        </w:tc>
        <w:tc>
          <w:tcPr>
            <w:tcW w:type="dxa" w:w="1800"/>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After the UI freeze (Nov 1)</w:t>
            </w:r>
          </w:p>
        </w:tc>
      </w:tr>
      <w:tr>
        <w:trPr>
          <w:tblHeader w:val="off"/>
        </w:trPr>
        <w:tc>
          <w:tcPr>
            <w:tcW w:type="dxa" w:w="800"/>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D21</w:t>
            </w:r>
          </w:p>
        </w:tc>
        <w:tc>
          <w:tcPr>
            <w:tcW w:type="dxa" w:w="4026"/>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AI sections do not say when explanations are generated</w:t>
            </w:r>
          </w:p>
        </w:tc>
        <w:tc>
          <w:tcPr>
            <w:tcW w:type="dxa" w:w="2400"/>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pp. 47, 54</w:t>
            </w:r>
          </w:p>
        </w:tc>
        <w:tc>
          <w:tcPr>
            <w:tcW w:type="dxa" w:w="1800"/>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After the UI freeze (Nov 1)</w:t>
            </w:r>
          </w:p>
        </w:tc>
      </w:tr>
      <w:tr>
        <w:trPr>
          <w:tblHeader w:val="off"/>
        </w:trPr>
        <w:tc>
          <w:tcPr>
            <w:tcW w:type="dxa" w:w="800"/>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D23</w:t>
            </w:r>
          </w:p>
        </w:tc>
        <w:tc>
          <w:tcPr>
            <w:tcW w:type="dxa" w:w="4026"/>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Hosting is not described (NEW)</w:t>
            </w:r>
          </w:p>
        </w:tc>
        <w:tc>
          <w:tcPr>
            <w:tcW w:type="dxa" w:w="2400"/>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pp. 45, 80</w:t>
            </w:r>
          </w:p>
        </w:tc>
        <w:tc>
          <w:tcPr>
            <w:tcW w:type="dxa" w:w="1800"/>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After deployment (planned before Nov 1)</w:t>
            </w:r>
          </w:p>
        </w:tc>
      </w:tr>
      <w:tr>
        <w:trPr>
          <w:tblHeader w:val="off"/>
        </w:trPr>
        <w:tc>
          <w:tcPr>
            <w:tcW w:type="dxa" w:w="800"/>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D15</w:t>
            </w:r>
          </w:p>
        </w:tc>
        <w:tc>
          <w:tcPr>
            <w:tcW w:type="dxa" w:w="4026"/>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Cover date and Gantt chart end in June / May 2026</w:t>
            </w:r>
          </w:p>
        </w:tc>
        <w:tc>
          <w:tcPr>
            <w:tcW w:type="dxa" w:w="2400"/>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pp. 1, 41</w:t>
            </w:r>
          </w:p>
        </w:tc>
        <w:tc>
          <w:tcPr>
            <w:tcW w:type="dxa" w:w="1800"/>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Now</w:t>
            </w:r>
          </w:p>
        </w:tc>
      </w:tr>
      <w:tr>
        <w:trPr>
          <w:tblHeader w:val="off"/>
        </w:trPr>
        <w:tc>
          <w:tcPr>
            <w:tcW w:type="dxa" w:w="800"/>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D16</w:t>
            </w:r>
          </w:p>
        </w:tc>
        <w:tc>
          <w:tcPr>
            <w:tcW w:type="dxa" w:w="4026"/>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“Cited by” counts left in the references</w:t>
            </w:r>
          </w:p>
        </w:tc>
        <w:tc>
          <w:tcPr>
            <w:tcW w:type="dxa" w:w="2400"/>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p. 83</w:t>
            </w:r>
          </w:p>
        </w:tc>
        <w:tc>
          <w:tcPr>
            <w:tcW w:type="dxa" w:w="1800"/>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Now</w:t>
            </w:r>
          </w:p>
        </w:tc>
      </w:tr>
      <w:tr>
        <w:trPr>
          <w:tblHeader w:val="off"/>
        </w:trPr>
        <w:tc>
          <w:tcPr>
            <w:tcW w:type="dxa" w:w="800"/>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D17</w:t>
            </w:r>
          </w:p>
        </w:tc>
        <w:tc>
          <w:tcPr>
            <w:tcW w:type="dxa" w:w="4026"/>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References [17] and [18] may not support their sentences</w:t>
            </w:r>
          </w:p>
        </w:tc>
        <w:tc>
          <w:tcPr>
            <w:tcW w:type="dxa" w:w="2400"/>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pp. 5, 85</w:t>
            </w:r>
          </w:p>
        </w:tc>
        <w:tc>
          <w:tcPr>
            <w:tcW w:type="dxa" w:w="1800"/>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Now</w:t>
            </w:r>
          </w:p>
        </w:tc>
      </w:tr>
      <w:tr>
        <w:trPr>
          <w:tblHeader w:val="off"/>
        </w:trPr>
        <w:tc>
          <w:tcPr>
            <w:tcW w:type="dxa" w:w="800"/>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D18</w:t>
            </w:r>
          </w:p>
        </w:tc>
        <w:tc>
          <w:tcPr>
            <w:tcW w:type="dxa" w:w="4026"/>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Leftover yellow highlights</w:t>
            </w:r>
          </w:p>
        </w:tc>
        <w:tc>
          <w:tcPr>
            <w:tcW w:type="dxa" w:w="2400"/>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Whole document</w:t>
            </w:r>
          </w:p>
        </w:tc>
        <w:tc>
          <w:tcPr>
            <w:tcW w:type="dxa" w:w="1800"/>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Now</w:t>
            </w:r>
          </w:p>
        </w:tc>
      </w:tr>
      <w:tr>
        <w:trPr>
          <w:tblHeader w:val="off"/>
        </w:trPr>
        <w:tc>
          <w:tcPr>
            <w:tcW w:type="dxa" w:w="800"/>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D24</w:t>
            </w:r>
          </w:p>
        </w:tc>
        <w:tc>
          <w:tcPr>
            <w:tcW w:type="dxa" w:w="4026"/>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Data dictionary tables 6 and 7 (NEW)</w:t>
            </w:r>
          </w:p>
        </w:tc>
        <w:tc>
          <w:tcPr>
            <w:tcW w:type="dxa" w:w="2400"/>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pp. 59–60</w:t>
            </w:r>
          </w:p>
        </w:tc>
        <w:tc>
          <w:tcPr>
            <w:tcW w:type="dxa" w:w="1800"/>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Now</w:t>
            </w:r>
          </w:p>
        </w:tc>
      </w:tr>
    </w:tbl>
    <w:p>
      <w:pPr>
        <w:spacing w:after="120"/>
      </w:pPr>
    </w:p>
    <w:p>
      <w:pPr>
        <w:pStyle w:val="Heading1"/>
        <w:spacing w:after="160" w:before="360"/>
      </w:pPr>
      <w:r>
        <w:t xml:space="preserve">Part 1. Text fixes to do now</w:t>
      </w:r>
    </w:p>
    <w:p>
      <w:pPr>
        <w:pStyle w:val="Heading2"/>
        <w:keepNext/>
        <w:spacing w:after="120" w:before="280"/>
      </w:pPr>
      <w:r>
        <w:t xml:space="preserve">D1  ·  Scope says there is no predictive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val="off"/>
        </w:trPr>
        <w:tc>
          <w:tcPr>
            <w:tcW w:type="dxa" w:w="1800"/>
            <w:tcBorders>
              <w:top w:val="single" w:color="C9CED6" w:sz="4"/>
              <w:left w:val="single" w:color="C9CED6" w:sz="4"/>
              <w:bottom w:val="single" w:color="C9CED6" w:sz="4"/>
              <w:right w:val="single" w:color="C9CED6" w:sz="4"/>
            </w:tcBorders>
            <w:shd w:fill="EEF1F5" w:color="auto" w:val="clear"/>
            <w:tcMar>
              <w:top w:type="dxa" w:w="90"/>
              <w:left w:type="dxa" w:w="120"/>
              <w:bottom w:type="dxa" w:w="90"/>
              <w:right w:type="dxa" w:w="120"/>
            </w:tcMar>
          </w:tcPr>
          <w:p>
            <w:r>
              <w:rPr>
                <w:b/>
                <w:bCs/>
                <w:sz w:val="20"/>
                <w:szCs w:val="20"/>
              </w:rPr>
              <w:t xml:space="preserve">Where</w:t>
            </w:r>
          </w:p>
        </w:tc>
        <w:tc>
          <w:tcPr>
            <w:tcW w:type="dxa" w:w="7226"/>
            <w:tcBorders>
              <w:top w:val="single" w:color="C9CED6" w:sz="4"/>
              <w:left w:val="single" w:color="C9CED6" w:sz="4"/>
              <w:bottom w:val="single" w:color="C9CED6" w:sz="4"/>
              <w:right w:val="single" w:color="C9CED6" w:sz="4"/>
            </w:tcBorders>
            <w:tcMar>
              <w:top w:type="dxa" w:w="90"/>
              <w:left w:type="dxa" w:w="120"/>
              <w:bottom w:type="dxa" w:w="90"/>
              <w:right w:type="dxa" w:w="120"/>
            </w:tcMar>
          </w:tcPr>
          <w:p>
            <w:pPr>
              <w:spacing w:after="80"/>
            </w:pPr>
            <w:r>
              <w:t xml:space="preserve">Chapter 1, Scope and Limitation, p. 9 (paragraph on visualization capabilities).</w:t>
            </w:r>
          </w:p>
        </w:tc>
      </w:tr>
      <w:tr>
        <w:trPr>
          <w:cantSplit w:val="off"/>
        </w:trPr>
        <w:tc>
          <w:tcPr>
            <w:tcW w:type="dxa" w:w="1800"/>
            <w:tcBorders>
              <w:top w:val="single" w:color="C9CED6" w:sz="4"/>
              <w:left w:val="single" w:color="C9CED6" w:sz="4"/>
              <w:bottom w:val="single" w:color="C9CED6" w:sz="4"/>
              <w:right w:val="single" w:color="C9CED6" w:sz="4"/>
            </w:tcBorders>
            <w:shd w:fill="EEF1F5" w:color="auto" w:val="clear"/>
            <w:tcMar>
              <w:top w:type="dxa" w:w="90"/>
              <w:left w:type="dxa" w:w="120"/>
              <w:bottom w:type="dxa" w:w="90"/>
              <w:right w:type="dxa" w:w="120"/>
            </w:tcMar>
          </w:tcPr>
          <w:p>
            <w:r>
              <w:rPr>
                <w:b/>
                <w:bCs/>
                <w:sz w:val="20"/>
                <w:szCs w:val="20"/>
              </w:rPr>
              <w:t xml:space="preserve">Why</w:t>
            </w:r>
          </w:p>
        </w:tc>
        <w:tc>
          <w:tcPr>
            <w:tcW w:type="dxa" w:w="7226"/>
            <w:tcBorders>
              <w:top w:val="single" w:color="C9CED6" w:sz="4"/>
              <w:left w:val="single" w:color="C9CED6" w:sz="4"/>
              <w:bottom w:val="single" w:color="C9CED6" w:sz="4"/>
              <w:right w:val="single" w:color="C9CED6" w:sz="4"/>
            </w:tcBorders>
            <w:tcMar>
              <w:top w:type="dxa" w:w="90"/>
              <w:left w:type="dxa" w:w="120"/>
              <w:bottom w:type="dxa" w:w="90"/>
              <w:right w:type="dxa" w:w="120"/>
            </w:tcMar>
          </w:tcPr>
          <w:p>
            <w:pPr>
              <w:spacing w:after="80"/>
            </w:pPr>
            <w:r>
              <w:t xml:space="preserve">The system has a </w:t>
            </w:r>
            <w:r>
              <w:rPr>
                <w:b/>
                <w:bCs/>
              </w:rPr>
              <w:t xml:space="preserve">Predict</w:t>
            </w:r>
            <w:r>
              <w:t xml:space="preserve"> tab (linear regression forecast), and p. 69 and DFD process 6.0 (p. 54) describe prediction. The Scope sentence contradicts both.</w:t>
            </w:r>
          </w:p>
        </w:tc>
      </w:tr>
      <w:tr>
        <w:trPr>
          <w:cantSplit w:val="off"/>
        </w:trPr>
        <w:tc>
          <w:tcPr>
            <w:tcW w:type="dxa" w:w="1800"/>
            <w:tcBorders>
              <w:top w:val="single" w:color="C9CED6" w:sz="4"/>
              <w:left w:val="single" w:color="C9CED6" w:sz="4"/>
              <w:bottom w:val="single" w:color="C9CED6" w:sz="4"/>
              <w:right w:val="single" w:color="C9CED6" w:sz="4"/>
            </w:tcBorders>
            <w:shd w:fill="EEF1F5" w:color="auto" w:val="clear"/>
            <w:tcMar>
              <w:top w:type="dxa" w:w="90"/>
              <w:left w:type="dxa" w:w="120"/>
              <w:bottom w:type="dxa" w:w="90"/>
              <w:right w:type="dxa" w:w="120"/>
            </w:tcMar>
          </w:tcPr>
          <w:p>
            <w:r>
              <w:rPr>
                <w:b/>
                <w:bCs/>
                <w:sz w:val="20"/>
                <w:szCs w:val="20"/>
              </w:rPr>
              <w:t xml:space="preserve">Find this text</w:t>
            </w:r>
          </w:p>
        </w:tc>
        <w:tc>
          <w:tcPr>
            <w:tcW w:type="dxa" w:w="7226"/>
            <w:tcBorders>
              <w:top w:val="single" w:color="C9CED6" w:sz="4"/>
              <w:left w:val="single" w:color="C9CED6" w:sz="4"/>
              <w:bottom w:val="single" w:color="C9CED6" w:sz="4"/>
              <w:right w:val="single" w:color="C9CED6" w:sz="4"/>
            </w:tcBorders>
            <w:shd w:fill="F6F7F9" w:color="auto" w:val="clear"/>
            <w:tcMar>
              <w:top w:type="dxa" w:w="90"/>
              <w:left w:type="dxa" w:w="120"/>
              <w:bottom w:type="dxa" w:w="90"/>
              <w:right w:type="dxa" w:w="120"/>
            </w:tcMar>
          </w:tcPr>
          <w:p>
            <w:pPr>
              <w:spacing w:after="80"/>
            </w:pPr>
            <w:r>
              <w:rPr>
                <w:i/>
                <w:iCs/>
              </w:rPr>
              <w:t xml:space="preserve">“Smartalyze will not have a business intelligence dashboard, real-time analytics, and other advanced tools such as predictive analysis.”</w:t>
            </w:r>
          </w:p>
        </w:tc>
      </w:tr>
      <w:tr>
        <w:trPr>
          <w:cantSplit w:val="off"/>
        </w:trPr>
        <w:tc>
          <w:tcPr>
            <w:tcW w:type="dxa" w:w="1800"/>
            <w:tcBorders>
              <w:top w:val="single" w:color="C9CED6" w:sz="4"/>
              <w:left w:val="single" w:color="C9CED6" w:sz="4"/>
              <w:bottom w:val="single" w:color="C9CED6" w:sz="4"/>
              <w:right w:val="single" w:color="C9CED6" w:sz="4"/>
            </w:tcBorders>
            <w:shd w:fill="EEF1F5" w:color="auto" w:val="clear"/>
            <w:tcMar>
              <w:top w:type="dxa" w:w="90"/>
              <w:left w:type="dxa" w:w="120"/>
              <w:bottom w:type="dxa" w:w="90"/>
              <w:right w:type="dxa" w:w="120"/>
            </w:tcMar>
          </w:tcPr>
          <w:p>
            <w:r>
              <w:rPr>
                <w:b/>
                <w:bCs/>
                <w:sz w:val="20"/>
                <w:szCs w:val="20"/>
              </w:rPr>
              <w:t xml:space="preserve">Change to</w:t>
            </w:r>
          </w:p>
        </w:tc>
        <w:tc>
          <w:tcPr>
            <w:tcW w:type="dxa" w:w="7226"/>
            <w:tcBorders>
              <w:top w:val="single" w:color="C9CED6" w:sz="4"/>
              <w:left w:val="single" w:color="C9CED6" w:sz="4"/>
              <w:bottom w:val="single" w:color="C9CED6" w:sz="4"/>
              <w:right w:val="single" w:color="C9CED6" w:sz="4"/>
            </w:tcBorders>
            <w:shd w:fill="EAF6EC" w:color="auto" w:val="clear"/>
            <w:tcMar>
              <w:top w:type="dxa" w:w="90"/>
              <w:left w:type="dxa" w:w="120"/>
              <w:bottom w:type="dxa" w:w="90"/>
              <w:right w:type="dxa" w:w="120"/>
            </w:tcMar>
          </w:tcPr>
          <w:p>
            <w:pPr>
              <w:spacing w:after="80"/>
            </w:pPr>
            <w:r>
              <w:t xml:space="preserve">Smartalyze will not have a business intelligence dashboard, real-time analytics, or advanced predictive modeling. Its forecasting is limited to simple linear regression on one numeric column, shown with a 95% prediction interval.</w:t>
            </w:r>
          </w:p>
        </w:tc>
      </w:tr>
    </w:tbl>
    <w:p>
      <w:pPr>
        <w:spacing w:after="120"/>
      </w:pPr>
    </w:p>
    <w:p>
      <w:pPr>
        <w:pStyle w:val="Heading2"/>
        <w:keepNext/>
        <w:spacing w:after="120" w:before="280"/>
      </w:pPr>
      <w:r>
        <w:t xml:space="preserve">D2  ·  Outlier detection is called “machine learning”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val="off"/>
        </w:trPr>
        <w:tc>
          <w:tcPr>
            <w:tcW w:type="dxa" w:w="1800"/>
            <w:tcBorders>
              <w:top w:val="single" w:color="C9CED6" w:sz="4"/>
              <w:left w:val="single" w:color="C9CED6" w:sz="4"/>
              <w:bottom w:val="single" w:color="C9CED6" w:sz="4"/>
              <w:right w:val="single" w:color="C9CED6" w:sz="4"/>
            </w:tcBorders>
            <w:shd w:fill="EEF1F5" w:color="auto" w:val="clear"/>
            <w:tcMar>
              <w:top w:type="dxa" w:w="90"/>
              <w:left w:type="dxa" w:w="120"/>
              <w:bottom w:type="dxa" w:w="90"/>
              <w:right w:type="dxa" w:w="120"/>
            </w:tcMar>
          </w:tcPr>
          <w:p>
            <w:r>
              <w:rPr>
                <w:b/>
                <w:bCs/>
                <w:sz w:val="20"/>
                <w:szCs w:val="20"/>
              </w:rPr>
              <w:t xml:space="preserve">Where</w:t>
            </w:r>
          </w:p>
        </w:tc>
        <w:tc>
          <w:tcPr>
            <w:tcW w:type="dxa" w:w="7226"/>
            <w:tcBorders>
              <w:top w:val="single" w:color="C9CED6" w:sz="4"/>
              <w:left w:val="single" w:color="C9CED6" w:sz="4"/>
              <w:bottom w:val="single" w:color="C9CED6" w:sz="4"/>
              <w:right w:val="single" w:color="C9CED6" w:sz="4"/>
            </w:tcBorders>
            <w:tcMar>
              <w:top w:type="dxa" w:w="90"/>
              <w:left w:type="dxa" w:w="120"/>
              <w:bottom w:type="dxa" w:w="90"/>
              <w:right w:type="dxa" w:w="120"/>
            </w:tcMar>
          </w:tcPr>
          <w:p>
            <w:pPr>
              <w:spacing w:after="80"/>
            </w:pPr>
            <w:r>
              <w:t xml:space="preserve">Six places: p. 36, p. 40, p. 45 (twice), p. 67, p. 82.</w:t>
            </w:r>
          </w:p>
        </w:tc>
      </w:tr>
      <w:tr>
        <w:trPr>
          <w:cantSplit w:val="off"/>
        </w:trPr>
        <w:tc>
          <w:tcPr>
            <w:tcW w:type="dxa" w:w="1800"/>
            <w:tcBorders>
              <w:top w:val="single" w:color="C9CED6" w:sz="4"/>
              <w:left w:val="single" w:color="C9CED6" w:sz="4"/>
              <w:bottom w:val="single" w:color="C9CED6" w:sz="4"/>
              <w:right w:val="single" w:color="C9CED6" w:sz="4"/>
            </w:tcBorders>
            <w:shd w:fill="EEF1F5" w:color="auto" w:val="clear"/>
            <w:tcMar>
              <w:top w:type="dxa" w:w="90"/>
              <w:left w:type="dxa" w:w="120"/>
              <w:bottom w:type="dxa" w:w="90"/>
              <w:right w:type="dxa" w:w="120"/>
            </w:tcMar>
          </w:tcPr>
          <w:p>
            <w:r>
              <w:rPr>
                <w:b/>
                <w:bCs/>
                <w:sz w:val="20"/>
                <w:szCs w:val="20"/>
              </w:rPr>
              <w:t xml:space="preserve">Why</w:t>
            </w:r>
          </w:p>
        </w:tc>
        <w:tc>
          <w:tcPr>
            <w:tcW w:type="dxa" w:w="7226"/>
            <w:tcBorders>
              <w:top w:val="single" w:color="C9CED6" w:sz="4"/>
              <w:left w:val="single" w:color="C9CED6" w:sz="4"/>
              <w:bottom w:val="single" w:color="C9CED6" w:sz="4"/>
              <w:right w:val="single" w:color="C9CED6" w:sz="4"/>
            </w:tcBorders>
            <w:tcMar>
              <w:top w:type="dxa" w:w="90"/>
              <w:left w:type="dxa" w:w="120"/>
              <w:bottom w:type="dxa" w:w="90"/>
              <w:right w:type="dxa" w:w="120"/>
            </w:tcMar>
          </w:tcPr>
          <w:p>
            <w:pPr>
              <w:spacing w:after="80"/>
            </w:pPr>
            <w:r>
              <w:t xml:space="preserve">Outliers are found with the </w:t>
            </w:r>
            <w:r>
              <w:rPr>
                <w:b/>
                <w:bCs/>
              </w:rPr>
              <w:t xml:space="preserve">IQR rule</w:t>
            </w:r>
            <w:r>
              <w:t xml:space="preserve">, which is a </w:t>
            </w:r>
            <w:r>
              <w:rPr>
                <w:b/>
                <w:bCs/>
              </w:rPr>
              <w:t xml:space="preserve">statistical method</w:t>
            </w:r>
            <w:r>
              <w:t xml:space="preserve">, not machine learning. Only the trend analysis and forecast use machine learning (scikit-learn linear regression).</w:t>
            </w:r>
          </w:p>
          <w:p>
            <w:pPr>
              <w:spacing w:after="80"/>
            </w:pPr>
            <w:r>
              <w:t xml:space="preserve">A panelist reading “machine learning anomaly detection” can ask which model was trained. Being exact here avoids that question.</w:t>
            </w:r>
          </w:p>
        </w:tc>
      </w:tr>
      <w:tr>
        <w:trPr>
          <w:cantSplit w:val="off"/>
        </w:trPr>
        <w:tc>
          <w:tcPr>
            <w:tcW w:type="dxa" w:w="1800"/>
            <w:tcBorders>
              <w:top w:val="single" w:color="C9CED6" w:sz="4"/>
              <w:left w:val="single" w:color="C9CED6" w:sz="4"/>
              <w:bottom w:val="single" w:color="C9CED6" w:sz="4"/>
              <w:right w:val="single" w:color="C9CED6" w:sz="4"/>
            </w:tcBorders>
            <w:shd w:fill="EEF1F5" w:color="auto" w:val="clear"/>
            <w:tcMar>
              <w:top w:type="dxa" w:w="90"/>
              <w:left w:type="dxa" w:w="120"/>
              <w:bottom w:type="dxa" w:w="90"/>
              <w:right w:type="dxa" w:w="120"/>
            </w:tcMar>
          </w:tcPr>
          <w:p>
            <w:r>
              <w:rPr>
                <w:b/>
                <w:bCs/>
                <w:sz w:val="20"/>
                <w:szCs w:val="20"/>
              </w:rPr>
              <w:t xml:space="preserve">Find this text</w:t>
            </w:r>
          </w:p>
        </w:tc>
        <w:tc>
          <w:tcPr>
            <w:tcW w:type="dxa" w:w="7226"/>
            <w:tcBorders>
              <w:top w:val="single" w:color="C9CED6" w:sz="4"/>
              <w:left w:val="single" w:color="C9CED6" w:sz="4"/>
              <w:bottom w:val="single" w:color="C9CED6" w:sz="4"/>
              <w:right w:val="single" w:color="C9CED6" w:sz="4"/>
            </w:tcBorders>
            <w:shd w:fill="F6F7F9" w:color="auto" w:val="clear"/>
            <w:tcMar>
              <w:top w:type="dxa" w:w="90"/>
              <w:left w:type="dxa" w:w="120"/>
              <w:bottom w:type="dxa" w:w="90"/>
              <w:right w:type="dxa" w:w="120"/>
            </w:tcMar>
          </w:tcPr>
          <w:p>
            <w:pPr>
              <w:spacing w:after="80"/>
            </w:pPr>
            <w:r>
              <w:rPr>
                <w:i/>
                <w:iCs/>
              </w:rPr>
              <w:t xml:space="preserve">“p. 36: …such as data pre-processing rules, visualizations and machine learning-based anomaly detection, which requires constant improvement…”</w:t>
            </w:r>
          </w:p>
          <w:p>
            <w:pPr>
              <w:spacing w:after="80"/>
            </w:pPr>
            <w:r>
              <w:rPr>
                <w:i/>
                <w:iCs/>
              </w:rPr>
              <w:t xml:space="preserve">“p. 40 (Iteration 3): Machine learning features will be integrated into the app to analyze deeper patterns in data, detect anomalies, and produce trend analysis of the uploaded datasets.”</w:t>
            </w:r>
          </w:p>
          <w:p>
            <w:pPr>
              <w:spacing w:after="80"/>
            </w:pPr>
            <w:r>
              <w:rPr>
                <w:i/>
                <w:iCs/>
              </w:rPr>
              <w:t xml:space="preserve">“p. 45 (Software Components): …as well as carry out machine learning algorithms to detect trends and anomalies.”</w:t>
            </w:r>
          </w:p>
          <w:p>
            <w:pPr>
              <w:spacing w:after="80"/>
            </w:pPr>
            <w:r>
              <w:rPr>
                <w:i/>
                <w:iCs/>
              </w:rPr>
              <w:t xml:space="preserve">“p. 45 (Processing Components): …data cleaning, machine learning-based trend analysis, anomaly detection, and visualization preparation…”</w:t>
            </w:r>
          </w:p>
          <w:p>
            <w:pPr>
              <w:spacing w:after="80"/>
            </w:pPr>
            <w:r>
              <w:rPr>
                <w:i/>
                <w:iCs/>
              </w:rPr>
              <w:t xml:space="preserve">“p. 67: Smartalyze employs machine learning and statistics techniques to detect patterns, trends, and anomalies.”</w:t>
            </w:r>
          </w:p>
          <w:p>
            <w:pPr>
              <w:spacing w:after="80"/>
            </w:pPr>
            <w:r>
              <w:rPr>
                <w:i/>
                <w:iCs/>
              </w:rPr>
              <w:t xml:space="preserve">“p. 82 (Model and Rule Updates): The rule-based preprocessor and machine-learning components will be evaluated and revised from time to time to enhance anomaly detection, trend detection, and data quality assessment abilities.”</w:t>
            </w:r>
          </w:p>
        </w:tc>
      </w:tr>
      <w:tr>
        <w:trPr>
          <w:cantSplit w:val="off"/>
        </w:trPr>
        <w:tc>
          <w:tcPr>
            <w:tcW w:type="dxa" w:w="1800"/>
            <w:tcBorders>
              <w:top w:val="single" w:color="C9CED6" w:sz="4"/>
              <w:left w:val="single" w:color="C9CED6" w:sz="4"/>
              <w:bottom w:val="single" w:color="C9CED6" w:sz="4"/>
              <w:right w:val="single" w:color="C9CED6" w:sz="4"/>
            </w:tcBorders>
            <w:shd w:fill="EEF1F5" w:color="auto" w:val="clear"/>
            <w:tcMar>
              <w:top w:type="dxa" w:w="90"/>
              <w:left w:type="dxa" w:w="120"/>
              <w:bottom w:type="dxa" w:w="90"/>
              <w:right w:type="dxa" w:w="120"/>
            </w:tcMar>
          </w:tcPr>
          <w:p>
            <w:r>
              <w:rPr>
                <w:b/>
                <w:bCs/>
                <w:sz w:val="20"/>
                <w:szCs w:val="20"/>
              </w:rPr>
              <w:t xml:space="preserve">Change to</w:t>
            </w:r>
          </w:p>
        </w:tc>
        <w:tc>
          <w:tcPr>
            <w:tcW w:type="dxa" w:w="7226"/>
            <w:tcBorders>
              <w:top w:val="single" w:color="C9CED6" w:sz="4"/>
              <w:left w:val="single" w:color="C9CED6" w:sz="4"/>
              <w:bottom w:val="single" w:color="C9CED6" w:sz="4"/>
              <w:right w:val="single" w:color="C9CED6" w:sz="4"/>
            </w:tcBorders>
            <w:shd w:fill="EAF6EC" w:color="auto" w:val="clear"/>
            <w:tcMar>
              <w:top w:type="dxa" w:w="90"/>
              <w:left w:type="dxa" w:w="120"/>
              <w:bottom w:type="dxa" w:w="90"/>
              <w:right w:type="dxa" w:w="120"/>
            </w:tcMar>
          </w:tcPr>
          <w:p>
            <w:pPr>
              <w:spacing w:after="80"/>
            </w:pPr>
            <w:r>
              <w:rPr>
                <w:b/>
                <w:bCs/>
              </w:rPr>
              <w:t xml:space="preserve">p. 36:</w:t>
            </w:r>
            <w:r>
              <w:t xml:space="preserve"> …such as data pre-processing rules, visualizations, statistical anomaly detection (the IQR method) and machine learning-based trend analysis, which require constant improvement…</w:t>
            </w:r>
          </w:p>
          <w:p>
            <w:pPr>
              <w:spacing w:after="80"/>
            </w:pPr>
            <w:r>
              <w:rPr>
                <w:b/>
                <w:bCs/>
              </w:rPr>
              <w:t xml:space="preserve">p. 40:</w:t>
            </w:r>
            <w:r>
              <w:t xml:space="preserve"> Analysis features will be integrated into the app: machine learning (linear regression) for trend analysis and forecasting, the IQR statistical method for anomaly detection, and grouping recommendations based on the correlation ratio (η²).</w:t>
            </w:r>
          </w:p>
          <w:p>
            <w:pPr>
              <w:spacing w:after="80"/>
            </w:pPr>
            <w:r>
              <w:rPr>
                <w:b/>
                <w:bCs/>
              </w:rPr>
              <w:t xml:space="preserve">p. 45 (Software Components):</w:t>
            </w:r>
            <w:r>
              <w:t xml:space="preserve"> …as well as apply a machine learning algorithm (linear regression) to detect trends and forecast values, and a statistical method (IQR) to detect anomalies.</w:t>
            </w:r>
          </w:p>
          <w:p>
            <w:pPr>
              <w:spacing w:after="80"/>
            </w:pPr>
            <w:r>
              <w:rPr>
                <w:b/>
                <w:bCs/>
              </w:rPr>
              <w:t xml:space="preserve">p. 45 (Processing Components):</w:t>
            </w:r>
            <w:r>
              <w:t xml:space="preserve"> …data cleaning, machine learning-based trend analysis and forecasting, statistical (IQR) anomaly detection, and visualization preparation…</w:t>
            </w:r>
          </w:p>
          <w:p>
            <w:pPr>
              <w:spacing w:after="80"/>
            </w:pPr>
            <w:r>
              <w:rPr>
                <w:b/>
                <w:bCs/>
              </w:rPr>
              <w:t xml:space="preserve">p. 67:</w:t>
            </w:r>
            <w:r>
              <w:t xml:space="preserve"> Smartalyze uses machine learning (linear regression) to detect trends and forecast values, and statistical techniques (the IQR rule and the correlation ratio η²) to detect anomalies and recommend groupings.</w:t>
            </w:r>
          </w:p>
          <w:p>
            <w:pPr>
              <w:spacing w:after="80"/>
            </w:pPr>
            <w:r>
              <w:rPr>
                <w:b/>
                <w:bCs/>
              </w:rPr>
              <w:t xml:space="preserve">p. 82:</w:t>
            </w:r>
            <w:r>
              <w:t xml:space="preserve"> The rule-based preprocessor, the statistical methods (IQR anomaly detection and grouping recommendations) and the machine-learning component (linear regression for trends and forecasts) will be evaluated and revised from time to time to improve anomaly detection, trend detection, and data quality assessment.</w:t>
            </w:r>
          </w:p>
        </w:tc>
      </w:tr>
      <w:tr>
        <w:trPr>
          <w:cantSplit w:val="off"/>
        </w:trPr>
        <w:tc>
          <w:tcPr>
            <w:tcW w:type="dxa" w:w="1800"/>
            <w:tcBorders>
              <w:top w:val="single" w:color="C9CED6" w:sz="4"/>
              <w:left w:val="single" w:color="C9CED6" w:sz="4"/>
              <w:bottom w:val="single" w:color="C9CED6" w:sz="4"/>
              <w:right w:val="single" w:color="C9CED6" w:sz="4"/>
            </w:tcBorders>
            <w:shd w:fill="EEF1F5" w:color="auto" w:val="clear"/>
            <w:tcMar>
              <w:top w:type="dxa" w:w="90"/>
              <w:left w:type="dxa" w:w="120"/>
              <w:bottom w:type="dxa" w:w="90"/>
              <w:right w:type="dxa" w:w="120"/>
            </w:tcMar>
          </w:tcPr>
          <w:p>
            <w:r>
              <w:rPr>
                <w:b/>
                <w:bCs/>
                <w:sz w:val="20"/>
                <w:szCs w:val="20"/>
              </w:rPr>
              <w:t xml:space="preserve">Note</w:t>
            </w:r>
          </w:p>
        </w:tc>
        <w:tc>
          <w:tcPr>
            <w:tcW w:type="dxa" w:w="7226"/>
            <w:tcBorders>
              <w:top w:val="single" w:color="C9CED6" w:sz="4"/>
              <w:left w:val="single" w:color="C9CED6" w:sz="4"/>
              <w:bottom w:val="single" w:color="C9CED6" w:sz="4"/>
              <w:right w:val="single" w:color="C9CED6" w:sz="4"/>
            </w:tcBorders>
            <w:tcMar>
              <w:top w:type="dxa" w:w="90"/>
              <w:left w:type="dxa" w:w="120"/>
              <w:bottom w:type="dxa" w:w="90"/>
              <w:right w:type="dxa" w:w="120"/>
            </w:tcMar>
          </w:tcPr>
          <w:p>
            <w:pPr>
              <w:spacing w:after="80"/>
            </w:pPr>
            <w:r>
              <w:t xml:space="preserve">Leave Objective 4 (p. 6) as it is; it was accepted. D22 below explains how the system meets it.</w:t>
            </w:r>
          </w:p>
        </w:tc>
      </w:tr>
    </w:tbl>
    <w:p>
      <w:pPr>
        <w:spacing w:after="120"/>
      </w:pPr>
    </w:p>
    <w:p>
      <w:pPr>
        <w:pStyle w:val="Heading2"/>
        <w:keepNext/>
        <w:spacing w:after="120" w:before="280"/>
      </w:pPr>
      <w:r>
        <w:t xml:space="preserve">D3  ·  Passwords are described as “encrypted”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val="off"/>
        </w:trPr>
        <w:tc>
          <w:tcPr>
            <w:tcW w:type="dxa" w:w="1800"/>
            <w:tcBorders>
              <w:top w:val="single" w:color="C9CED6" w:sz="4"/>
              <w:left w:val="single" w:color="C9CED6" w:sz="4"/>
              <w:bottom w:val="single" w:color="C9CED6" w:sz="4"/>
              <w:right w:val="single" w:color="C9CED6" w:sz="4"/>
            </w:tcBorders>
            <w:shd w:fill="EEF1F5" w:color="auto" w:val="clear"/>
            <w:tcMar>
              <w:top w:type="dxa" w:w="90"/>
              <w:left w:type="dxa" w:w="120"/>
              <w:bottom w:type="dxa" w:w="90"/>
              <w:right w:type="dxa" w:w="120"/>
            </w:tcMar>
          </w:tcPr>
          <w:p>
            <w:r>
              <w:rPr>
                <w:b/>
                <w:bCs/>
                <w:sz w:val="20"/>
                <w:szCs w:val="20"/>
              </w:rPr>
              <w:t xml:space="preserve">Where</w:t>
            </w:r>
          </w:p>
        </w:tc>
        <w:tc>
          <w:tcPr>
            <w:tcW w:type="dxa" w:w="7226"/>
            <w:tcBorders>
              <w:top w:val="single" w:color="C9CED6" w:sz="4"/>
              <w:left w:val="single" w:color="C9CED6" w:sz="4"/>
              <w:bottom w:val="single" w:color="C9CED6" w:sz="4"/>
              <w:right w:val="single" w:color="C9CED6" w:sz="4"/>
            </w:tcBorders>
            <w:tcMar>
              <w:top w:type="dxa" w:w="90"/>
              <w:left w:type="dxa" w:w="120"/>
              <w:bottom w:type="dxa" w:w="90"/>
              <w:right w:type="dxa" w:w="120"/>
            </w:tcMar>
          </w:tcPr>
          <w:p>
            <w:pPr>
              <w:spacing w:after="80"/>
            </w:pPr>
            <w:r>
              <w:t xml:space="preserve">NFR 3 Security, p. 48; Security Plan › User Password Protection, p. 81.</w:t>
            </w:r>
          </w:p>
        </w:tc>
      </w:tr>
      <w:tr>
        <w:trPr>
          <w:cantSplit w:val="off"/>
        </w:trPr>
        <w:tc>
          <w:tcPr>
            <w:tcW w:type="dxa" w:w="1800"/>
            <w:tcBorders>
              <w:top w:val="single" w:color="C9CED6" w:sz="4"/>
              <w:left w:val="single" w:color="C9CED6" w:sz="4"/>
              <w:bottom w:val="single" w:color="C9CED6" w:sz="4"/>
              <w:right w:val="single" w:color="C9CED6" w:sz="4"/>
            </w:tcBorders>
            <w:shd w:fill="EEF1F5" w:color="auto" w:val="clear"/>
            <w:tcMar>
              <w:top w:type="dxa" w:w="90"/>
              <w:left w:type="dxa" w:w="120"/>
              <w:bottom w:type="dxa" w:w="90"/>
              <w:right w:type="dxa" w:w="120"/>
            </w:tcMar>
          </w:tcPr>
          <w:p>
            <w:r>
              <w:rPr>
                <w:b/>
                <w:bCs/>
                <w:sz w:val="20"/>
                <w:szCs w:val="20"/>
              </w:rPr>
              <w:t xml:space="preserve">Why</w:t>
            </w:r>
          </w:p>
        </w:tc>
        <w:tc>
          <w:tcPr>
            <w:tcW w:type="dxa" w:w="7226"/>
            <w:tcBorders>
              <w:top w:val="single" w:color="C9CED6" w:sz="4"/>
              <w:left w:val="single" w:color="C9CED6" w:sz="4"/>
              <w:bottom w:val="single" w:color="C9CED6" w:sz="4"/>
              <w:right w:val="single" w:color="C9CED6" w:sz="4"/>
            </w:tcBorders>
            <w:tcMar>
              <w:top w:type="dxa" w:w="90"/>
              <w:left w:type="dxa" w:w="120"/>
              <w:bottom w:type="dxa" w:w="90"/>
              <w:right w:type="dxa" w:w="120"/>
            </w:tcMar>
          </w:tcPr>
          <w:p>
            <w:pPr>
              <w:spacing w:after="80"/>
            </w:pPr>
            <w:r>
              <w:t xml:space="preserve">Passwords are </w:t>
            </w:r>
            <w:r>
              <w:rPr>
                <w:b/>
                <w:bCs/>
              </w:rPr>
              <w:t xml:space="preserve">hashed</w:t>
            </w:r>
            <w:r>
              <w:t xml:space="preserve"> (PBKDF2-SHA256 with a random salt), not encrypted. Hashing is one-way; encryption can be reversed. Panels often ask about this difference.</w:t>
            </w:r>
          </w:p>
        </w:tc>
      </w:tr>
      <w:tr>
        <w:trPr>
          <w:cantSplit w:val="off"/>
        </w:trPr>
        <w:tc>
          <w:tcPr>
            <w:tcW w:type="dxa" w:w="1800"/>
            <w:tcBorders>
              <w:top w:val="single" w:color="C9CED6" w:sz="4"/>
              <w:left w:val="single" w:color="C9CED6" w:sz="4"/>
              <w:bottom w:val="single" w:color="C9CED6" w:sz="4"/>
              <w:right w:val="single" w:color="C9CED6" w:sz="4"/>
            </w:tcBorders>
            <w:shd w:fill="EEF1F5" w:color="auto" w:val="clear"/>
            <w:tcMar>
              <w:top w:type="dxa" w:w="90"/>
              <w:left w:type="dxa" w:w="120"/>
              <w:bottom w:type="dxa" w:w="90"/>
              <w:right w:type="dxa" w:w="120"/>
            </w:tcMar>
          </w:tcPr>
          <w:p>
            <w:r>
              <w:rPr>
                <w:b/>
                <w:bCs/>
                <w:sz w:val="20"/>
                <w:szCs w:val="20"/>
              </w:rPr>
              <w:t xml:space="preserve">Find this text</w:t>
            </w:r>
          </w:p>
        </w:tc>
        <w:tc>
          <w:tcPr>
            <w:tcW w:type="dxa" w:w="7226"/>
            <w:tcBorders>
              <w:top w:val="single" w:color="C9CED6" w:sz="4"/>
              <w:left w:val="single" w:color="C9CED6" w:sz="4"/>
              <w:bottom w:val="single" w:color="C9CED6" w:sz="4"/>
              <w:right w:val="single" w:color="C9CED6" w:sz="4"/>
            </w:tcBorders>
            <w:shd w:fill="F6F7F9" w:color="auto" w:val="clear"/>
            <w:tcMar>
              <w:top w:type="dxa" w:w="90"/>
              <w:left w:type="dxa" w:w="120"/>
              <w:bottom w:type="dxa" w:w="90"/>
              <w:right w:type="dxa" w:w="120"/>
            </w:tcMar>
          </w:tcPr>
          <w:p>
            <w:pPr>
              <w:spacing w:after="80"/>
            </w:pPr>
            <w:r>
              <w:rPr>
                <w:i/>
                <w:iCs/>
              </w:rPr>
              <w:t xml:space="preserve">“p. 48: The system shall ask the user for his/her credentials to use all dataset and analytical functions, and encrypt passwords.”</w:t>
            </w:r>
          </w:p>
          <w:p>
            <w:pPr>
              <w:spacing w:after="80"/>
            </w:pPr>
            <w:r>
              <w:rPr>
                <w:i/>
                <w:iCs/>
              </w:rPr>
              <w:t xml:space="preserve">“p. 81: They will be encrypted using the hashing algorithm prior to saving in the database.”</w:t>
            </w:r>
          </w:p>
        </w:tc>
      </w:tr>
      <w:tr>
        <w:trPr>
          <w:cantSplit w:val="off"/>
        </w:trPr>
        <w:tc>
          <w:tcPr>
            <w:tcW w:type="dxa" w:w="1800"/>
            <w:tcBorders>
              <w:top w:val="single" w:color="C9CED6" w:sz="4"/>
              <w:left w:val="single" w:color="C9CED6" w:sz="4"/>
              <w:bottom w:val="single" w:color="C9CED6" w:sz="4"/>
              <w:right w:val="single" w:color="C9CED6" w:sz="4"/>
            </w:tcBorders>
            <w:shd w:fill="EEF1F5" w:color="auto" w:val="clear"/>
            <w:tcMar>
              <w:top w:type="dxa" w:w="90"/>
              <w:left w:type="dxa" w:w="120"/>
              <w:bottom w:type="dxa" w:w="90"/>
              <w:right w:type="dxa" w:w="120"/>
            </w:tcMar>
          </w:tcPr>
          <w:p>
            <w:r>
              <w:rPr>
                <w:b/>
                <w:bCs/>
                <w:sz w:val="20"/>
                <w:szCs w:val="20"/>
              </w:rPr>
              <w:t xml:space="preserve">Change to</w:t>
            </w:r>
          </w:p>
        </w:tc>
        <w:tc>
          <w:tcPr>
            <w:tcW w:type="dxa" w:w="7226"/>
            <w:tcBorders>
              <w:top w:val="single" w:color="C9CED6" w:sz="4"/>
              <w:left w:val="single" w:color="C9CED6" w:sz="4"/>
              <w:bottom w:val="single" w:color="C9CED6" w:sz="4"/>
              <w:right w:val="single" w:color="C9CED6" w:sz="4"/>
            </w:tcBorders>
            <w:shd w:fill="EAF6EC" w:color="auto" w:val="clear"/>
            <w:tcMar>
              <w:top w:type="dxa" w:w="90"/>
              <w:left w:type="dxa" w:w="120"/>
              <w:bottom w:type="dxa" w:w="90"/>
              <w:right w:type="dxa" w:w="120"/>
            </w:tcMar>
          </w:tcPr>
          <w:p>
            <w:pPr>
              <w:spacing w:after="80"/>
            </w:pPr>
            <w:r>
              <w:rPr>
                <w:b/>
                <w:bCs/>
              </w:rPr>
              <w:t xml:space="preserve">p. 48:</w:t>
            </w:r>
            <w:r>
              <w:t xml:space="preserve"> The system shall ask the user for his/her credentials to use all dataset and analytical functions, and store passwords only as salted one-way hashes (PBKDF2-SHA256).</w:t>
            </w:r>
          </w:p>
          <w:p>
            <w:pPr>
              <w:spacing w:after="80"/>
            </w:pPr>
            <w:r>
              <w:rPr>
                <w:b/>
                <w:bCs/>
              </w:rPr>
              <w:t xml:space="preserve">p. 81:</w:t>
            </w:r>
            <w:r>
              <w:t xml:space="preserve"> They will be hashed with PBKDF2-SHA256 and a random salt before being saved in the database. Hashing is one-way, so the original password cannot be recovered from the stored value.</w:t>
            </w:r>
          </w:p>
        </w:tc>
      </w:tr>
    </w:tbl>
    <w:p>
      <w:pPr>
        <w:spacing w:after="120"/>
      </w:pPr>
    </w:p>
    <w:p>
      <w:pPr>
        <w:pStyle w:val="Heading2"/>
        <w:keepNext/>
        <w:spacing w:after="120" w:before="280"/>
      </w:pPr>
      <w:r>
        <w:t xml:space="preserve">D4  ·  Cleaning execution order is wrong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val="off"/>
        </w:trPr>
        <w:tc>
          <w:tcPr>
            <w:tcW w:type="dxa" w:w="1800"/>
            <w:tcBorders>
              <w:top w:val="single" w:color="C9CED6" w:sz="4"/>
              <w:left w:val="single" w:color="C9CED6" w:sz="4"/>
              <w:bottom w:val="single" w:color="C9CED6" w:sz="4"/>
              <w:right w:val="single" w:color="C9CED6" w:sz="4"/>
            </w:tcBorders>
            <w:shd w:fill="EEF1F5" w:color="auto" w:val="clear"/>
            <w:tcMar>
              <w:top w:type="dxa" w:w="90"/>
              <w:left w:type="dxa" w:w="120"/>
              <w:bottom w:type="dxa" w:w="90"/>
              <w:right w:type="dxa" w:w="120"/>
            </w:tcMar>
          </w:tcPr>
          <w:p>
            <w:r>
              <w:rPr>
                <w:b/>
                <w:bCs/>
                <w:sz w:val="20"/>
                <w:szCs w:val="20"/>
              </w:rPr>
              <w:t xml:space="preserve">Where</w:t>
            </w:r>
          </w:p>
        </w:tc>
        <w:tc>
          <w:tcPr>
            <w:tcW w:type="dxa" w:w="7226"/>
            <w:tcBorders>
              <w:top w:val="single" w:color="C9CED6" w:sz="4"/>
              <w:left w:val="single" w:color="C9CED6" w:sz="4"/>
              <w:bottom w:val="single" w:color="C9CED6" w:sz="4"/>
              <w:right w:val="single" w:color="C9CED6" w:sz="4"/>
            </w:tcBorders>
            <w:tcMar>
              <w:top w:type="dxa" w:w="90"/>
              <w:left w:type="dxa" w:w="120"/>
              <w:bottom w:type="dxa" w:w="90"/>
              <w:right w:type="dxa" w:w="120"/>
            </w:tcMar>
          </w:tcPr>
          <w:p>
            <w:pPr>
              <w:spacing w:after="80"/>
            </w:pPr>
            <w:r>
              <w:t xml:space="preserve">Chapter 3, Preprocessing › Execution Order, p. 65.</w:t>
            </w:r>
          </w:p>
        </w:tc>
      </w:tr>
      <w:tr>
        <w:trPr>
          <w:cantSplit w:val="off"/>
        </w:trPr>
        <w:tc>
          <w:tcPr>
            <w:tcW w:type="dxa" w:w="1800"/>
            <w:tcBorders>
              <w:top w:val="single" w:color="C9CED6" w:sz="4"/>
              <w:left w:val="single" w:color="C9CED6" w:sz="4"/>
              <w:bottom w:val="single" w:color="C9CED6" w:sz="4"/>
              <w:right w:val="single" w:color="C9CED6" w:sz="4"/>
            </w:tcBorders>
            <w:shd w:fill="EEF1F5" w:color="auto" w:val="clear"/>
            <w:tcMar>
              <w:top w:type="dxa" w:w="90"/>
              <w:left w:type="dxa" w:w="120"/>
              <w:bottom w:type="dxa" w:w="90"/>
              <w:right w:type="dxa" w:w="120"/>
            </w:tcMar>
          </w:tcPr>
          <w:p>
            <w:r>
              <w:rPr>
                <w:b/>
                <w:bCs/>
                <w:sz w:val="20"/>
                <w:szCs w:val="20"/>
              </w:rPr>
              <w:t xml:space="preserve">Why</w:t>
            </w:r>
          </w:p>
        </w:tc>
        <w:tc>
          <w:tcPr>
            <w:tcW w:type="dxa" w:w="7226"/>
            <w:tcBorders>
              <w:top w:val="single" w:color="C9CED6" w:sz="4"/>
              <w:left w:val="single" w:color="C9CED6" w:sz="4"/>
              <w:bottom w:val="single" w:color="C9CED6" w:sz="4"/>
              <w:right w:val="single" w:color="C9CED6" w:sz="4"/>
            </w:tcBorders>
            <w:tcMar>
              <w:top w:type="dxa" w:w="90"/>
              <w:left w:type="dxa" w:w="120"/>
              <w:bottom w:type="dxa" w:w="90"/>
              <w:right w:type="dxa" w:w="120"/>
            </w:tcMar>
          </w:tcPr>
          <w:p>
            <w:pPr>
              <w:spacing w:after="80"/>
            </w:pPr>
            <w:r>
              <w:t xml:space="preserve">The system applies the fixes in a different, safer order, fixed in its cleaning module. For example, duplicates are removed first and disguised blanks such as “N/A” are turned into empty cells before any type conversion.</w:t>
            </w:r>
          </w:p>
        </w:tc>
      </w:tr>
      <w:tr>
        <w:trPr>
          <w:cantSplit w:val="off"/>
        </w:trPr>
        <w:tc>
          <w:tcPr>
            <w:tcW w:type="dxa" w:w="1800"/>
            <w:tcBorders>
              <w:top w:val="single" w:color="C9CED6" w:sz="4"/>
              <w:left w:val="single" w:color="C9CED6" w:sz="4"/>
              <w:bottom w:val="single" w:color="C9CED6" w:sz="4"/>
              <w:right w:val="single" w:color="C9CED6" w:sz="4"/>
            </w:tcBorders>
            <w:shd w:fill="EEF1F5" w:color="auto" w:val="clear"/>
            <w:tcMar>
              <w:top w:type="dxa" w:w="90"/>
              <w:left w:type="dxa" w:w="120"/>
              <w:bottom w:type="dxa" w:w="90"/>
              <w:right w:type="dxa" w:w="120"/>
            </w:tcMar>
          </w:tcPr>
          <w:p>
            <w:r>
              <w:rPr>
                <w:b/>
                <w:bCs/>
                <w:sz w:val="20"/>
                <w:szCs w:val="20"/>
              </w:rPr>
              <w:t xml:space="preserve">Find this text</w:t>
            </w:r>
          </w:p>
        </w:tc>
        <w:tc>
          <w:tcPr>
            <w:tcW w:type="dxa" w:w="7226"/>
            <w:tcBorders>
              <w:top w:val="single" w:color="C9CED6" w:sz="4"/>
              <w:left w:val="single" w:color="C9CED6" w:sz="4"/>
              <w:bottom w:val="single" w:color="C9CED6" w:sz="4"/>
              <w:right w:val="single" w:color="C9CED6" w:sz="4"/>
            </w:tcBorders>
            <w:shd w:fill="F6F7F9" w:color="auto" w:val="clear"/>
            <w:tcMar>
              <w:top w:type="dxa" w:w="90"/>
              <w:left w:type="dxa" w:w="120"/>
              <w:bottom w:type="dxa" w:w="90"/>
              <w:right w:type="dxa" w:w="120"/>
            </w:tcMar>
          </w:tcPr>
          <w:p>
            <w:pPr>
              <w:pStyle w:val="ListParagraph"/>
              <w:numPr>
                <w:ilvl w:val="0"/>
                <w:numId w:val="2"/>
              </w:numPr>
              <w:spacing w:after="40"/>
            </w:pPr>
            <w:r>
              <w:rPr>
                <w:i/>
                <w:iCs/>
              </w:rPr>
              <w:t xml:space="preserve">Type conversions</w:t>
            </w:r>
          </w:p>
          <w:p>
            <w:pPr>
              <w:pStyle w:val="ListParagraph"/>
              <w:numPr>
                <w:ilvl w:val="0"/>
                <w:numId w:val="2"/>
              </w:numPr>
              <w:spacing w:after="40"/>
            </w:pPr>
            <w:r>
              <w:rPr>
                <w:i/>
                <w:iCs/>
              </w:rPr>
              <w:t xml:space="preserve">Missing value filling</w:t>
            </w:r>
          </w:p>
          <w:p>
            <w:pPr>
              <w:pStyle w:val="ListParagraph"/>
              <w:numPr>
                <w:ilvl w:val="0"/>
                <w:numId w:val="2"/>
              </w:numPr>
              <w:spacing w:after="40"/>
            </w:pPr>
            <w:r>
              <w:rPr>
                <w:i/>
                <w:iCs/>
              </w:rPr>
              <w:t xml:space="preserve">Row removals</w:t>
            </w:r>
          </w:p>
          <w:p>
            <w:pPr>
              <w:pStyle w:val="ListParagraph"/>
              <w:numPr>
                <w:ilvl w:val="0"/>
                <w:numId w:val="2"/>
              </w:numPr>
              <w:spacing w:after="40"/>
            </w:pPr>
            <w:r>
              <w:rPr>
                <w:i/>
                <w:iCs/>
              </w:rPr>
              <w:t xml:space="preserve">Sorting operations</w:t>
            </w:r>
          </w:p>
        </w:tc>
      </w:tr>
      <w:tr>
        <w:trPr>
          <w:cantSplit w:val="off"/>
        </w:trPr>
        <w:tc>
          <w:tcPr>
            <w:tcW w:type="dxa" w:w="1800"/>
            <w:tcBorders>
              <w:top w:val="single" w:color="C9CED6" w:sz="4"/>
              <w:left w:val="single" w:color="C9CED6" w:sz="4"/>
              <w:bottom w:val="single" w:color="C9CED6" w:sz="4"/>
              <w:right w:val="single" w:color="C9CED6" w:sz="4"/>
            </w:tcBorders>
            <w:shd w:fill="EEF1F5" w:color="auto" w:val="clear"/>
            <w:tcMar>
              <w:top w:type="dxa" w:w="90"/>
              <w:left w:type="dxa" w:w="120"/>
              <w:bottom w:type="dxa" w:w="90"/>
              <w:right w:type="dxa" w:w="120"/>
            </w:tcMar>
          </w:tcPr>
          <w:p>
            <w:r>
              <w:rPr>
                <w:b/>
                <w:bCs/>
                <w:sz w:val="20"/>
                <w:szCs w:val="20"/>
              </w:rPr>
              <w:t xml:space="preserve">Change to</w:t>
            </w:r>
          </w:p>
        </w:tc>
        <w:tc>
          <w:tcPr>
            <w:tcW w:type="dxa" w:w="7226"/>
            <w:tcBorders>
              <w:top w:val="single" w:color="C9CED6" w:sz="4"/>
              <w:left w:val="single" w:color="C9CED6" w:sz="4"/>
              <w:bottom w:val="single" w:color="C9CED6" w:sz="4"/>
              <w:right w:val="single" w:color="C9CED6" w:sz="4"/>
            </w:tcBorders>
            <w:shd w:fill="EAF6EC" w:color="auto" w:val="clear"/>
            <w:tcMar>
              <w:top w:type="dxa" w:w="90"/>
              <w:left w:type="dxa" w:w="120"/>
              <w:bottom w:type="dxa" w:w="90"/>
              <w:right w:type="dxa" w:w="120"/>
            </w:tcMar>
          </w:tcPr>
          <w:p>
            <w:pPr>
              <w:spacing w:after="80"/>
            </w:pPr>
            <w:r>
              <w:t xml:space="preserve">Operations are performed in a fixed, safe order (operations of the same kind keep the order the user chose):</w:t>
            </w:r>
          </w:p>
          <w:p>
            <w:pPr>
              <w:pStyle w:val="ListParagraph"/>
              <w:numPr>
                <w:ilvl w:val="0"/>
                <w:numId w:val="3"/>
              </w:numPr>
              <w:spacing w:after="40"/>
            </w:pPr>
            <w:r>
              <w:t xml:space="preserve">Remove duplicate rows</w:t>
            </w:r>
          </w:p>
          <w:p>
            <w:pPr>
              <w:pStyle w:val="ListParagraph"/>
              <w:numPr>
                <w:ilvl w:val="0"/>
                <w:numId w:val="3"/>
              </w:numPr>
              <w:spacing w:after="40"/>
            </w:pPr>
            <w:r>
              <w:t xml:space="preserve">Turn disguised blanks (e.g. “N/A”, “none”) into empty cells</w:t>
            </w:r>
          </w:p>
          <w:p>
            <w:pPr>
              <w:pStyle w:val="ListParagraph"/>
              <w:numPr>
                <w:ilvl w:val="0"/>
                <w:numId w:val="3"/>
              </w:numPr>
              <w:spacing w:after="40"/>
            </w:pPr>
            <w:r>
              <w:t xml:space="preserve">Convert column types (to numbers or dates)</w:t>
            </w:r>
          </w:p>
          <w:p>
            <w:pPr>
              <w:pStyle w:val="ListParagraph"/>
              <w:numPr>
                <w:ilvl w:val="0"/>
                <w:numId w:val="3"/>
              </w:numPr>
              <w:spacing w:after="40"/>
            </w:pPr>
            <w:r>
              <w:t xml:space="preserve">Standardize date formats</w:t>
            </w:r>
          </w:p>
          <w:p>
            <w:pPr>
              <w:pStyle w:val="ListParagraph"/>
              <w:numPr>
                <w:ilvl w:val="0"/>
                <w:numId w:val="3"/>
              </w:numPr>
              <w:spacing w:after="40"/>
            </w:pPr>
            <w:r>
              <w:t xml:space="preserve">Fix inconsistent category values (spelling variants)</w:t>
            </w:r>
          </w:p>
          <w:p>
            <w:pPr>
              <w:pStyle w:val="ListParagraph"/>
              <w:numPr>
                <w:ilvl w:val="0"/>
                <w:numId w:val="3"/>
              </w:numPr>
              <w:spacing w:after="40"/>
            </w:pPr>
            <w:r>
              <w:t xml:space="preserve">Trim whitespace, then lowercase text</w:t>
            </w:r>
          </w:p>
          <w:p>
            <w:pPr>
              <w:pStyle w:val="ListParagraph"/>
              <w:numPr>
                <w:ilvl w:val="0"/>
                <w:numId w:val="3"/>
              </w:numPr>
              <w:spacing w:after="40"/>
            </w:pPr>
            <w:r>
              <w:t xml:space="preserve">Turn outliers (IQR) into empty cells</w:t>
            </w:r>
          </w:p>
          <w:p>
            <w:pPr>
              <w:pStyle w:val="ListParagraph"/>
              <w:numPr>
                <w:ilvl w:val="0"/>
                <w:numId w:val="3"/>
              </w:numPr>
              <w:spacing w:after="40"/>
            </w:pPr>
            <w:r>
              <w:t xml:space="preserve">Fill empty cells: smart fill from a related column, then average, median or most common value</w:t>
            </w:r>
          </w:p>
          <w:p>
            <w:pPr>
              <w:pStyle w:val="ListParagraph"/>
              <w:numPr>
                <w:ilvl w:val="0"/>
                <w:numId w:val="3"/>
              </w:numPr>
              <w:spacing w:after="40"/>
            </w:pPr>
            <w:r>
              <w:t xml:space="preserve">Create derived (formula) columns</w:t>
            </w:r>
          </w:p>
          <w:p>
            <w:pPr>
              <w:pStyle w:val="ListParagraph"/>
              <w:numPr>
                <w:ilvl w:val="0"/>
                <w:numId w:val="3"/>
              </w:numPr>
              <w:spacing w:after="40"/>
            </w:pPr>
            <w:r>
              <w:t xml:space="preserve">Remove rows (rows with empty cells, rows with outliers)</w:t>
            </w:r>
          </w:p>
          <w:p>
            <w:pPr>
              <w:pStyle w:val="ListParagraph"/>
              <w:numPr>
                <w:ilvl w:val="0"/>
                <w:numId w:val="3"/>
              </w:numPr>
              <w:spacing w:after="40"/>
            </w:pPr>
            <w:r>
              <w:t xml:space="preserve">Sort</w:t>
            </w:r>
          </w:p>
          <w:p>
            <w:pPr>
              <w:spacing w:after="80"/>
            </w:pPr>
            <w:r>
              <w:t xml:space="preserve">This avoids order-dependence problems: for example, “N/A” is turned into an empty cell before the column is converted to numbers, and empty cells are filled before rows with remaining gaps are removed.</w:t>
            </w:r>
          </w:p>
        </w:tc>
      </w:tr>
    </w:tbl>
    <w:p>
      <w:pPr>
        <w:spacing w:after="120"/>
      </w:pPr>
    </w:p>
    <w:p>
      <w:pPr>
        <w:pStyle w:val="Heading2"/>
        <w:keepNext/>
        <w:spacing w:after="120" w:before="280"/>
      </w:pPr>
      <w:r>
        <w:t xml:space="preserve">D5  ·  FR 4 says drafts are only “planned”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val="off"/>
        </w:trPr>
        <w:tc>
          <w:tcPr>
            <w:tcW w:type="dxa" w:w="1800"/>
            <w:tcBorders>
              <w:top w:val="single" w:color="C9CED6" w:sz="4"/>
              <w:left w:val="single" w:color="C9CED6" w:sz="4"/>
              <w:bottom w:val="single" w:color="C9CED6" w:sz="4"/>
              <w:right w:val="single" w:color="C9CED6" w:sz="4"/>
            </w:tcBorders>
            <w:shd w:fill="EEF1F5" w:color="auto" w:val="clear"/>
            <w:tcMar>
              <w:top w:type="dxa" w:w="90"/>
              <w:left w:type="dxa" w:w="120"/>
              <w:bottom w:type="dxa" w:w="90"/>
              <w:right w:type="dxa" w:w="120"/>
            </w:tcMar>
          </w:tcPr>
          <w:p>
            <w:r>
              <w:rPr>
                <w:b/>
                <w:bCs/>
                <w:sz w:val="20"/>
                <w:szCs w:val="20"/>
              </w:rPr>
              <w:t xml:space="preserve">Where</w:t>
            </w:r>
          </w:p>
        </w:tc>
        <w:tc>
          <w:tcPr>
            <w:tcW w:type="dxa" w:w="7226"/>
            <w:tcBorders>
              <w:top w:val="single" w:color="C9CED6" w:sz="4"/>
              <w:left w:val="single" w:color="C9CED6" w:sz="4"/>
              <w:bottom w:val="single" w:color="C9CED6" w:sz="4"/>
              <w:right w:val="single" w:color="C9CED6" w:sz="4"/>
            </w:tcBorders>
            <w:tcMar>
              <w:top w:type="dxa" w:w="90"/>
              <w:left w:type="dxa" w:w="120"/>
              <w:bottom w:type="dxa" w:w="90"/>
              <w:right w:type="dxa" w:w="120"/>
            </w:tcMar>
          </w:tcPr>
          <w:p>
            <w:pPr>
              <w:spacing w:after="80"/>
            </w:pPr>
            <w:r>
              <w:t xml:space="preserve">Functional Requirement 4, Dataset Editing, p. 47.</w:t>
            </w:r>
          </w:p>
        </w:tc>
      </w:tr>
      <w:tr>
        <w:trPr>
          <w:cantSplit w:val="off"/>
        </w:trPr>
        <w:tc>
          <w:tcPr>
            <w:tcW w:type="dxa" w:w="1800"/>
            <w:tcBorders>
              <w:top w:val="single" w:color="C9CED6" w:sz="4"/>
              <w:left w:val="single" w:color="C9CED6" w:sz="4"/>
              <w:bottom w:val="single" w:color="C9CED6" w:sz="4"/>
              <w:right w:val="single" w:color="C9CED6" w:sz="4"/>
            </w:tcBorders>
            <w:shd w:fill="EEF1F5" w:color="auto" w:val="clear"/>
            <w:tcMar>
              <w:top w:type="dxa" w:w="90"/>
              <w:left w:type="dxa" w:w="120"/>
              <w:bottom w:type="dxa" w:w="90"/>
              <w:right w:type="dxa" w:w="120"/>
            </w:tcMar>
          </w:tcPr>
          <w:p>
            <w:r>
              <w:rPr>
                <w:b/>
                <w:bCs/>
                <w:sz w:val="20"/>
                <w:szCs w:val="20"/>
              </w:rPr>
              <w:t xml:space="preserve">Why</w:t>
            </w:r>
          </w:p>
        </w:tc>
        <w:tc>
          <w:tcPr>
            <w:tcW w:type="dxa" w:w="7226"/>
            <w:tcBorders>
              <w:top w:val="single" w:color="C9CED6" w:sz="4"/>
              <w:left w:val="single" w:color="C9CED6" w:sz="4"/>
              <w:bottom w:val="single" w:color="C9CED6" w:sz="4"/>
              <w:right w:val="single" w:color="C9CED6" w:sz="4"/>
            </w:tcBorders>
            <w:tcMar>
              <w:top w:type="dxa" w:w="90"/>
              <w:left w:type="dxa" w:w="120"/>
              <w:bottom w:type="dxa" w:w="90"/>
              <w:right w:type="dxa" w:w="120"/>
            </w:tcMar>
          </w:tcPr>
          <w:p>
            <w:pPr>
              <w:spacing w:after="80"/>
            </w:pPr>
            <w:r>
              <w:t xml:space="preserve">Draft editing is implemented (a panel requirement), and Scope (p. 8) already says users can create drafts. FR 4 contradicts that.</w:t>
            </w:r>
          </w:p>
        </w:tc>
      </w:tr>
      <w:tr>
        <w:trPr>
          <w:cantSplit w:val="off"/>
        </w:trPr>
        <w:tc>
          <w:tcPr>
            <w:tcW w:type="dxa" w:w="1800"/>
            <w:tcBorders>
              <w:top w:val="single" w:color="C9CED6" w:sz="4"/>
              <w:left w:val="single" w:color="C9CED6" w:sz="4"/>
              <w:bottom w:val="single" w:color="C9CED6" w:sz="4"/>
              <w:right w:val="single" w:color="C9CED6" w:sz="4"/>
            </w:tcBorders>
            <w:shd w:fill="EEF1F5" w:color="auto" w:val="clear"/>
            <w:tcMar>
              <w:top w:type="dxa" w:w="90"/>
              <w:left w:type="dxa" w:w="120"/>
              <w:bottom w:type="dxa" w:w="90"/>
              <w:right w:type="dxa" w:w="120"/>
            </w:tcMar>
          </w:tcPr>
          <w:p>
            <w:r>
              <w:rPr>
                <w:b/>
                <w:bCs/>
                <w:sz w:val="20"/>
                <w:szCs w:val="20"/>
              </w:rPr>
              <w:t xml:space="preserve">Find this text</w:t>
            </w:r>
          </w:p>
        </w:tc>
        <w:tc>
          <w:tcPr>
            <w:tcW w:type="dxa" w:w="7226"/>
            <w:tcBorders>
              <w:top w:val="single" w:color="C9CED6" w:sz="4"/>
              <w:left w:val="single" w:color="C9CED6" w:sz="4"/>
              <w:bottom w:val="single" w:color="C9CED6" w:sz="4"/>
              <w:right w:val="single" w:color="C9CED6" w:sz="4"/>
            </w:tcBorders>
            <w:shd w:fill="F6F7F9" w:color="auto" w:val="clear"/>
            <w:tcMar>
              <w:top w:type="dxa" w:w="90"/>
              <w:left w:type="dxa" w:w="120"/>
              <w:bottom w:type="dxa" w:w="90"/>
              <w:right w:type="dxa" w:w="120"/>
            </w:tcMar>
          </w:tcPr>
          <w:p>
            <w:pPr>
              <w:spacing w:after="80"/>
            </w:pPr>
            <w:r>
              <w:rPr>
                <w:i/>
                <w:iCs/>
              </w:rPr>
              <w:t xml:space="preserve">“Saving draft of a not finished dataset is planned as an additional feature for the next version.”</w:t>
            </w:r>
          </w:p>
        </w:tc>
      </w:tr>
      <w:tr>
        <w:trPr>
          <w:cantSplit w:val="off"/>
        </w:trPr>
        <w:tc>
          <w:tcPr>
            <w:tcW w:type="dxa" w:w="1800"/>
            <w:tcBorders>
              <w:top w:val="single" w:color="C9CED6" w:sz="4"/>
              <w:left w:val="single" w:color="C9CED6" w:sz="4"/>
              <w:bottom w:val="single" w:color="C9CED6" w:sz="4"/>
              <w:right w:val="single" w:color="C9CED6" w:sz="4"/>
            </w:tcBorders>
            <w:shd w:fill="EEF1F5" w:color="auto" w:val="clear"/>
            <w:tcMar>
              <w:top w:type="dxa" w:w="90"/>
              <w:left w:type="dxa" w:w="120"/>
              <w:bottom w:type="dxa" w:w="90"/>
              <w:right w:type="dxa" w:w="120"/>
            </w:tcMar>
          </w:tcPr>
          <w:p>
            <w:r>
              <w:rPr>
                <w:b/>
                <w:bCs/>
                <w:sz w:val="20"/>
                <w:szCs w:val="20"/>
              </w:rPr>
              <w:t xml:space="preserve">Change to</w:t>
            </w:r>
          </w:p>
        </w:tc>
        <w:tc>
          <w:tcPr>
            <w:tcW w:type="dxa" w:w="7226"/>
            <w:tcBorders>
              <w:top w:val="single" w:color="C9CED6" w:sz="4"/>
              <w:left w:val="single" w:color="C9CED6" w:sz="4"/>
              <w:bottom w:val="single" w:color="C9CED6" w:sz="4"/>
              <w:right w:val="single" w:color="C9CED6" w:sz="4"/>
            </w:tcBorders>
            <w:shd w:fill="EAF6EC" w:color="auto" w:val="clear"/>
            <w:tcMar>
              <w:top w:type="dxa" w:w="90"/>
              <w:left w:type="dxa" w:w="120"/>
              <w:bottom w:type="dxa" w:w="90"/>
              <w:right w:type="dxa" w:w="120"/>
            </w:tcMar>
          </w:tcPr>
          <w:p>
            <w:pPr>
              <w:spacing w:after="80"/>
            </w:pPr>
            <w:r>
              <w:t xml:space="preserve">Unsaved edits are kept as a draft in the browser, with undo and redo. When the user returns, they can restore or discard the draft. Saving the edits creates a new version of the dataset.</w:t>
            </w:r>
          </w:p>
        </w:tc>
      </w:tr>
    </w:tbl>
    <w:p>
      <w:pPr>
        <w:spacing w:after="120"/>
      </w:pPr>
    </w:p>
    <w:p>
      <w:pPr>
        <w:pStyle w:val="Heading2"/>
        <w:keepNext/>
        <w:spacing w:after="120" w:before="280"/>
      </w:pPr>
      <w:r>
        <w:t xml:space="preserve">D6  ·  FR 2 does not mention renaming datasets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val="off"/>
        </w:trPr>
        <w:tc>
          <w:tcPr>
            <w:tcW w:type="dxa" w:w="1800"/>
            <w:tcBorders>
              <w:top w:val="single" w:color="C9CED6" w:sz="4"/>
              <w:left w:val="single" w:color="C9CED6" w:sz="4"/>
              <w:bottom w:val="single" w:color="C9CED6" w:sz="4"/>
              <w:right w:val="single" w:color="C9CED6" w:sz="4"/>
            </w:tcBorders>
            <w:shd w:fill="EEF1F5" w:color="auto" w:val="clear"/>
            <w:tcMar>
              <w:top w:type="dxa" w:w="90"/>
              <w:left w:type="dxa" w:w="120"/>
              <w:bottom w:type="dxa" w:w="90"/>
              <w:right w:type="dxa" w:w="120"/>
            </w:tcMar>
          </w:tcPr>
          <w:p>
            <w:r>
              <w:rPr>
                <w:b/>
                <w:bCs/>
                <w:sz w:val="20"/>
                <w:szCs w:val="20"/>
              </w:rPr>
              <w:t xml:space="preserve">Where</w:t>
            </w:r>
          </w:p>
        </w:tc>
        <w:tc>
          <w:tcPr>
            <w:tcW w:type="dxa" w:w="7226"/>
            <w:tcBorders>
              <w:top w:val="single" w:color="C9CED6" w:sz="4"/>
              <w:left w:val="single" w:color="C9CED6" w:sz="4"/>
              <w:bottom w:val="single" w:color="C9CED6" w:sz="4"/>
              <w:right w:val="single" w:color="C9CED6" w:sz="4"/>
            </w:tcBorders>
            <w:tcMar>
              <w:top w:type="dxa" w:w="90"/>
              <w:left w:type="dxa" w:w="120"/>
              <w:bottom w:type="dxa" w:w="90"/>
              <w:right w:type="dxa" w:w="120"/>
            </w:tcMar>
          </w:tcPr>
          <w:p>
            <w:pPr>
              <w:spacing w:after="80"/>
            </w:pPr>
            <w:r>
              <w:t xml:space="preserve">Functional Requirement 2, Dataset Upload and File Management, p. 47.</w:t>
            </w:r>
          </w:p>
        </w:tc>
      </w:tr>
      <w:tr>
        <w:trPr>
          <w:cantSplit w:val="off"/>
        </w:trPr>
        <w:tc>
          <w:tcPr>
            <w:tcW w:type="dxa" w:w="1800"/>
            <w:tcBorders>
              <w:top w:val="single" w:color="C9CED6" w:sz="4"/>
              <w:left w:val="single" w:color="C9CED6" w:sz="4"/>
              <w:bottom w:val="single" w:color="C9CED6" w:sz="4"/>
              <w:right w:val="single" w:color="C9CED6" w:sz="4"/>
            </w:tcBorders>
            <w:shd w:fill="EEF1F5" w:color="auto" w:val="clear"/>
            <w:tcMar>
              <w:top w:type="dxa" w:w="90"/>
              <w:left w:type="dxa" w:w="120"/>
              <w:bottom w:type="dxa" w:w="90"/>
              <w:right w:type="dxa" w:w="120"/>
            </w:tcMar>
          </w:tcPr>
          <w:p>
            <w:r>
              <w:rPr>
                <w:b/>
                <w:bCs/>
                <w:sz w:val="20"/>
                <w:szCs w:val="20"/>
              </w:rPr>
              <w:t xml:space="preserve">Why</w:t>
            </w:r>
          </w:p>
        </w:tc>
        <w:tc>
          <w:tcPr>
            <w:tcW w:type="dxa" w:w="7226"/>
            <w:tcBorders>
              <w:top w:val="single" w:color="C9CED6" w:sz="4"/>
              <w:left w:val="single" w:color="C9CED6" w:sz="4"/>
              <w:bottom w:val="single" w:color="C9CED6" w:sz="4"/>
              <w:right w:val="single" w:color="C9CED6" w:sz="4"/>
            </w:tcBorders>
            <w:tcMar>
              <w:top w:type="dxa" w:w="90"/>
              <w:left w:type="dxa" w:w="120"/>
              <w:bottom w:type="dxa" w:w="90"/>
              <w:right w:type="dxa" w:w="120"/>
            </w:tcMar>
          </w:tcPr>
          <w:p>
            <w:pPr>
              <w:spacing w:after="80"/>
            </w:pPr>
            <w:r>
              <w:t xml:space="preserve">Renaming datasets is implemented (a panel requirement) and Scope (p. 8) mentions it, but FR 2 leaves it out.</w:t>
            </w:r>
          </w:p>
        </w:tc>
      </w:tr>
      <w:tr>
        <w:trPr>
          <w:cantSplit w:val="off"/>
        </w:trPr>
        <w:tc>
          <w:tcPr>
            <w:tcW w:type="dxa" w:w="1800"/>
            <w:tcBorders>
              <w:top w:val="single" w:color="C9CED6" w:sz="4"/>
              <w:left w:val="single" w:color="C9CED6" w:sz="4"/>
              <w:bottom w:val="single" w:color="C9CED6" w:sz="4"/>
              <w:right w:val="single" w:color="C9CED6" w:sz="4"/>
            </w:tcBorders>
            <w:shd w:fill="EEF1F5" w:color="auto" w:val="clear"/>
            <w:tcMar>
              <w:top w:type="dxa" w:w="90"/>
              <w:left w:type="dxa" w:w="120"/>
              <w:bottom w:type="dxa" w:w="90"/>
              <w:right w:type="dxa" w:w="120"/>
            </w:tcMar>
          </w:tcPr>
          <w:p>
            <w:r>
              <w:rPr>
                <w:b/>
                <w:bCs/>
                <w:sz w:val="20"/>
                <w:szCs w:val="20"/>
              </w:rPr>
              <w:t xml:space="preserve">Find this text</w:t>
            </w:r>
          </w:p>
        </w:tc>
        <w:tc>
          <w:tcPr>
            <w:tcW w:type="dxa" w:w="7226"/>
            <w:tcBorders>
              <w:top w:val="single" w:color="C9CED6" w:sz="4"/>
              <w:left w:val="single" w:color="C9CED6" w:sz="4"/>
              <w:bottom w:val="single" w:color="C9CED6" w:sz="4"/>
              <w:right w:val="single" w:color="C9CED6" w:sz="4"/>
            </w:tcBorders>
            <w:shd w:fill="F6F7F9" w:color="auto" w:val="clear"/>
            <w:tcMar>
              <w:top w:type="dxa" w:w="90"/>
              <w:left w:type="dxa" w:w="120"/>
              <w:bottom w:type="dxa" w:w="90"/>
              <w:right w:type="dxa" w:w="120"/>
            </w:tcMar>
          </w:tcPr>
          <w:p>
            <w:pPr>
              <w:spacing w:after="80"/>
            </w:pPr>
            <w:r>
              <w:rPr>
                <w:i/>
                <w:iCs/>
              </w:rPr>
              <w:t xml:space="preserve">“Users can organize and delete his/her uploaded datasets.”</w:t>
            </w:r>
          </w:p>
        </w:tc>
      </w:tr>
      <w:tr>
        <w:trPr>
          <w:cantSplit w:val="off"/>
        </w:trPr>
        <w:tc>
          <w:tcPr>
            <w:tcW w:type="dxa" w:w="1800"/>
            <w:tcBorders>
              <w:top w:val="single" w:color="C9CED6" w:sz="4"/>
              <w:left w:val="single" w:color="C9CED6" w:sz="4"/>
              <w:bottom w:val="single" w:color="C9CED6" w:sz="4"/>
              <w:right w:val="single" w:color="C9CED6" w:sz="4"/>
            </w:tcBorders>
            <w:shd w:fill="EEF1F5" w:color="auto" w:val="clear"/>
            <w:tcMar>
              <w:top w:type="dxa" w:w="90"/>
              <w:left w:type="dxa" w:w="120"/>
              <w:bottom w:type="dxa" w:w="90"/>
              <w:right w:type="dxa" w:w="120"/>
            </w:tcMar>
          </w:tcPr>
          <w:p>
            <w:r>
              <w:rPr>
                <w:b/>
                <w:bCs/>
                <w:sz w:val="20"/>
                <w:szCs w:val="20"/>
              </w:rPr>
              <w:t xml:space="preserve">Change to</w:t>
            </w:r>
          </w:p>
        </w:tc>
        <w:tc>
          <w:tcPr>
            <w:tcW w:type="dxa" w:w="7226"/>
            <w:tcBorders>
              <w:top w:val="single" w:color="C9CED6" w:sz="4"/>
              <w:left w:val="single" w:color="C9CED6" w:sz="4"/>
              <w:bottom w:val="single" w:color="C9CED6" w:sz="4"/>
              <w:right w:val="single" w:color="C9CED6" w:sz="4"/>
            </w:tcBorders>
            <w:shd w:fill="EAF6EC" w:color="auto" w:val="clear"/>
            <w:tcMar>
              <w:top w:type="dxa" w:w="90"/>
              <w:left w:type="dxa" w:w="120"/>
              <w:bottom w:type="dxa" w:w="90"/>
              <w:right w:type="dxa" w:w="120"/>
            </w:tcMar>
          </w:tcPr>
          <w:p>
            <w:pPr>
              <w:spacing w:after="80"/>
            </w:pPr>
            <w:r>
              <w:t xml:space="preserve">Users can rename, organize, and delete their uploaded datasets. Codes with leading zeros, such as zip codes and IDs (“08100”), are kept exactly as written.</w:t>
            </w:r>
          </w:p>
        </w:tc>
      </w:tr>
      <w:tr>
        <w:trPr>
          <w:cantSplit w:val="off"/>
        </w:trPr>
        <w:tc>
          <w:tcPr>
            <w:tcW w:type="dxa" w:w="1800"/>
            <w:tcBorders>
              <w:top w:val="single" w:color="C9CED6" w:sz="4"/>
              <w:left w:val="single" w:color="C9CED6" w:sz="4"/>
              <w:bottom w:val="single" w:color="C9CED6" w:sz="4"/>
              <w:right w:val="single" w:color="C9CED6" w:sz="4"/>
            </w:tcBorders>
            <w:shd w:fill="EEF1F5" w:color="auto" w:val="clear"/>
            <w:tcMar>
              <w:top w:type="dxa" w:w="90"/>
              <w:left w:type="dxa" w:w="120"/>
              <w:bottom w:type="dxa" w:w="90"/>
              <w:right w:type="dxa" w:w="120"/>
            </w:tcMar>
          </w:tcPr>
          <w:p>
            <w:r>
              <w:rPr>
                <w:b/>
                <w:bCs/>
                <w:sz w:val="20"/>
                <w:szCs w:val="20"/>
              </w:rPr>
              <w:t xml:space="preserve">Note</w:t>
            </w:r>
          </w:p>
        </w:tc>
        <w:tc>
          <w:tcPr>
            <w:tcW w:type="dxa" w:w="7226"/>
            <w:tcBorders>
              <w:top w:val="single" w:color="C9CED6" w:sz="4"/>
              <w:left w:val="single" w:color="C9CED6" w:sz="4"/>
              <w:bottom w:val="single" w:color="C9CED6" w:sz="4"/>
              <w:right w:val="single" w:color="C9CED6" w:sz="4"/>
            </w:tcBorders>
            <w:tcMar>
              <w:top w:type="dxa" w:w="90"/>
              <w:left w:type="dxa" w:w="120"/>
              <w:bottom w:type="dxa" w:w="90"/>
              <w:right w:type="dxa" w:w="120"/>
            </w:tcMar>
          </w:tcPr>
          <w:p>
            <w:pPr>
              <w:spacing w:after="80"/>
            </w:pPr>
            <w:r>
              <w:t xml:space="preserve">The second sentence also covers part of D8 (leading-zero codes).</w:t>
            </w:r>
          </w:p>
        </w:tc>
      </w:tr>
    </w:tbl>
    <w:p>
      <w:pPr>
        <w:spacing w:after="120"/>
      </w:pPr>
    </w:p>
    <w:p>
      <w:pPr>
        <w:pStyle w:val="Heading2"/>
        <w:keepNext/>
        <w:spacing w:after="120" w:before="280"/>
      </w:pPr>
      <w:r>
        <w:t xml:space="preserve">D7  ·  Parquet export is not mentioned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val="off"/>
        </w:trPr>
        <w:tc>
          <w:tcPr>
            <w:tcW w:type="dxa" w:w="1800"/>
            <w:tcBorders>
              <w:top w:val="single" w:color="C9CED6" w:sz="4"/>
              <w:left w:val="single" w:color="C9CED6" w:sz="4"/>
              <w:bottom w:val="single" w:color="C9CED6" w:sz="4"/>
              <w:right w:val="single" w:color="C9CED6" w:sz="4"/>
            </w:tcBorders>
            <w:shd w:fill="EEF1F5" w:color="auto" w:val="clear"/>
            <w:tcMar>
              <w:top w:type="dxa" w:w="90"/>
              <w:left w:type="dxa" w:w="120"/>
              <w:bottom w:type="dxa" w:w="90"/>
              <w:right w:type="dxa" w:w="120"/>
            </w:tcMar>
          </w:tcPr>
          <w:p>
            <w:r>
              <w:rPr>
                <w:b/>
                <w:bCs/>
                <w:sz w:val="20"/>
                <w:szCs w:val="20"/>
              </w:rPr>
              <w:t xml:space="preserve">Where</w:t>
            </w:r>
          </w:p>
        </w:tc>
        <w:tc>
          <w:tcPr>
            <w:tcW w:type="dxa" w:w="7226"/>
            <w:tcBorders>
              <w:top w:val="single" w:color="C9CED6" w:sz="4"/>
              <w:left w:val="single" w:color="C9CED6" w:sz="4"/>
              <w:bottom w:val="single" w:color="C9CED6" w:sz="4"/>
              <w:right w:val="single" w:color="C9CED6" w:sz="4"/>
            </w:tcBorders>
            <w:tcMar>
              <w:top w:type="dxa" w:w="90"/>
              <w:left w:type="dxa" w:w="120"/>
              <w:bottom w:type="dxa" w:w="90"/>
              <w:right w:type="dxa" w:w="120"/>
            </w:tcMar>
          </w:tcPr>
          <w:p>
            <w:pPr>
              <w:spacing w:after="80"/>
            </w:pPr>
            <w:r>
              <w:t xml:space="preserve">DFD Level 1 process 4.0 description, p. 54. (Objective 6 on p. 7 can stay as it is.)</w:t>
            </w:r>
          </w:p>
        </w:tc>
      </w:tr>
      <w:tr>
        <w:trPr>
          <w:cantSplit w:val="off"/>
        </w:trPr>
        <w:tc>
          <w:tcPr>
            <w:tcW w:type="dxa" w:w="1800"/>
            <w:tcBorders>
              <w:top w:val="single" w:color="C9CED6" w:sz="4"/>
              <w:left w:val="single" w:color="C9CED6" w:sz="4"/>
              <w:bottom w:val="single" w:color="C9CED6" w:sz="4"/>
              <w:right w:val="single" w:color="C9CED6" w:sz="4"/>
            </w:tcBorders>
            <w:shd w:fill="EEF1F5" w:color="auto" w:val="clear"/>
            <w:tcMar>
              <w:top w:type="dxa" w:w="90"/>
              <w:left w:type="dxa" w:w="120"/>
              <w:bottom w:type="dxa" w:w="90"/>
              <w:right w:type="dxa" w:w="120"/>
            </w:tcMar>
          </w:tcPr>
          <w:p>
            <w:r>
              <w:rPr>
                <w:b/>
                <w:bCs/>
                <w:sz w:val="20"/>
                <w:szCs w:val="20"/>
              </w:rPr>
              <w:t xml:space="preserve">Why</w:t>
            </w:r>
          </w:p>
        </w:tc>
        <w:tc>
          <w:tcPr>
            <w:tcW w:type="dxa" w:w="7226"/>
            <w:tcBorders>
              <w:top w:val="single" w:color="C9CED6" w:sz="4"/>
              <w:left w:val="single" w:color="C9CED6" w:sz="4"/>
              <w:bottom w:val="single" w:color="C9CED6" w:sz="4"/>
              <w:right w:val="single" w:color="C9CED6" w:sz="4"/>
            </w:tcBorders>
            <w:tcMar>
              <w:top w:type="dxa" w:w="90"/>
              <w:left w:type="dxa" w:w="120"/>
              <w:bottom w:type="dxa" w:w="90"/>
              <w:right w:type="dxa" w:w="120"/>
            </w:tcMar>
          </w:tcPr>
          <w:p>
            <w:pPr>
              <w:spacing w:after="80"/>
            </w:pPr>
            <w:r>
              <w:t xml:space="preserve">The system also exports Parquet. Listing it shows the export module does at least what Objective 6 promises.</w:t>
            </w:r>
          </w:p>
        </w:tc>
      </w:tr>
      <w:tr>
        <w:trPr>
          <w:cantSplit w:val="off"/>
        </w:trPr>
        <w:tc>
          <w:tcPr>
            <w:tcW w:type="dxa" w:w="1800"/>
            <w:tcBorders>
              <w:top w:val="single" w:color="C9CED6" w:sz="4"/>
              <w:left w:val="single" w:color="C9CED6" w:sz="4"/>
              <w:bottom w:val="single" w:color="C9CED6" w:sz="4"/>
              <w:right w:val="single" w:color="C9CED6" w:sz="4"/>
            </w:tcBorders>
            <w:shd w:fill="EEF1F5" w:color="auto" w:val="clear"/>
            <w:tcMar>
              <w:top w:type="dxa" w:w="90"/>
              <w:left w:type="dxa" w:w="120"/>
              <w:bottom w:type="dxa" w:w="90"/>
              <w:right w:type="dxa" w:w="120"/>
            </w:tcMar>
          </w:tcPr>
          <w:p>
            <w:r>
              <w:rPr>
                <w:b/>
                <w:bCs/>
                <w:sz w:val="20"/>
                <w:szCs w:val="20"/>
              </w:rPr>
              <w:t xml:space="preserve">Find this text</w:t>
            </w:r>
          </w:p>
        </w:tc>
        <w:tc>
          <w:tcPr>
            <w:tcW w:type="dxa" w:w="7226"/>
            <w:tcBorders>
              <w:top w:val="single" w:color="C9CED6" w:sz="4"/>
              <w:left w:val="single" w:color="C9CED6" w:sz="4"/>
              <w:bottom w:val="single" w:color="C9CED6" w:sz="4"/>
              <w:right w:val="single" w:color="C9CED6" w:sz="4"/>
            </w:tcBorders>
            <w:shd w:fill="F6F7F9" w:color="auto" w:val="clear"/>
            <w:tcMar>
              <w:top w:type="dxa" w:w="90"/>
              <w:left w:type="dxa" w:w="120"/>
              <w:bottom w:type="dxa" w:w="90"/>
              <w:right w:type="dxa" w:w="120"/>
            </w:tcMar>
          </w:tcPr>
          <w:p>
            <w:pPr>
              <w:spacing w:after="80"/>
            </w:pPr>
            <w:r>
              <w:rPr>
                <w:i/>
                <w:iCs/>
              </w:rPr>
              <w:t xml:space="preserve">“4.0 Export Dataset/Result: Creates and serves to the user as a downloadable file (CSV, XLSX, or JSON file)…”</w:t>
            </w:r>
          </w:p>
        </w:tc>
      </w:tr>
      <w:tr>
        <w:trPr>
          <w:cantSplit w:val="off"/>
        </w:trPr>
        <w:tc>
          <w:tcPr>
            <w:tcW w:type="dxa" w:w="1800"/>
            <w:tcBorders>
              <w:top w:val="single" w:color="C9CED6" w:sz="4"/>
              <w:left w:val="single" w:color="C9CED6" w:sz="4"/>
              <w:bottom w:val="single" w:color="C9CED6" w:sz="4"/>
              <w:right w:val="single" w:color="C9CED6" w:sz="4"/>
            </w:tcBorders>
            <w:shd w:fill="EEF1F5" w:color="auto" w:val="clear"/>
            <w:tcMar>
              <w:top w:type="dxa" w:w="90"/>
              <w:left w:type="dxa" w:w="120"/>
              <w:bottom w:type="dxa" w:w="90"/>
              <w:right w:type="dxa" w:w="120"/>
            </w:tcMar>
          </w:tcPr>
          <w:p>
            <w:r>
              <w:rPr>
                <w:b/>
                <w:bCs/>
                <w:sz w:val="20"/>
                <w:szCs w:val="20"/>
              </w:rPr>
              <w:t xml:space="preserve">Change to</w:t>
            </w:r>
          </w:p>
        </w:tc>
        <w:tc>
          <w:tcPr>
            <w:tcW w:type="dxa" w:w="7226"/>
            <w:tcBorders>
              <w:top w:val="single" w:color="C9CED6" w:sz="4"/>
              <w:left w:val="single" w:color="C9CED6" w:sz="4"/>
              <w:bottom w:val="single" w:color="C9CED6" w:sz="4"/>
              <w:right w:val="single" w:color="C9CED6" w:sz="4"/>
            </w:tcBorders>
            <w:shd w:fill="EAF6EC" w:color="auto" w:val="clear"/>
            <w:tcMar>
              <w:top w:type="dxa" w:w="90"/>
              <w:left w:type="dxa" w:w="120"/>
              <w:bottom w:type="dxa" w:w="90"/>
              <w:right w:type="dxa" w:w="120"/>
            </w:tcMar>
          </w:tcPr>
          <w:p>
            <w:pPr>
              <w:spacing w:after="80"/>
            </w:pPr>
            <w:r>
              <w:t xml:space="preserve">4.0 Export Dataset/Result: Creates and serves to the user as a downloadable file (CSV, XLSX, JSON, or Parquet)…</w:t>
            </w:r>
          </w:p>
        </w:tc>
      </w:tr>
    </w:tbl>
    <w:p>
      <w:pPr>
        <w:spacing w:after="120"/>
      </w:pPr>
    </w:p>
    <w:p>
      <w:pPr>
        <w:pStyle w:val="Heading2"/>
        <w:keepNext/>
        <w:spacing w:after="120" w:before="280"/>
      </w:pPr>
      <w:r>
        <w:t xml:space="preserve">D8  ·  Correlation heatmap and health score are missing from the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val="off"/>
        </w:trPr>
        <w:tc>
          <w:tcPr>
            <w:tcW w:type="dxa" w:w="1800"/>
            <w:tcBorders>
              <w:top w:val="single" w:color="C9CED6" w:sz="4"/>
              <w:left w:val="single" w:color="C9CED6" w:sz="4"/>
              <w:bottom w:val="single" w:color="C9CED6" w:sz="4"/>
              <w:right w:val="single" w:color="C9CED6" w:sz="4"/>
            </w:tcBorders>
            <w:shd w:fill="EEF1F5" w:color="auto" w:val="clear"/>
            <w:tcMar>
              <w:top w:type="dxa" w:w="90"/>
              <w:left w:type="dxa" w:w="120"/>
              <w:bottom w:type="dxa" w:w="90"/>
              <w:right w:type="dxa" w:w="120"/>
            </w:tcMar>
          </w:tcPr>
          <w:p>
            <w:r>
              <w:rPr>
                <w:b/>
                <w:bCs/>
                <w:sz w:val="20"/>
                <w:szCs w:val="20"/>
              </w:rPr>
              <w:t xml:space="preserve">Where</w:t>
            </w:r>
          </w:p>
        </w:tc>
        <w:tc>
          <w:tcPr>
            <w:tcW w:type="dxa" w:w="7226"/>
            <w:tcBorders>
              <w:top w:val="single" w:color="C9CED6" w:sz="4"/>
              <w:left w:val="single" w:color="C9CED6" w:sz="4"/>
              <w:bottom w:val="single" w:color="C9CED6" w:sz="4"/>
              <w:right w:val="single" w:color="C9CED6" w:sz="4"/>
            </w:tcBorders>
            <w:tcMar>
              <w:top w:type="dxa" w:w="90"/>
              <w:left w:type="dxa" w:w="120"/>
              <w:bottom w:type="dxa" w:w="90"/>
              <w:right w:type="dxa" w:w="120"/>
            </w:tcMar>
          </w:tcPr>
          <w:p>
            <w:pPr>
              <w:spacing w:after="80"/>
            </w:pPr>
            <w:r>
              <w:t xml:space="preserve">Functional Requirements 7 and 9, pp. 47–48.</w:t>
            </w:r>
          </w:p>
        </w:tc>
      </w:tr>
      <w:tr>
        <w:trPr>
          <w:cantSplit w:val="off"/>
        </w:trPr>
        <w:tc>
          <w:tcPr>
            <w:tcW w:type="dxa" w:w="1800"/>
            <w:tcBorders>
              <w:top w:val="single" w:color="C9CED6" w:sz="4"/>
              <w:left w:val="single" w:color="C9CED6" w:sz="4"/>
              <w:bottom w:val="single" w:color="C9CED6" w:sz="4"/>
              <w:right w:val="single" w:color="C9CED6" w:sz="4"/>
            </w:tcBorders>
            <w:shd w:fill="EEF1F5" w:color="auto" w:val="clear"/>
            <w:tcMar>
              <w:top w:type="dxa" w:w="90"/>
              <w:left w:type="dxa" w:w="120"/>
              <w:bottom w:type="dxa" w:w="90"/>
              <w:right w:type="dxa" w:w="120"/>
            </w:tcMar>
          </w:tcPr>
          <w:p>
            <w:r>
              <w:rPr>
                <w:b/>
                <w:bCs/>
                <w:sz w:val="20"/>
                <w:szCs w:val="20"/>
              </w:rPr>
              <w:t xml:space="preserve">Why</w:t>
            </w:r>
          </w:p>
        </w:tc>
        <w:tc>
          <w:tcPr>
            <w:tcW w:type="dxa" w:w="7226"/>
            <w:tcBorders>
              <w:top w:val="single" w:color="C9CED6" w:sz="4"/>
              <w:left w:val="single" w:color="C9CED6" w:sz="4"/>
              <w:bottom w:val="single" w:color="C9CED6" w:sz="4"/>
              <w:right w:val="single" w:color="C9CED6" w:sz="4"/>
            </w:tcBorders>
            <w:tcMar>
              <w:top w:type="dxa" w:w="90"/>
              <w:left w:type="dxa" w:w="120"/>
              <w:bottom w:type="dxa" w:w="90"/>
              <w:right w:type="dxa" w:w="120"/>
            </w:tcMar>
          </w:tcPr>
          <w:p>
            <w:pPr>
              <w:spacing w:after="80"/>
            </w:pPr>
            <w:r>
              <w:t xml:space="preserve">The Detect tab has a correlation heatmap (Pearson and Spearman) and the dashboard/Overview show a dataset health score. Neither appears in the requirements. (Leading-zero codes are covered by D6.)</w:t>
            </w:r>
          </w:p>
        </w:tc>
      </w:tr>
      <w:tr>
        <w:trPr>
          <w:cantSplit w:val="off"/>
        </w:trPr>
        <w:tc>
          <w:tcPr>
            <w:tcW w:type="dxa" w:w="1800"/>
            <w:tcBorders>
              <w:top w:val="single" w:color="C9CED6" w:sz="4"/>
              <w:left w:val="single" w:color="C9CED6" w:sz="4"/>
              <w:bottom w:val="single" w:color="C9CED6" w:sz="4"/>
              <w:right w:val="single" w:color="C9CED6" w:sz="4"/>
            </w:tcBorders>
            <w:shd w:fill="EEF1F5" w:color="auto" w:val="clear"/>
            <w:tcMar>
              <w:top w:type="dxa" w:w="90"/>
              <w:left w:type="dxa" w:w="120"/>
              <w:bottom w:type="dxa" w:w="90"/>
              <w:right w:type="dxa" w:w="120"/>
            </w:tcMar>
          </w:tcPr>
          <w:p>
            <w:r>
              <w:rPr>
                <w:b/>
                <w:bCs/>
                <w:sz w:val="20"/>
                <w:szCs w:val="20"/>
              </w:rPr>
              <w:t xml:space="preserve">Find this text</w:t>
            </w:r>
          </w:p>
        </w:tc>
        <w:tc>
          <w:tcPr>
            <w:tcW w:type="dxa" w:w="7226"/>
            <w:tcBorders>
              <w:top w:val="single" w:color="C9CED6" w:sz="4"/>
              <w:left w:val="single" w:color="C9CED6" w:sz="4"/>
              <w:bottom w:val="single" w:color="C9CED6" w:sz="4"/>
              <w:right w:val="single" w:color="C9CED6" w:sz="4"/>
            </w:tcBorders>
            <w:shd w:fill="F6F7F9" w:color="auto" w:val="clear"/>
            <w:tcMar>
              <w:top w:type="dxa" w:w="90"/>
              <w:left w:type="dxa" w:w="120"/>
              <w:bottom w:type="dxa" w:w="90"/>
              <w:right w:type="dxa" w:w="120"/>
            </w:tcMar>
          </w:tcPr>
          <w:p>
            <w:pPr>
              <w:spacing w:after="80"/>
            </w:pPr>
            <w:r>
              <w:rPr>
                <w:i/>
                <w:iCs/>
              </w:rPr>
              <w:t xml:space="preserve">“FR 7: Smartalyze performs descriptive analysis, grouping/summarizing, linear regression trend analysis and IQR-based anomaly detection and gives an AI-assisted explanation of these results.”</w:t>
            </w:r>
          </w:p>
          <w:p>
            <w:pPr>
              <w:spacing w:after="80"/>
            </w:pPr>
            <w:r>
              <w:rPr>
                <w:i/>
                <w:iCs/>
              </w:rPr>
              <w:t xml:space="preserve">“FR 9: The system is capable of generating bar charts, line graphs, pie charts, area charts, histograms, and frequency distribution based on compatible column types.”</w:t>
            </w:r>
          </w:p>
        </w:tc>
      </w:tr>
      <w:tr>
        <w:trPr>
          <w:cantSplit w:val="off"/>
        </w:trPr>
        <w:tc>
          <w:tcPr>
            <w:tcW w:type="dxa" w:w="1800"/>
            <w:tcBorders>
              <w:top w:val="single" w:color="C9CED6" w:sz="4"/>
              <w:left w:val="single" w:color="C9CED6" w:sz="4"/>
              <w:bottom w:val="single" w:color="C9CED6" w:sz="4"/>
              <w:right w:val="single" w:color="C9CED6" w:sz="4"/>
            </w:tcBorders>
            <w:shd w:fill="EEF1F5" w:color="auto" w:val="clear"/>
            <w:tcMar>
              <w:top w:type="dxa" w:w="90"/>
              <w:left w:type="dxa" w:w="120"/>
              <w:bottom w:type="dxa" w:w="90"/>
              <w:right w:type="dxa" w:w="120"/>
            </w:tcMar>
          </w:tcPr>
          <w:p>
            <w:r>
              <w:rPr>
                <w:b/>
                <w:bCs/>
                <w:sz w:val="20"/>
                <w:szCs w:val="20"/>
              </w:rPr>
              <w:t xml:space="preserve">Change to</w:t>
            </w:r>
          </w:p>
        </w:tc>
        <w:tc>
          <w:tcPr>
            <w:tcW w:type="dxa" w:w="7226"/>
            <w:tcBorders>
              <w:top w:val="single" w:color="C9CED6" w:sz="4"/>
              <w:left w:val="single" w:color="C9CED6" w:sz="4"/>
              <w:bottom w:val="single" w:color="C9CED6" w:sz="4"/>
              <w:right w:val="single" w:color="C9CED6" w:sz="4"/>
            </w:tcBorders>
            <w:shd w:fill="EAF6EC" w:color="auto" w:val="clear"/>
            <w:tcMar>
              <w:top w:type="dxa" w:w="90"/>
              <w:left w:type="dxa" w:w="120"/>
              <w:bottom w:type="dxa" w:w="90"/>
              <w:right w:type="dxa" w:w="120"/>
            </w:tcMar>
          </w:tcPr>
          <w:p>
            <w:pPr>
              <w:spacing w:after="80"/>
            </w:pPr>
            <w:r>
              <w:rPr>
                <w:b/>
                <w:bCs/>
              </w:rPr>
              <w:t xml:space="preserve">FR 7:</w:t>
            </w:r>
            <w:r>
              <w:t xml:space="preserve"> Smartalyze performs descriptive analysis, grouping and summarizing (with suggested groupings), linear regression trend analysis and forecasting with a 95% prediction interval, IQR-based anomaly detection, and correlation analysis (Pearson and Spearman), and gives an AI-assisted explanation of these results.</w:t>
            </w:r>
          </w:p>
          <w:p>
            <w:pPr>
              <w:spacing w:after="80"/>
            </w:pPr>
            <w:r>
              <w:rPr>
                <w:b/>
                <w:bCs/>
              </w:rPr>
              <w:t xml:space="preserve">FR 9:</w:t>
            </w:r>
            <w:r>
              <w:t xml:space="preserve"> The system is capable of generating bar charts, line graphs, pie charts, area charts, histograms, frequency distributions and correlation heatmaps based on compatible column types, and shows a dataset health score (0–100) that summarizes data quality.</w:t>
            </w:r>
          </w:p>
        </w:tc>
      </w:tr>
    </w:tbl>
    <w:p>
      <w:pPr>
        <w:spacing w:after="120"/>
      </w:pPr>
    </w:p>
    <w:p>
      <w:pPr>
        <w:pStyle w:val="Heading2"/>
        <w:keepNext/>
        <w:spacing w:after="120" w:before="280"/>
      </w:pPr>
      <w:r>
        <w:t xml:space="preserve">D10  ·  Users table in the data dictionary is wrong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val="off"/>
        </w:trPr>
        <w:tc>
          <w:tcPr>
            <w:tcW w:type="dxa" w:w="1800"/>
            <w:tcBorders>
              <w:top w:val="single" w:color="C9CED6" w:sz="4"/>
              <w:left w:val="single" w:color="C9CED6" w:sz="4"/>
              <w:bottom w:val="single" w:color="C9CED6" w:sz="4"/>
              <w:right w:val="single" w:color="C9CED6" w:sz="4"/>
            </w:tcBorders>
            <w:shd w:fill="EEF1F5" w:color="auto" w:val="clear"/>
            <w:tcMar>
              <w:top w:type="dxa" w:w="90"/>
              <w:left w:type="dxa" w:w="120"/>
              <w:bottom w:type="dxa" w:w="90"/>
              <w:right w:type="dxa" w:w="120"/>
            </w:tcMar>
          </w:tcPr>
          <w:p>
            <w:r>
              <w:rPr>
                <w:b/>
                <w:bCs/>
                <w:sz w:val="20"/>
                <w:szCs w:val="20"/>
              </w:rPr>
              <w:t xml:space="preserve">Where</w:t>
            </w:r>
          </w:p>
        </w:tc>
        <w:tc>
          <w:tcPr>
            <w:tcW w:type="dxa" w:w="7226"/>
            <w:tcBorders>
              <w:top w:val="single" w:color="C9CED6" w:sz="4"/>
              <w:left w:val="single" w:color="C9CED6" w:sz="4"/>
              <w:bottom w:val="single" w:color="C9CED6" w:sz="4"/>
              <w:right w:val="single" w:color="C9CED6" w:sz="4"/>
            </w:tcBorders>
            <w:tcMar>
              <w:top w:type="dxa" w:w="90"/>
              <w:left w:type="dxa" w:w="120"/>
              <w:bottom w:type="dxa" w:w="90"/>
              <w:right w:type="dxa" w:w="120"/>
            </w:tcMar>
          </w:tcPr>
          <w:p>
            <w:pPr>
              <w:spacing w:after="80"/>
            </w:pPr>
            <w:r>
              <w:t xml:space="preserve">Data Dictionary, Table 3. Users, pp. 56–57.</w:t>
            </w:r>
          </w:p>
        </w:tc>
      </w:tr>
      <w:tr>
        <w:trPr>
          <w:cantSplit w:val="off"/>
        </w:trPr>
        <w:tc>
          <w:tcPr>
            <w:tcW w:type="dxa" w:w="1800"/>
            <w:tcBorders>
              <w:top w:val="single" w:color="C9CED6" w:sz="4"/>
              <w:left w:val="single" w:color="C9CED6" w:sz="4"/>
              <w:bottom w:val="single" w:color="C9CED6" w:sz="4"/>
              <w:right w:val="single" w:color="C9CED6" w:sz="4"/>
            </w:tcBorders>
            <w:shd w:fill="EEF1F5" w:color="auto" w:val="clear"/>
            <w:tcMar>
              <w:top w:type="dxa" w:w="90"/>
              <w:left w:type="dxa" w:w="120"/>
              <w:bottom w:type="dxa" w:w="90"/>
              <w:right w:type="dxa" w:w="120"/>
            </w:tcMar>
          </w:tcPr>
          <w:p>
            <w:r>
              <w:rPr>
                <w:b/>
                <w:bCs/>
                <w:sz w:val="20"/>
                <w:szCs w:val="20"/>
              </w:rPr>
              <w:t xml:space="preserve">Why</w:t>
            </w:r>
          </w:p>
        </w:tc>
        <w:tc>
          <w:tcPr>
            <w:tcW w:type="dxa" w:w="7226"/>
            <w:tcBorders>
              <w:top w:val="single" w:color="C9CED6" w:sz="4"/>
              <w:left w:val="single" w:color="C9CED6" w:sz="4"/>
              <w:bottom w:val="single" w:color="C9CED6" w:sz="4"/>
              <w:right w:val="single" w:color="C9CED6" w:sz="4"/>
            </w:tcBorders>
            <w:tcMar>
              <w:top w:type="dxa" w:w="90"/>
              <w:left w:type="dxa" w:w="120"/>
              <w:bottom w:type="dxa" w:w="90"/>
              <w:right w:type="dxa" w:w="120"/>
            </w:tcMar>
          </w:tcPr>
          <w:p>
            <w:pPr>
              <w:spacing w:after="80"/>
            </w:pPr>
            <w:r>
              <w:t xml:space="preserve">The key column is named </w:t>
            </w:r>
            <w:r>
              <w:rPr>
                <w:b/>
                <w:bCs/>
              </w:rPr>
              <w:t xml:space="preserve">id</w:t>
            </w:r>
            <w:r>
              <w:t xml:space="preserve">, not user_id; </w:t>
            </w:r>
            <w:r>
              <w:rPr>
                <w:b/>
                <w:bCs/>
              </w:rPr>
              <w:t xml:space="preserve">username</w:t>
            </w:r>
            <w:r>
              <w:t xml:space="preserve"> is the unique column (not password_hash); and the </w:t>
            </w:r>
            <w:r>
              <w:rPr>
                <w:b/>
                <w:bCs/>
              </w:rPr>
              <w:t xml:space="preserve">avatar</w:t>
            </w:r>
            <w:r>
              <w:t xml:space="preserve"> column is missing. The table must match the database (ERD and models).</w:t>
            </w:r>
          </w:p>
        </w:tc>
      </w:tr>
      <w:tr>
        <w:trPr>
          <w:cantSplit w:val="off"/>
        </w:trPr>
        <w:tc>
          <w:tcPr>
            <w:tcW w:type="dxa" w:w="1800"/>
            <w:tcBorders>
              <w:top w:val="single" w:color="C9CED6" w:sz="4"/>
              <w:left w:val="single" w:color="C9CED6" w:sz="4"/>
              <w:bottom w:val="single" w:color="C9CED6" w:sz="4"/>
              <w:right w:val="single" w:color="C9CED6" w:sz="4"/>
            </w:tcBorders>
            <w:shd w:fill="EEF1F5" w:color="auto" w:val="clear"/>
            <w:tcMar>
              <w:top w:type="dxa" w:w="90"/>
              <w:left w:type="dxa" w:w="120"/>
              <w:bottom w:type="dxa" w:w="90"/>
              <w:right w:type="dxa" w:w="120"/>
            </w:tcMar>
          </w:tcPr>
          <w:p>
            <w:r>
              <w:rPr>
                <w:b/>
                <w:bCs/>
                <w:sz w:val="20"/>
                <w:szCs w:val="20"/>
              </w:rPr>
              <w:t xml:space="preserve">Change to</w:t>
            </w:r>
          </w:p>
        </w:tc>
        <w:tc>
          <w:tcPr>
            <w:tcW w:type="dxa" w:w="7226"/>
            <w:tcBorders>
              <w:top w:val="single" w:color="C9CED6" w:sz="4"/>
              <w:left w:val="single" w:color="C9CED6" w:sz="4"/>
              <w:bottom w:val="single" w:color="C9CED6" w:sz="4"/>
              <w:right w:val="single" w:color="C9CED6" w:sz="4"/>
            </w:tcBorders>
            <w:shd w:fill="EAF6EC" w:color="auto" w:val="clear"/>
            <w:tcMar>
              <w:top w:type="dxa" w:w="90"/>
              <w:left w:type="dxa" w:w="120"/>
              <w:bottom w:type="dxa" w:w="90"/>
              <w:right w:type="dxa" w:w="120"/>
            </w:tcMar>
          </w:tcPr>
          <w:p>
            <w:pPr>
              <w:spacing w:after="80"/>
            </w:pPr>
            <w:r>
              <w:t xml:space="preserve">Replace Table 3 with the table below.</w:t>
            </w:r>
          </w:p>
        </w:tc>
      </w:tr>
    </w:tbl>
    <w:p>
      <w:pPr>
        <w:keepNext/>
        <w:spacing w:after="80" w:before="160"/>
      </w:pPr>
      <w:r>
        <w:rPr>
          <w:b/>
          <w:bCs/>
          <w:sz w:val="20"/>
          <w:szCs w:val="20"/>
        </w:rPr>
        <w:t xml:space="preserve">Table 3. Users (replacement)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700"/>
        <w:gridCol w:w="3926"/>
      </w:tblGrid>
      <w:tr>
        <w:trPr>
          <w:tblHeader/>
        </w:trPr>
        <w:tc>
          <w:tcPr>
            <w:tcW w:type="dxa" w:w="1800"/>
            <w:tcBorders>
              <w:top w:val="single" w:color="C9CED6" w:sz="4"/>
              <w:left w:val="single" w:color="C9CED6" w:sz="4"/>
              <w:bottom w:val="single" w:color="C9CED6" w:sz="4"/>
              <w:right w:val="single" w:color="C9CED6" w:sz="4"/>
            </w:tcBorders>
            <w:shd w:fill="DCE4EE" w:color="auto" w:val="clear"/>
            <w:tcMar>
              <w:top w:type="dxa" w:w="90"/>
              <w:left w:type="dxa" w:w="120"/>
              <w:bottom w:type="dxa" w:w="90"/>
              <w:right w:type="dxa" w:w="120"/>
            </w:tcMar>
          </w:tcPr>
          <w:p>
            <w:r>
              <w:rPr>
                <w:b/>
                <w:bCs/>
                <w:sz w:val="20"/>
                <w:szCs w:val="20"/>
              </w:rPr>
              <w:t xml:space="preserve">Attribute</w:t>
            </w:r>
          </w:p>
        </w:tc>
        <w:tc>
          <w:tcPr>
            <w:tcW w:type="dxa" w:w="1600"/>
            <w:tcBorders>
              <w:top w:val="single" w:color="C9CED6" w:sz="4"/>
              <w:left w:val="single" w:color="C9CED6" w:sz="4"/>
              <w:bottom w:val="single" w:color="C9CED6" w:sz="4"/>
              <w:right w:val="single" w:color="C9CED6" w:sz="4"/>
            </w:tcBorders>
            <w:shd w:fill="DCE4EE" w:color="auto" w:val="clear"/>
            <w:tcMar>
              <w:top w:type="dxa" w:w="90"/>
              <w:left w:type="dxa" w:w="120"/>
              <w:bottom w:type="dxa" w:w="90"/>
              <w:right w:type="dxa" w:w="120"/>
            </w:tcMar>
          </w:tcPr>
          <w:p>
            <w:r>
              <w:rPr>
                <w:b/>
                <w:bCs/>
                <w:sz w:val="20"/>
                <w:szCs w:val="20"/>
              </w:rPr>
              <w:t xml:space="preserve">Data Type</w:t>
            </w:r>
          </w:p>
        </w:tc>
        <w:tc>
          <w:tcPr>
            <w:tcW w:type="dxa" w:w="1700"/>
            <w:tcBorders>
              <w:top w:val="single" w:color="C9CED6" w:sz="4"/>
              <w:left w:val="single" w:color="C9CED6" w:sz="4"/>
              <w:bottom w:val="single" w:color="C9CED6" w:sz="4"/>
              <w:right w:val="single" w:color="C9CED6" w:sz="4"/>
            </w:tcBorders>
            <w:shd w:fill="DCE4EE" w:color="auto" w:val="clear"/>
            <w:tcMar>
              <w:top w:type="dxa" w:w="90"/>
              <w:left w:type="dxa" w:w="120"/>
              <w:bottom w:type="dxa" w:w="90"/>
              <w:right w:type="dxa" w:w="120"/>
            </w:tcMar>
          </w:tcPr>
          <w:p>
            <w:r>
              <w:rPr>
                <w:b/>
                <w:bCs/>
                <w:sz w:val="20"/>
                <w:szCs w:val="20"/>
              </w:rPr>
              <w:t xml:space="preserve">Key Type</w:t>
            </w:r>
          </w:p>
        </w:tc>
        <w:tc>
          <w:tcPr>
            <w:tcW w:type="dxa" w:w="3926"/>
            <w:tcBorders>
              <w:top w:val="single" w:color="C9CED6" w:sz="4"/>
              <w:left w:val="single" w:color="C9CED6" w:sz="4"/>
              <w:bottom w:val="single" w:color="C9CED6" w:sz="4"/>
              <w:right w:val="single" w:color="C9CED6" w:sz="4"/>
            </w:tcBorders>
            <w:shd w:fill="DCE4EE" w:color="auto" w:val="clear"/>
            <w:tcMar>
              <w:top w:type="dxa" w:w="90"/>
              <w:left w:type="dxa" w:w="120"/>
              <w:bottom w:type="dxa" w:w="90"/>
              <w:right w:type="dxa" w:w="120"/>
            </w:tcMar>
          </w:tcPr>
          <w:p>
            <w:r>
              <w:rPr>
                <w:b/>
                <w:bCs/>
                <w:sz w:val="20"/>
                <w:szCs w:val="20"/>
              </w:rPr>
              <w:t xml:space="preserve">Description</w:t>
            </w:r>
          </w:p>
        </w:tc>
      </w:tr>
      <w:tr>
        <w:trPr>
          <w:tblHeader w:val="off"/>
        </w:trPr>
        <w:tc>
          <w:tcPr>
            <w:tcW w:type="dxa" w:w="1800"/>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id</w:t>
            </w:r>
          </w:p>
        </w:tc>
        <w:tc>
          <w:tcPr>
            <w:tcW w:type="dxa" w:w="1600"/>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Integer</w:t>
            </w:r>
          </w:p>
        </w:tc>
        <w:tc>
          <w:tcPr>
            <w:tcW w:type="dxa" w:w="1700"/>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Primary Key</w:t>
            </w:r>
          </w:p>
        </w:tc>
        <w:tc>
          <w:tcPr>
            <w:tcW w:type="dxa" w:w="3926"/>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Unique identifier for each user</w:t>
            </w:r>
          </w:p>
        </w:tc>
      </w:tr>
      <w:tr>
        <w:trPr>
          <w:tblHeader w:val="off"/>
        </w:trPr>
        <w:tc>
          <w:tcPr>
            <w:tcW w:type="dxa" w:w="1800"/>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username</w:t>
            </w:r>
          </w:p>
        </w:tc>
        <w:tc>
          <w:tcPr>
            <w:tcW w:type="dxa" w:w="1600"/>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Varchar(50)</w:t>
            </w:r>
          </w:p>
        </w:tc>
        <w:tc>
          <w:tcPr>
            <w:tcW w:type="dxa" w:w="1700"/>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Unique</w:t>
            </w:r>
          </w:p>
        </w:tc>
        <w:tc>
          <w:tcPr>
            <w:tcW w:type="dxa" w:w="3926"/>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Username used for login</w:t>
            </w:r>
          </w:p>
        </w:tc>
      </w:tr>
      <w:tr>
        <w:trPr>
          <w:tblHeader w:val="off"/>
        </w:trPr>
        <w:tc>
          <w:tcPr>
            <w:tcW w:type="dxa" w:w="1800"/>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password_hash</w:t>
            </w:r>
          </w:p>
        </w:tc>
        <w:tc>
          <w:tcPr>
            <w:tcW w:type="dxa" w:w="1600"/>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Varchar(255)</w:t>
            </w:r>
          </w:p>
        </w:tc>
        <w:tc>
          <w:tcPr>
            <w:tcW w:type="dxa" w:w="1700"/>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w:t>
            </w:r>
          </w:p>
        </w:tc>
        <w:tc>
          <w:tcPr>
            <w:tcW w:type="dxa" w:w="3926"/>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Salted PBKDF2-SHA256 hash of the password</w:t>
            </w:r>
          </w:p>
        </w:tc>
      </w:tr>
      <w:tr>
        <w:trPr>
          <w:tblHeader w:val="off"/>
        </w:trPr>
        <w:tc>
          <w:tcPr>
            <w:tcW w:type="dxa" w:w="1800"/>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created_at</w:t>
            </w:r>
          </w:p>
        </w:tc>
        <w:tc>
          <w:tcPr>
            <w:tcW w:type="dxa" w:w="1600"/>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Timestamp</w:t>
            </w:r>
          </w:p>
        </w:tc>
        <w:tc>
          <w:tcPr>
            <w:tcW w:type="dxa" w:w="1700"/>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w:t>
            </w:r>
          </w:p>
        </w:tc>
        <w:tc>
          <w:tcPr>
            <w:tcW w:type="dxa" w:w="3926"/>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Date and time the account was created</w:t>
            </w:r>
          </w:p>
        </w:tc>
      </w:tr>
      <w:tr>
        <w:trPr>
          <w:tblHeader w:val="off"/>
        </w:trPr>
        <w:tc>
          <w:tcPr>
            <w:tcW w:type="dxa" w:w="1800"/>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avatar</w:t>
            </w:r>
          </w:p>
        </w:tc>
        <w:tc>
          <w:tcPr>
            <w:tcW w:type="dxa" w:w="1600"/>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Text</w:t>
            </w:r>
          </w:p>
        </w:tc>
        <w:tc>
          <w:tcPr>
            <w:tcW w:type="dxa" w:w="1700"/>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w:t>
            </w:r>
          </w:p>
        </w:tc>
        <w:tc>
          <w:tcPr>
            <w:tcW w:type="dxa" w:w="3926"/>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Optional profile picture (stored image data, at most 1 MB)</w:t>
            </w:r>
          </w:p>
        </w:tc>
      </w:tr>
    </w:tbl>
    <w:p>
      <w:pPr>
        <w:spacing w:after="120"/>
      </w:pPr>
    </w:p>
    <w:p>
      <w:pPr>
        <w:pStyle w:val="Heading2"/>
        <w:keepNext/>
        <w:spacing w:after="120" w:before="280"/>
      </w:pPr>
      <w:r>
        <w:t xml:space="preserve">D11  ·  Methodology says the language model is “locally installed”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val="off"/>
        </w:trPr>
        <w:tc>
          <w:tcPr>
            <w:tcW w:type="dxa" w:w="1800"/>
            <w:tcBorders>
              <w:top w:val="single" w:color="C9CED6" w:sz="4"/>
              <w:left w:val="single" w:color="C9CED6" w:sz="4"/>
              <w:bottom w:val="single" w:color="C9CED6" w:sz="4"/>
              <w:right w:val="single" w:color="C9CED6" w:sz="4"/>
            </w:tcBorders>
            <w:shd w:fill="EEF1F5" w:color="auto" w:val="clear"/>
            <w:tcMar>
              <w:top w:type="dxa" w:w="90"/>
              <w:left w:type="dxa" w:w="120"/>
              <w:bottom w:type="dxa" w:w="90"/>
              <w:right w:type="dxa" w:w="120"/>
            </w:tcMar>
          </w:tcPr>
          <w:p>
            <w:r>
              <w:rPr>
                <w:b/>
                <w:bCs/>
                <w:sz w:val="20"/>
                <w:szCs w:val="20"/>
              </w:rPr>
              <w:t xml:space="preserve">Where</w:t>
            </w:r>
          </w:p>
        </w:tc>
        <w:tc>
          <w:tcPr>
            <w:tcW w:type="dxa" w:w="7226"/>
            <w:tcBorders>
              <w:top w:val="single" w:color="C9CED6" w:sz="4"/>
              <w:left w:val="single" w:color="C9CED6" w:sz="4"/>
              <w:bottom w:val="single" w:color="C9CED6" w:sz="4"/>
              <w:right w:val="single" w:color="C9CED6" w:sz="4"/>
            </w:tcBorders>
            <w:tcMar>
              <w:top w:type="dxa" w:w="90"/>
              <w:left w:type="dxa" w:w="120"/>
              <w:bottom w:type="dxa" w:w="90"/>
              <w:right w:type="dxa" w:w="120"/>
            </w:tcMar>
          </w:tcPr>
          <w:p>
            <w:pPr>
              <w:spacing w:after="80"/>
            </w:pPr>
            <w:r>
              <w:t xml:space="preserve">Chapter 2, development planning paragraph, p. 38.</w:t>
            </w:r>
          </w:p>
        </w:tc>
      </w:tr>
      <w:tr>
        <w:trPr>
          <w:cantSplit w:val="off"/>
        </w:trPr>
        <w:tc>
          <w:tcPr>
            <w:tcW w:type="dxa" w:w="1800"/>
            <w:tcBorders>
              <w:top w:val="single" w:color="C9CED6" w:sz="4"/>
              <w:left w:val="single" w:color="C9CED6" w:sz="4"/>
              <w:bottom w:val="single" w:color="C9CED6" w:sz="4"/>
              <w:right w:val="single" w:color="C9CED6" w:sz="4"/>
            </w:tcBorders>
            <w:shd w:fill="EEF1F5" w:color="auto" w:val="clear"/>
            <w:tcMar>
              <w:top w:type="dxa" w:w="90"/>
              <w:left w:type="dxa" w:w="120"/>
              <w:bottom w:type="dxa" w:w="90"/>
              <w:right w:type="dxa" w:w="120"/>
            </w:tcMar>
          </w:tcPr>
          <w:p>
            <w:r>
              <w:rPr>
                <w:b/>
                <w:bCs/>
                <w:sz w:val="20"/>
                <w:szCs w:val="20"/>
              </w:rPr>
              <w:t xml:space="preserve">Why</w:t>
            </w:r>
          </w:p>
        </w:tc>
        <w:tc>
          <w:tcPr>
            <w:tcW w:type="dxa" w:w="7226"/>
            <w:tcBorders>
              <w:top w:val="single" w:color="C9CED6" w:sz="4"/>
              <w:left w:val="single" w:color="C9CED6" w:sz="4"/>
              <w:bottom w:val="single" w:color="C9CED6" w:sz="4"/>
              <w:right w:val="single" w:color="C9CED6" w:sz="4"/>
            </w:tcBorders>
            <w:tcMar>
              <w:top w:type="dxa" w:w="90"/>
              <w:left w:type="dxa" w:w="120"/>
              <w:bottom w:type="dxa" w:w="90"/>
              <w:right w:type="dxa" w:w="120"/>
            </w:tcMar>
          </w:tcPr>
          <w:p>
            <w:pPr>
              <w:spacing w:after="80"/>
            </w:pPr>
            <w:r>
              <w:t xml:space="preserve">The system uses </w:t>
            </w:r>
            <w:r>
              <w:rPr>
                <w:b/>
                <w:bCs/>
              </w:rPr>
              <w:t xml:space="preserve">Groq</w:t>
            </w:r>
            <w:r>
              <w:t xml:space="preserve">, a cloud service, as the manuscript chooses elsewhere (Objective 2, FR 8, NFR 1 and NFR 9). “Locally installed” describes Ollama, the option that was not chosen.</w:t>
            </w:r>
          </w:p>
        </w:tc>
      </w:tr>
      <w:tr>
        <w:trPr>
          <w:cantSplit w:val="off"/>
        </w:trPr>
        <w:tc>
          <w:tcPr>
            <w:tcW w:type="dxa" w:w="1800"/>
            <w:tcBorders>
              <w:top w:val="single" w:color="C9CED6" w:sz="4"/>
              <w:left w:val="single" w:color="C9CED6" w:sz="4"/>
              <w:bottom w:val="single" w:color="C9CED6" w:sz="4"/>
              <w:right w:val="single" w:color="C9CED6" w:sz="4"/>
            </w:tcBorders>
            <w:shd w:fill="EEF1F5" w:color="auto" w:val="clear"/>
            <w:tcMar>
              <w:top w:type="dxa" w:w="90"/>
              <w:left w:type="dxa" w:w="120"/>
              <w:bottom w:type="dxa" w:w="90"/>
              <w:right w:type="dxa" w:w="120"/>
            </w:tcMar>
          </w:tcPr>
          <w:p>
            <w:r>
              <w:rPr>
                <w:b/>
                <w:bCs/>
                <w:sz w:val="20"/>
                <w:szCs w:val="20"/>
              </w:rPr>
              <w:t xml:space="preserve">Find this text</w:t>
            </w:r>
          </w:p>
        </w:tc>
        <w:tc>
          <w:tcPr>
            <w:tcW w:type="dxa" w:w="7226"/>
            <w:tcBorders>
              <w:top w:val="single" w:color="C9CED6" w:sz="4"/>
              <w:left w:val="single" w:color="C9CED6" w:sz="4"/>
              <w:bottom w:val="single" w:color="C9CED6" w:sz="4"/>
              <w:right w:val="single" w:color="C9CED6" w:sz="4"/>
            </w:tcBorders>
            <w:shd w:fill="F6F7F9" w:color="auto" w:val="clear"/>
            <w:tcMar>
              <w:top w:type="dxa" w:w="90"/>
              <w:left w:type="dxa" w:w="120"/>
              <w:bottom w:type="dxa" w:w="90"/>
              <w:right w:type="dxa" w:w="120"/>
            </w:tcMar>
          </w:tcPr>
          <w:p>
            <w:pPr>
              <w:spacing w:after="80"/>
            </w:pPr>
            <w:r>
              <w:rPr>
                <w:i/>
                <w:iCs/>
              </w:rPr>
              <w:t xml:space="preserve">“…visualization toolkits, and a locally installed language model for AI assistance during explanations.”</w:t>
            </w:r>
          </w:p>
        </w:tc>
      </w:tr>
      <w:tr>
        <w:trPr>
          <w:cantSplit w:val="off"/>
        </w:trPr>
        <w:tc>
          <w:tcPr>
            <w:tcW w:type="dxa" w:w="1800"/>
            <w:tcBorders>
              <w:top w:val="single" w:color="C9CED6" w:sz="4"/>
              <w:left w:val="single" w:color="C9CED6" w:sz="4"/>
              <w:bottom w:val="single" w:color="C9CED6" w:sz="4"/>
              <w:right w:val="single" w:color="C9CED6" w:sz="4"/>
            </w:tcBorders>
            <w:shd w:fill="EEF1F5" w:color="auto" w:val="clear"/>
            <w:tcMar>
              <w:top w:type="dxa" w:w="90"/>
              <w:left w:type="dxa" w:w="120"/>
              <w:bottom w:type="dxa" w:w="90"/>
              <w:right w:type="dxa" w:w="120"/>
            </w:tcMar>
          </w:tcPr>
          <w:p>
            <w:r>
              <w:rPr>
                <w:b/>
                <w:bCs/>
                <w:sz w:val="20"/>
                <w:szCs w:val="20"/>
              </w:rPr>
              <w:t xml:space="preserve">Change to</w:t>
            </w:r>
          </w:p>
        </w:tc>
        <w:tc>
          <w:tcPr>
            <w:tcW w:type="dxa" w:w="7226"/>
            <w:tcBorders>
              <w:top w:val="single" w:color="C9CED6" w:sz="4"/>
              <w:left w:val="single" w:color="C9CED6" w:sz="4"/>
              <w:bottom w:val="single" w:color="C9CED6" w:sz="4"/>
              <w:right w:val="single" w:color="C9CED6" w:sz="4"/>
            </w:tcBorders>
            <w:shd w:fill="EAF6EC" w:color="auto" w:val="clear"/>
            <w:tcMar>
              <w:top w:type="dxa" w:w="90"/>
              <w:left w:type="dxa" w:w="120"/>
              <w:bottom w:type="dxa" w:w="90"/>
              <w:right w:type="dxa" w:w="120"/>
            </w:tcMar>
          </w:tcPr>
          <w:p>
            <w:pPr>
              <w:spacing w:after="80"/>
            </w:pPr>
            <w:r>
              <w:t xml:space="preserve">…visualization toolkits, and a cloud-based language model service (Groq) for AI-assisted explanations.</w:t>
            </w:r>
          </w:p>
        </w:tc>
      </w:tr>
      <w:tr>
        <w:trPr>
          <w:cantSplit w:val="off"/>
        </w:trPr>
        <w:tc>
          <w:tcPr>
            <w:tcW w:type="dxa" w:w="1800"/>
            <w:tcBorders>
              <w:top w:val="single" w:color="C9CED6" w:sz="4"/>
              <w:left w:val="single" w:color="C9CED6" w:sz="4"/>
              <w:bottom w:val="single" w:color="C9CED6" w:sz="4"/>
              <w:right w:val="single" w:color="C9CED6" w:sz="4"/>
            </w:tcBorders>
            <w:shd w:fill="EEF1F5" w:color="auto" w:val="clear"/>
            <w:tcMar>
              <w:top w:type="dxa" w:w="90"/>
              <w:left w:type="dxa" w:w="120"/>
              <w:bottom w:type="dxa" w:w="90"/>
              <w:right w:type="dxa" w:w="120"/>
            </w:tcMar>
          </w:tcPr>
          <w:p>
            <w:r>
              <w:rPr>
                <w:b/>
                <w:bCs/>
                <w:sz w:val="20"/>
                <w:szCs w:val="20"/>
              </w:rPr>
              <w:t xml:space="preserve">Note</w:t>
            </w:r>
          </w:p>
        </w:tc>
        <w:tc>
          <w:tcPr>
            <w:tcW w:type="dxa" w:w="7226"/>
            <w:tcBorders>
              <w:top w:val="single" w:color="C9CED6" w:sz="4"/>
              <w:left w:val="single" w:color="C9CED6" w:sz="4"/>
              <w:bottom w:val="single" w:color="C9CED6" w:sz="4"/>
              <w:right w:val="single" w:color="C9CED6" w:sz="4"/>
            </w:tcBorders>
            <w:tcMar>
              <w:top w:type="dxa" w:w="90"/>
              <w:left w:type="dxa" w:w="120"/>
              <w:bottom w:type="dxa" w:w="90"/>
              <w:right w:type="dxa" w:w="120"/>
            </w:tcMar>
          </w:tcPr>
          <w:p>
            <w:pPr>
              <w:spacing w:after="80"/>
            </w:pPr>
            <w:r>
              <w:t xml:space="preserve">Optional: name the model, “openai/gpt-oss-120b”, and add that the Llama model originally offered on Groq was retired by the provider, so the model was changed through a configuration setting without code changes.</w:t>
            </w:r>
          </w:p>
        </w:tc>
      </w:tr>
    </w:tbl>
    <w:p>
      <w:pPr>
        <w:spacing w:after="120"/>
      </w:pPr>
    </w:p>
    <w:p>
      <w:pPr>
        <w:pStyle w:val="Heading2"/>
        <w:keepNext/>
        <w:spacing w:after="120" w:before="280"/>
      </w:pPr>
      <w:r>
        <w:t xml:space="preserve">D12  ·  Forecast range is called a “confidence band / interval”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val="off"/>
        </w:trPr>
        <w:tc>
          <w:tcPr>
            <w:tcW w:type="dxa" w:w="1800"/>
            <w:tcBorders>
              <w:top w:val="single" w:color="C9CED6" w:sz="4"/>
              <w:left w:val="single" w:color="C9CED6" w:sz="4"/>
              <w:bottom w:val="single" w:color="C9CED6" w:sz="4"/>
              <w:right w:val="single" w:color="C9CED6" w:sz="4"/>
            </w:tcBorders>
            <w:shd w:fill="EEF1F5" w:color="auto" w:val="clear"/>
            <w:tcMar>
              <w:top w:type="dxa" w:w="90"/>
              <w:left w:type="dxa" w:w="120"/>
              <w:bottom w:type="dxa" w:w="90"/>
              <w:right w:type="dxa" w:w="120"/>
            </w:tcMar>
          </w:tcPr>
          <w:p>
            <w:r>
              <w:rPr>
                <w:b/>
                <w:bCs/>
                <w:sz w:val="20"/>
                <w:szCs w:val="20"/>
              </w:rPr>
              <w:t xml:space="preserve">Where</w:t>
            </w:r>
          </w:p>
        </w:tc>
        <w:tc>
          <w:tcPr>
            <w:tcW w:type="dxa" w:w="7226"/>
            <w:tcBorders>
              <w:top w:val="single" w:color="C9CED6" w:sz="4"/>
              <w:left w:val="single" w:color="C9CED6" w:sz="4"/>
              <w:bottom w:val="single" w:color="C9CED6" w:sz="4"/>
              <w:right w:val="single" w:color="C9CED6" w:sz="4"/>
            </w:tcBorders>
            <w:tcMar>
              <w:top w:type="dxa" w:w="90"/>
              <w:left w:type="dxa" w:w="120"/>
              <w:bottom w:type="dxa" w:w="90"/>
              <w:right w:type="dxa" w:w="120"/>
            </w:tcMar>
          </w:tcPr>
          <w:p>
            <w:pPr>
              <w:spacing w:after="80"/>
            </w:pPr>
            <w:r>
              <w:t xml:space="preserve">Chapter 3, Prediction (Linear Regression Forecasting), p. 69.</w:t>
            </w:r>
          </w:p>
        </w:tc>
      </w:tr>
      <w:tr>
        <w:trPr>
          <w:cantSplit w:val="off"/>
        </w:trPr>
        <w:tc>
          <w:tcPr>
            <w:tcW w:type="dxa" w:w="1800"/>
            <w:tcBorders>
              <w:top w:val="single" w:color="C9CED6" w:sz="4"/>
              <w:left w:val="single" w:color="C9CED6" w:sz="4"/>
              <w:bottom w:val="single" w:color="C9CED6" w:sz="4"/>
              <w:right w:val="single" w:color="C9CED6" w:sz="4"/>
            </w:tcBorders>
            <w:shd w:fill="EEF1F5" w:color="auto" w:val="clear"/>
            <w:tcMar>
              <w:top w:type="dxa" w:w="90"/>
              <w:left w:type="dxa" w:w="120"/>
              <w:bottom w:type="dxa" w:w="90"/>
              <w:right w:type="dxa" w:w="120"/>
            </w:tcMar>
          </w:tcPr>
          <w:p>
            <w:r>
              <w:rPr>
                <w:b/>
                <w:bCs/>
                <w:sz w:val="20"/>
                <w:szCs w:val="20"/>
              </w:rPr>
              <w:t xml:space="preserve">Why</w:t>
            </w:r>
          </w:p>
        </w:tc>
        <w:tc>
          <w:tcPr>
            <w:tcW w:type="dxa" w:w="7226"/>
            <w:tcBorders>
              <w:top w:val="single" w:color="C9CED6" w:sz="4"/>
              <w:left w:val="single" w:color="C9CED6" w:sz="4"/>
              <w:bottom w:val="single" w:color="C9CED6" w:sz="4"/>
              <w:right w:val="single" w:color="C9CED6" w:sz="4"/>
            </w:tcBorders>
            <w:tcMar>
              <w:top w:type="dxa" w:w="90"/>
              <w:left w:type="dxa" w:w="120"/>
              <w:bottom w:type="dxa" w:w="90"/>
              <w:right w:type="dxa" w:w="120"/>
            </w:tcMar>
          </w:tcPr>
          <w:p>
            <w:pPr>
              <w:spacing w:after="80"/>
            </w:pPr>
            <w:r>
              <w:t xml:space="preserve">The forecast range is now a </w:t>
            </w:r>
            <w:r>
              <w:rPr>
                <w:b/>
                <w:bCs/>
              </w:rPr>
              <w:t xml:space="preserve">95% prediction interval</w:t>
            </w:r>
            <w:r>
              <w:t xml:space="preserve"> (it was ±1 standard error before). A confidence interval and a prediction interval are different things; a statistician will check the wording.</w:t>
            </w:r>
          </w:p>
        </w:tc>
      </w:tr>
      <w:tr>
        <w:trPr>
          <w:cantSplit w:val="off"/>
        </w:trPr>
        <w:tc>
          <w:tcPr>
            <w:tcW w:type="dxa" w:w="1800"/>
            <w:tcBorders>
              <w:top w:val="single" w:color="C9CED6" w:sz="4"/>
              <w:left w:val="single" w:color="C9CED6" w:sz="4"/>
              <w:bottom w:val="single" w:color="C9CED6" w:sz="4"/>
              <w:right w:val="single" w:color="C9CED6" w:sz="4"/>
            </w:tcBorders>
            <w:shd w:fill="EEF1F5" w:color="auto" w:val="clear"/>
            <w:tcMar>
              <w:top w:type="dxa" w:w="90"/>
              <w:left w:type="dxa" w:w="120"/>
              <w:bottom w:type="dxa" w:w="90"/>
              <w:right w:type="dxa" w:w="120"/>
            </w:tcMar>
          </w:tcPr>
          <w:p>
            <w:r>
              <w:rPr>
                <w:b/>
                <w:bCs/>
                <w:sz w:val="20"/>
                <w:szCs w:val="20"/>
              </w:rPr>
              <w:t xml:space="preserve">Find this text</w:t>
            </w:r>
          </w:p>
        </w:tc>
        <w:tc>
          <w:tcPr>
            <w:tcW w:type="dxa" w:w="7226"/>
            <w:tcBorders>
              <w:top w:val="single" w:color="C9CED6" w:sz="4"/>
              <w:left w:val="single" w:color="C9CED6" w:sz="4"/>
              <w:bottom w:val="single" w:color="C9CED6" w:sz="4"/>
              <w:right w:val="single" w:color="C9CED6" w:sz="4"/>
            </w:tcBorders>
            <w:shd w:fill="F6F7F9" w:color="auto" w:val="clear"/>
            <w:tcMar>
              <w:top w:type="dxa" w:w="90"/>
              <w:left w:type="dxa" w:w="120"/>
              <w:bottom w:type="dxa" w:w="90"/>
              <w:right w:type="dxa" w:w="120"/>
            </w:tcMar>
          </w:tcPr>
          <w:p>
            <w:pPr>
              <w:spacing w:after="80"/>
            </w:pPr>
            <w:r>
              <w:rPr>
                <w:i/>
                <w:iCs/>
              </w:rPr>
              <w:t xml:space="preserve">“Confidence bands based on regression residual error”</w:t>
            </w:r>
          </w:p>
          <w:p>
            <w:pPr>
              <w:spacing w:after="80"/>
            </w:pPr>
            <w:r>
              <w:rPr>
                <w:i/>
                <w:iCs/>
              </w:rPr>
              <w:t xml:space="preserve">“Confidence intervals”</w:t>
            </w:r>
          </w:p>
        </w:tc>
      </w:tr>
      <w:tr>
        <w:trPr>
          <w:cantSplit w:val="off"/>
        </w:trPr>
        <w:tc>
          <w:tcPr>
            <w:tcW w:type="dxa" w:w="1800"/>
            <w:tcBorders>
              <w:top w:val="single" w:color="C9CED6" w:sz="4"/>
              <w:left w:val="single" w:color="C9CED6" w:sz="4"/>
              <w:bottom w:val="single" w:color="C9CED6" w:sz="4"/>
              <w:right w:val="single" w:color="C9CED6" w:sz="4"/>
            </w:tcBorders>
            <w:shd w:fill="EEF1F5" w:color="auto" w:val="clear"/>
            <w:tcMar>
              <w:top w:type="dxa" w:w="90"/>
              <w:left w:type="dxa" w:w="120"/>
              <w:bottom w:type="dxa" w:w="90"/>
              <w:right w:type="dxa" w:w="120"/>
            </w:tcMar>
          </w:tcPr>
          <w:p>
            <w:r>
              <w:rPr>
                <w:b/>
                <w:bCs/>
                <w:sz w:val="20"/>
                <w:szCs w:val="20"/>
              </w:rPr>
              <w:t xml:space="preserve">Change to</w:t>
            </w:r>
          </w:p>
        </w:tc>
        <w:tc>
          <w:tcPr>
            <w:tcW w:type="dxa" w:w="7226"/>
            <w:tcBorders>
              <w:top w:val="single" w:color="C9CED6" w:sz="4"/>
              <w:left w:val="single" w:color="C9CED6" w:sz="4"/>
              <w:bottom w:val="single" w:color="C9CED6" w:sz="4"/>
              <w:right w:val="single" w:color="C9CED6" w:sz="4"/>
            </w:tcBorders>
            <w:shd w:fill="EAF6EC" w:color="auto" w:val="clear"/>
            <w:tcMar>
              <w:top w:type="dxa" w:w="90"/>
              <w:left w:type="dxa" w:w="120"/>
              <w:bottom w:type="dxa" w:w="90"/>
              <w:right w:type="dxa" w:w="120"/>
            </w:tcMar>
          </w:tcPr>
          <w:p>
            <w:pPr>
              <w:spacing w:after="80"/>
            </w:pPr>
            <w:r>
              <w:rPr>
                <w:b/>
                <w:bCs/>
              </w:rPr>
              <w:t xml:space="preserve">Features bullet:</w:t>
            </w:r>
            <w:r>
              <w:t xml:space="preserve"> A 95% prediction interval for each forecast value (the “likely range”)</w:t>
            </w:r>
          </w:p>
          <w:p>
            <w:pPr>
              <w:spacing w:after="80"/>
            </w:pPr>
            <w:r>
              <w:rPr>
                <w:b/>
                <w:bCs/>
              </w:rPr>
              <w:t xml:space="preserve">Outputs bullet:</w:t>
            </w:r>
            <w:r>
              <w:t xml:space="preserve"> 95% prediction intervals</w:t>
            </w:r>
          </w:p>
          <w:p>
            <w:pPr>
              <w:spacing w:after="80"/>
            </w:pPr>
            <w:r>
              <w:rPr>
                <w:b/>
                <w:bCs/>
              </w:rPr>
              <w:t xml:space="preserve">Add after the lists:</w:t>
            </w:r>
            <w:r>
              <w:t xml:space="preserve"> Each forecast includes a 95% prediction interval, the range in which a single future value is expected to fall 95% of the time if the linear trend continues. It is computed as ŷ ± t(0.975, n−2) · s · √(1 + 1/n + (x₀ − x̄)² / Sxx), where s is the residual standard error, so the range widens for forecasts further from the data. With fewer than three values no range is shown.</w:t>
            </w:r>
          </w:p>
        </w:tc>
      </w:tr>
      <w:tr>
        <w:trPr>
          <w:cantSplit w:val="off"/>
        </w:trPr>
        <w:tc>
          <w:tcPr>
            <w:tcW w:type="dxa" w:w="1800"/>
            <w:tcBorders>
              <w:top w:val="single" w:color="C9CED6" w:sz="4"/>
              <w:left w:val="single" w:color="C9CED6" w:sz="4"/>
              <w:bottom w:val="single" w:color="C9CED6" w:sz="4"/>
              <w:right w:val="single" w:color="C9CED6" w:sz="4"/>
            </w:tcBorders>
            <w:shd w:fill="EEF1F5" w:color="auto" w:val="clear"/>
            <w:tcMar>
              <w:top w:type="dxa" w:w="90"/>
              <w:left w:type="dxa" w:w="120"/>
              <w:bottom w:type="dxa" w:w="90"/>
              <w:right w:type="dxa" w:w="120"/>
            </w:tcMar>
          </w:tcPr>
          <w:p>
            <w:r>
              <w:rPr>
                <w:b/>
                <w:bCs/>
                <w:sz w:val="20"/>
                <w:szCs w:val="20"/>
              </w:rPr>
              <w:t xml:space="preserve">Note</w:t>
            </w:r>
          </w:p>
        </w:tc>
        <w:tc>
          <w:tcPr>
            <w:tcW w:type="dxa" w:w="7226"/>
            <w:tcBorders>
              <w:top w:val="single" w:color="C9CED6" w:sz="4"/>
              <w:left w:val="single" w:color="C9CED6" w:sz="4"/>
              <w:bottom w:val="single" w:color="C9CED6" w:sz="4"/>
              <w:right w:val="single" w:color="C9CED6" w:sz="4"/>
            </w:tcBorders>
            <w:tcMar>
              <w:top w:type="dxa" w:w="90"/>
              <w:left w:type="dxa" w:w="120"/>
              <w:bottom w:type="dxa" w:w="90"/>
              <w:right w:type="dxa" w:w="120"/>
            </w:tcMar>
          </w:tcPr>
          <w:p>
            <w:pPr>
              <w:spacing w:after="80"/>
            </w:pPr>
            <w:r>
              <w:t xml:space="preserve">The formula and its numbers were checked against the statsmodels library (validation pack, 51 of 51 checks matched).</w:t>
            </w:r>
          </w:p>
        </w:tc>
      </w:tr>
    </w:tbl>
    <w:p>
      <w:pPr>
        <w:spacing w:after="120"/>
      </w:pPr>
    </w:p>
    <w:p>
      <w:pPr>
        <w:pStyle w:val="Heading2"/>
        <w:keepNext/>
        <w:spacing w:after="120" w:before="280"/>
      </w:pPr>
      <w:r>
        <w:t xml:space="preserve">D14  ·  AuthSessions table has no primary key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val="off"/>
        </w:trPr>
        <w:tc>
          <w:tcPr>
            <w:tcW w:type="dxa" w:w="1800"/>
            <w:tcBorders>
              <w:top w:val="single" w:color="C9CED6" w:sz="4"/>
              <w:left w:val="single" w:color="C9CED6" w:sz="4"/>
              <w:bottom w:val="single" w:color="C9CED6" w:sz="4"/>
              <w:right w:val="single" w:color="C9CED6" w:sz="4"/>
            </w:tcBorders>
            <w:shd w:fill="EEF1F5" w:color="auto" w:val="clear"/>
            <w:tcMar>
              <w:top w:type="dxa" w:w="90"/>
              <w:left w:type="dxa" w:w="120"/>
              <w:bottom w:type="dxa" w:w="90"/>
              <w:right w:type="dxa" w:w="120"/>
            </w:tcMar>
          </w:tcPr>
          <w:p>
            <w:r>
              <w:rPr>
                <w:b/>
                <w:bCs/>
                <w:sz w:val="20"/>
                <w:szCs w:val="20"/>
              </w:rPr>
              <w:t xml:space="preserve">Where</w:t>
            </w:r>
          </w:p>
        </w:tc>
        <w:tc>
          <w:tcPr>
            <w:tcW w:type="dxa" w:w="7226"/>
            <w:tcBorders>
              <w:top w:val="single" w:color="C9CED6" w:sz="4"/>
              <w:left w:val="single" w:color="C9CED6" w:sz="4"/>
              <w:bottom w:val="single" w:color="C9CED6" w:sz="4"/>
              <w:right w:val="single" w:color="C9CED6" w:sz="4"/>
            </w:tcBorders>
            <w:tcMar>
              <w:top w:type="dxa" w:w="90"/>
              <w:left w:type="dxa" w:w="120"/>
              <w:bottom w:type="dxa" w:w="90"/>
              <w:right w:type="dxa" w:w="120"/>
            </w:tcMar>
          </w:tcPr>
          <w:p>
            <w:pPr>
              <w:spacing w:after="80"/>
            </w:pPr>
            <w:r>
              <w:t xml:space="preserve">Data Dictionary, Table 4. AuthSessions, p. 57.</w:t>
            </w:r>
          </w:p>
        </w:tc>
      </w:tr>
      <w:tr>
        <w:trPr>
          <w:cantSplit w:val="off"/>
        </w:trPr>
        <w:tc>
          <w:tcPr>
            <w:tcW w:type="dxa" w:w="1800"/>
            <w:tcBorders>
              <w:top w:val="single" w:color="C9CED6" w:sz="4"/>
              <w:left w:val="single" w:color="C9CED6" w:sz="4"/>
              <w:bottom w:val="single" w:color="C9CED6" w:sz="4"/>
              <w:right w:val="single" w:color="C9CED6" w:sz="4"/>
            </w:tcBorders>
            <w:shd w:fill="EEF1F5" w:color="auto" w:val="clear"/>
            <w:tcMar>
              <w:top w:type="dxa" w:w="90"/>
              <w:left w:type="dxa" w:w="120"/>
              <w:bottom w:type="dxa" w:w="90"/>
              <w:right w:type="dxa" w:w="120"/>
            </w:tcMar>
          </w:tcPr>
          <w:p>
            <w:r>
              <w:rPr>
                <w:b/>
                <w:bCs/>
                <w:sz w:val="20"/>
                <w:szCs w:val="20"/>
              </w:rPr>
              <w:t xml:space="preserve">Why</w:t>
            </w:r>
          </w:p>
        </w:tc>
        <w:tc>
          <w:tcPr>
            <w:tcW w:type="dxa" w:w="7226"/>
            <w:tcBorders>
              <w:top w:val="single" w:color="C9CED6" w:sz="4"/>
              <w:left w:val="single" w:color="C9CED6" w:sz="4"/>
              <w:bottom w:val="single" w:color="C9CED6" w:sz="4"/>
              <w:right w:val="single" w:color="C9CED6" w:sz="4"/>
            </w:tcBorders>
            <w:tcMar>
              <w:top w:type="dxa" w:w="90"/>
              <w:left w:type="dxa" w:w="120"/>
              <w:bottom w:type="dxa" w:w="90"/>
              <w:right w:type="dxa" w:w="120"/>
            </w:tcMar>
          </w:tcPr>
          <w:p>
            <w:pPr>
              <w:spacing w:after="80"/>
            </w:pPr>
            <w:r>
              <w:t xml:space="preserve">Every session row has an </w:t>
            </w:r>
            <w:r>
              <w:rPr>
                <w:b/>
                <w:bCs/>
              </w:rPr>
              <w:t xml:space="preserve">id</w:t>
            </w:r>
            <w:r>
              <w:t xml:space="preserve"> primary key in the database; the table leaves it out.</w:t>
            </w:r>
          </w:p>
        </w:tc>
      </w:tr>
      <w:tr>
        <w:trPr>
          <w:cantSplit w:val="off"/>
        </w:trPr>
        <w:tc>
          <w:tcPr>
            <w:tcW w:type="dxa" w:w="1800"/>
            <w:tcBorders>
              <w:top w:val="single" w:color="C9CED6" w:sz="4"/>
              <w:left w:val="single" w:color="C9CED6" w:sz="4"/>
              <w:bottom w:val="single" w:color="C9CED6" w:sz="4"/>
              <w:right w:val="single" w:color="C9CED6" w:sz="4"/>
            </w:tcBorders>
            <w:shd w:fill="EEF1F5" w:color="auto" w:val="clear"/>
            <w:tcMar>
              <w:top w:type="dxa" w:w="90"/>
              <w:left w:type="dxa" w:w="120"/>
              <w:bottom w:type="dxa" w:w="90"/>
              <w:right w:type="dxa" w:w="120"/>
            </w:tcMar>
          </w:tcPr>
          <w:p>
            <w:r>
              <w:rPr>
                <w:b/>
                <w:bCs/>
                <w:sz w:val="20"/>
                <w:szCs w:val="20"/>
              </w:rPr>
              <w:t xml:space="preserve">Change to</w:t>
            </w:r>
          </w:p>
        </w:tc>
        <w:tc>
          <w:tcPr>
            <w:tcW w:type="dxa" w:w="7226"/>
            <w:tcBorders>
              <w:top w:val="single" w:color="C9CED6" w:sz="4"/>
              <w:left w:val="single" w:color="C9CED6" w:sz="4"/>
              <w:bottom w:val="single" w:color="C9CED6" w:sz="4"/>
              <w:right w:val="single" w:color="C9CED6" w:sz="4"/>
            </w:tcBorders>
            <w:shd w:fill="EAF6EC" w:color="auto" w:val="clear"/>
            <w:tcMar>
              <w:top w:type="dxa" w:w="90"/>
              <w:left w:type="dxa" w:w="120"/>
              <w:bottom w:type="dxa" w:w="90"/>
              <w:right w:type="dxa" w:w="120"/>
            </w:tcMar>
          </w:tcPr>
          <w:p>
            <w:pPr>
              <w:spacing w:after="80"/>
            </w:pPr>
            <w:r>
              <w:t xml:space="preserve">Add this row at the top of Table 4:</w:t>
            </w:r>
          </w:p>
          <w:p>
            <w:pPr>
              <w:spacing w:after="80"/>
            </w:pPr>
            <w:r>
              <w:rPr>
                <w:b/>
                <w:bCs/>
              </w:rPr>
              <w:t xml:space="preserve">id</w:t>
            </w:r>
            <w:r>
              <w:t xml:space="preserve"> | Integer | Primary Key | Unique identifier for each session</w:t>
            </w:r>
          </w:p>
          <w:p>
            <w:pPr>
              <w:spacing w:after="80"/>
            </w:pPr>
            <w:r>
              <w:t xml:space="preserve">Optional: describe token_hash as “SHA-256 hash of the login token (the token itself is never stored)”.</w:t>
            </w:r>
          </w:p>
        </w:tc>
      </w:tr>
    </w:tbl>
    <w:p>
      <w:pPr>
        <w:spacing w:after="120"/>
      </w:pPr>
    </w:p>
    <w:p>
      <w:pPr>
        <w:pStyle w:val="Heading2"/>
        <w:keepNext/>
        <w:spacing w:after="120" w:before="280"/>
      </w:pPr>
      <w:r>
        <w:t xml:space="preserve">D22  ·  Objective 4: explain how grouping is recommended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val="off"/>
        </w:trPr>
        <w:tc>
          <w:tcPr>
            <w:tcW w:type="dxa" w:w="1800"/>
            <w:tcBorders>
              <w:top w:val="single" w:color="C9CED6" w:sz="4"/>
              <w:left w:val="single" w:color="C9CED6" w:sz="4"/>
              <w:bottom w:val="single" w:color="C9CED6" w:sz="4"/>
              <w:right w:val="single" w:color="C9CED6" w:sz="4"/>
            </w:tcBorders>
            <w:shd w:fill="EEF1F5" w:color="auto" w:val="clear"/>
            <w:tcMar>
              <w:top w:type="dxa" w:w="90"/>
              <w:left w:type="dxa" w:w="120"/>
              <w:bottom w:type="dxa" w:w="90"/>
              <w:right w:type="dxa" w:w="120"/>
            </w:tcMar>
          </w:tcPr>
          <w:p>
            <w:r>
              <w:rPr>
                <w:b/>
                <w:bCs/>
                <w:sz w:val="20"/>
                <w:szCs w:val="20"/>
              </w:rPr>
              <w:t xml:space="preserve">Where</w:t>
            </w:r>
          </w:p>
        </w:tc>
        <w:tc>
          <w:tcPr>
            <w:tcW w:type="dxa" w:w="7226"/>
            <w:tcBorders>
              <w:top w:val="single" w:color="C9CED6" w:sz="4"/>
              <w:left w:val="single" w:color="C9CED6" w:sz="4"/>
              <w:bottom w:val="single" w:color="C9CED6" w:sz="4"/>
              <w:right w:val="single" w:color="C9CED6" w:sz="4"/>
            </w:tcBorders>
            <w:tcMar>
              <w:top w:type="dxa" w:w="90"/>
              <w:left w:type="dxa" w:w="120"/>
              <w:bottom w:type="dxa" w:w="90"/>
              <w:right w:type="dxa" w:w="120"/>
            </w:tcMar>
          </w:tcPr>
          <w:p>
            <w:pPr>
              <w:spacing w:after="80"/>
            </w:pPr>
            <w:r>
              <w:t xml:space="preserve">Chapter 3, Aggregation and Grouping, p. 66 (add a short subsection after “Supported Aggregations”).</w:t>
            </w:r>
          </w:p>
        </w:tc>
      </w:tr>
      <w:tr>
        <w:trPr>
          <w:cantSplit w:val="off"/>
        </w:trPr>
        <w:tc>
          <w:tcPr>
            <w:tcW w:type="dxa" w:w="1800"/>
            <w:tcBorders>
              <w:top w:val="single" w:color="C9CED6" w:sz="4"/>
              <w:left w:val="single" w:color="C9CED6" w:sz="4"/>
              <w:bottom w:val="single" w:color="C9CED6" w:sz="4"/>
              <w:right w:val="single" w:color="C9CED6" w:sz="4"/>
            </w:tcBorders>
            <w:shd w:fill="EEF1F5" w:color="auto" w:val="clear"/>
            <w:tcMar>
              <w:top w:type="dxa" w:w="90"/>
              <w:left w:type="dxa" w:w="120"/>
              <w:bottom w:type="dxa" w:w="90"/>
              <w:right w:type="dxa" w:w="120"/>
            </w:tcMar>
          </w:tcPr>
          <w:p>
            <w:r>
              <w:rPr>
                <w:b/>
                <w:bCs/>
                <w:sz w:val="20"/>
                <w:szCs w:val="20"/>
              </w:rPr>
              <w:t xml:space="preserve">Why</w:t>
            </w:r>
          </w:p>
        </w:tc>
        <w:tc>
          <w:tcPr>
            <w:tcW w:type="dxa" w:w="7226"/>
            <w:tcBorders>
              <w:top w:val="single" w:color="C9CED6" w:sz="4"/>
              <w:left w:val="single" w:color="C9CED6" w:sz="4"/>
              <w:bottom w:val="single" w:color="C9CED6" w:sz="4"/>
              <w:right w:val="single" w:color="C9CED6" w:sz="4"/>
            </w:tcBorders>
            <w:tcMar>
              <w:top w:type="dxa" w:w="90"/>
              <w:left w:type="dxa" w:w="120"/>
              <w:bottom w:type="dxa" w:w="90"/>
              <w:right w:type="dxa" w:w="120"/>
            </w:tcMar>
          </w:tcPr>
          <w:p>
            <w:pPr>
              <w:spacing w:after="80"/>
            </w:pPr>
            <w:r>
              <w:t xml:space="preserve">Objective 4 (p. 6) promises recommendations about data structuring, grouping, summarization, and trending. Grouping recommendations were added to the system on October 23, 2026 (“Suggested for your data” in Explore › Aggregation), and the manuscript should describe the method.</w:t>
            </w:r>
          </w:p>
        </w:tc>
      </w:tr>
      <w:tr>
        <w:trPr>
          <w:cantSplit w:val="off"/>
        </w:trPr>
        <w:tc>
          <w:tcPr>
            <w:tcW w:type="dxa" w:w="1800"/>
            <w:tcBorders>
              <w:top w:val="single" w:color="C9CED6" w:sz="4"/>
              <w:left w:val="single" w:color="C9CED6" w:sz="4"/>
              <w:bottom w:val="single" w:color="C9CED6" w:sz="4"/>
              <w:right w:val="single" w:color="C9CED6" w:sz="4"/>
            </w:tcBorders>
            <w:shd w:fill="EEF1F5" w:color="auto" w:val="clear"/>
            <w:tcMar>
              <w:top w:type="dxa" w:w="90"/>
              <w:left w:type="dxa" w:w="120"/>
              <w:bottom w:type="dxa" w:w="90"/>
              <w:right w:type="dxa" w:w="120"/>
            </w:tcMar>
          </w:tcPr>
          <w:p>
            <w:r>
              <w:rPr>
                <w:b/>
                <w:bCs/>
                <w:sz w:val="20"/>
                <w:szCs w:val="20"/>
              </w:rPr>
              <w:t xml:space="preserve">Add this text</w:t>
            </w:r>
          </w:p>
        </w:tc>
        <w:tc>
          <w:tcPr>
            <w:tcW w:type="dxa" w:w="7226"/>
            <w:tcBorders>
              <w:top w:val="single" w:color="C9CED6" w:sz="4"/>
              <w:left w:val="single" w:color="C9CED6" w:sz="4"/>
              <w:bottom w:val="single" w:color="C9CED6" w:sz="4"/>
              <w:right w:val="single" w:color="C9CED6" w:sz="4"/>
            </w:tcBorders>
            <w:shd w:fill="EAF6EC" w:color="auto" w:val="clear"/>
            <w:tcMar>
              <w:top w:type="dxa" w:w="90"/>
              <w:left w:type="dxa" w:w="120"/>
              <w:bottom w:type="dxa" w:w="90"/>
              <w:right w:type="dxa" w:w="120"/>
            </w:tcMar>
          </w:tcPr>
          <w:p>
            <w:pPr>
              <w:spacing w:after="80"/>
            </w:pPr>
            <w:r>
              <w:rPr>
                <w:b/>
                <w:bCs/>
              </w:rPr>
              <w:t xml:space="preserve">Suggested Groupings</w:t>
            </w:r>
          </w:p>
          <w:p>
            <w:pPr>
              <w:spacing w:after="80"/>
            </w:pPr>
            <w:r>
              <w:t xml:space="preserve">To help users who do not know which grouping to try, Smartalyze recommends groupings automatically. For each pair of a category column and a numeric column, it computes the correlation ratio η² (eta squared), the share of the numeric column’s variation that is explained by the category (the effect size of a one-way ANOVA):</w:t>
            </w:r>
          </w:p>
          <w:p>
            <w:pPr>
              <w:spacing w:after="80"/>
            </w:pPr>
            <w:r>
              <w:t xml:space="preserve">η² = between-group sum of squares ÷ total sum of squares</w:t>
            </w:r>
          </w:p>
          <w:p>
            <w:pPr>
              <w:spacing w:after="80"/>
            </w:pPr>
            <w:r>
              <w:t xml:space="preserve">Pairs are ranked by η². Following Cohen’s guidelines, a pair is suggested when η² ≥ 0.06 (a medium effect) and labelled a strong pattern when η² ≥ 0.14. Up to three “Average of [number] by [category]” suggestions are shown, plus a row count for the best category. ID-like columns and code columns (such as zip codes) are excluded. Each suggestion shows a plain explanation, for example “City explains about 44% of the differences in Sales”, and one click displays the grouped result.</w:t>
            </w:r>
          </w:p>
        </w:tc>
      </w:tr>
      <w:tr>
        <w:trPr>
          <w:cantSplit w:val="off"/>
        </w:trPr>
        <w:tc>
          <w:tcPr>
            <w:tcW w:type="dxa" w:w="1800"/>
            <w:tcBorders>
              <w:top w:val="single" w:color="C9CED6" w:sz="4"/>
              <w:left w:val="single" w:color="C9CED6" w:sz="4"/>
              <w:bottom w:val="single" w:color="C9CED6" w:sz="4"/>
              <w:right w:val="single" w:color="C9CED6" w:sz="4"/>
            </w:tcBorders>
            <w:shd w:fill="EEF1F5" w:color="auto" w:val="clear"/>
            <w:tcMar>
              <w:top w:type="dxa" w:w="90"/>
              <w:left w:type="dxa" w:w="120"/>
              <w:bottom w:type="dxa" w:w="90"/>
              <w:right w:type="dxa" w:w="120"/>
            </w:tcMar>
          </w:tcPr>
          <w:p>
            <w:r>
              <w:rPr>
                <w:b/>
                <w:bCs/>
                <w:sz w:val="20"/>
                <w:szCs w:val="20"/>
              </w:rPr>
              <w:t xml:space="preserve">Note</w:t>
            </w:r>
          </w:p>
        </w:tc>
        <w:tc>
          <w:tcPr>
            <w:tcW w:type="dxa" w:w="7226"/>
            <w:tcBorders>
              <w:top w:val="single" w:color="C9CED6" w:sz="4"/>
              <w:left w:val="single" w:color="C9CED6" w:sz="4"/>
              <w:bottom w:val="single" w:color="C9CED6" w:sz="4"/>
              <w:right w:val="single" w:color="C9CED6" w:sz="4"/>
            </w:tcBorders>
            <w:tcMar>
              <w:top w:type="dxa" w:w="90"/>
              <w:left w:type="dxa" w:w="120"/>
              <w:bottom w:type="dxa" w:w="90"/>
              <w:right w:type="dxa" w:w="120"/>
            </w:tcMar>
          </w:tcPr>
          <w:p>
            <w:pPr>
              <w:spacing w:after="80"/>
            </w:pPr>
            <w:r>
              <w:t xml:space="preserve">Together with cleaning recommendations (structuring), the column summaries and AI summary (summarization) and linear regression (trending), this completes Objective 4.</w:t>
            </w:r>
          </w:p>
        </w:tc>
      </w:tr>
    </w:tbl>
    <w:p>
      <w:pPr>
        <w:spacing w:after="120"/>
      </w:pPr>
    </w:p>
    <w:p>
      <w:pPr>
        <w:pStyle w:val="Heading1"/>
        <w:spacing w:after="160" w:before="360"/>
      </w:pPr>
      <w:r>
        <w:t xml:space="preserve">Part 2. Fixes after the UI freeze or after deployment</w:t>
      </w:r>
    </w:p>
    <w:p>
      <w:pPr>
        <w:pStyle w:val="Heading2"/>
        <w:keepNext/>
        <w:spacing w:after="120" w:before="280"/>
      </w:pPr>
      <w:r>
        <w:t xml:space="preserve">D9  ·  Table 9 test results are all “TBD”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val="off"/>
        </w:trPr>
        <w:tc>
          <w:tcPr>
            <w:tcW w:type="dxa" w:w="1800"/>
            <w:tcBorders>
              <w:top w:val="single" w:color="C9CED6" w:sz="4"/>
              <w:left w:val="single" w:color="C9CED6" w:sz="4"/>
              <w:bottom w:val="single" w:color="C9CED6" w:sz="4"/>
              <w:right w:val="single" w:color="C9CED6" w:sz="4"/>
            </w:tcBorders>
            <w:shd w:fill="EEF1F5" w:color="auto" w:val="clear"/>
            <w:tcMar>
              <w:top w:type="dxa" w:w="90"/>
              <w:left w:type="dxa" w:w="120"/>
              <w:bottom w:type="dxa" w:w="90"/>
              <w:right w:type="dxa" w:w="120"/>
            </w:tcMar>
          </w:tcPr>
          <w:p>
            <w:r>
              <w:rPr>
                <w:b/>
                <w:bCs/>
                <w:sz w:val="20"/>
                <w:szCs w:val="20"/>
              </w:rPr>
              <w:t xml:space="preserve">Where</w:t>
            </w:r>
          </w:p>
        </w:tc>
        <w:tc>
          <w:tcPr>
            <w:tcW w:type="dxa" w:w="7226"/>
            <w:tcBorders>
              <w:top w:val="single" w:color="C9CED6" w:sz="4"/>
              <w:left w:val="single" w:color="C9CED6" w:sz="4"/>
              <w:bottom w:val="single" w:color="C9CED6" w:sz="4"/>
              <w:right w:val="single" w:color="C9CED6" w:sz="4"/>
            </w:tcBorders>
            <w:tcMar>
              <w:top w:type="dxa" w:w="90"/>
              <w:left w:type="dxa" w:w="120"/>
              <w:bottom w:type="dxa" w:w="90"/>
              <w:right w:type="dxa" w:w="120"/>
            </w:tcMar>
          </w:tcPr>
          <w:p>
            <w:pPr>
              <w:spacing w:after="80"/>
            </w:pPr>
            <w:r>
              <w:t xml:space="preserve">Chapter 3, Table 9. Summary of Testing Results, pp. 78–79, and the note under it.</w:t>
            </w:r>
          </w:p>
        </w:tc>
      </w:tr>
      <w:tr>
        <w:trPr>
          <w:cantSplit w:val="off"/>
        </w:trPr>
        <w:tc>
          <w:tcPr>
            <w:tcW w:type="dxa" w:w="1800"/>
            <w:tcBorders>
              <w:top w:val="single" w:color="C9CED6" w:sz="4"/>
              <w:left w:val="single" w:color="C9CED6" w:sz="4"/>
              <w:bottom w:val="single" w:color="C9CED6" w:sz="4"/>
              <w:right w:val="single" w:color="C9CED6" w:sz="4"/>
            </w:tcBorders>
            <w:shd w:fill="EEF1F5" w:color="auto" w:val="clear"/>
            <w:tcMar>
              <w:top w:type="dxa" w:w="90"/>
              <w:left w:type="dxa" w:w="120"/>
              <w:bottom w:type="dxa" w:w="90"/>
              <w:right w:type="dxa" w:w="120"/>
            </w:tcMar>
          </w:tcPr>
          <w:p>
            <w:r>
              <w:rPr>
                <w:b/>
                <w:bCs/>
                <w:sz w:val="20"/>
                <w:szCs w:val="20"/>
              </w:rPr>
              <w:t xml:space="preserve">Why</w:t>
            </w:r>
          </w:p>
        </w:tc>
        <w:tc>
          <w:tcPr>
            <w:tcW w:type="dxa" w:w="7226"/>
            <w:tcBorders>
              <w:top w:val="single" w:color="C9CED6" w:sz="4"/>
              <w:left w:val="single" w:color="C9CED6" w:sz="4"/>
              <w:bottom w:val="single" w:color="C9CED6" w:sz="4"/>
              <w:right w:val="single" w:color="C9CED6" w:sz="4"/>
            </w:tcBorders>
            <w:tcMar>
              <w:top w:type="dxa" w:w="90"/>
              <w:left w:type="dxa" w:w="120"/>
              <w:bottom w:type="dxa" w:w="90"/>
              <w:right w:type="dxa" w:w="120"/>
            </w:tcMar>
          </w:tcPr>
          <w:p>
            <w:pPr>
              <w:spacing w:after="80"/>
            </w:pPr>
            <w:r>
              <w:t xml:space="preserve">The panel judges whether the system was actually tested. Real results replace every “TBD”. The numbers below are the current ones; the programmer will re-run everything after the freeze and confirm the final numbers.</w:t>
            </w:r>
          </w:p>
        </w:tc>
      </w:tr>
      <w:tr>
        <w:trPr>
          <w:cantSplit w:val="off"/>
        </w:trPr>
        <w:tc>
          <w:tcPr>
            <w:tcW w:type="dxa" w:w="1800"/>
            <w:tcBorders>
              <w:top w:val="single" w:color="C9CED6" w:sz="4"/>
              <w:left w:val="single" w:color="C9CED6" w:sz="4"/>
              <w:bottom w:val="single" w:color="C9CED6" w:sz="4"/>
              <w:right w:val="single" w:color="C9CED6" w:sz="4"/>
            </w:tcBorders>
            <w:shd w:fill="EEF1F5" w:color="auto" w:val="clear"/>
            <w:tcMar>
              <w:top w:type="dxa" w:w="90"/>
              <w:left w:type="dxa" w:w="120"/>
              <w:bottom w:type="dxa" w:w="90"/>
              <w:right w:type="dxa" w:w="120"/>
            </w:tcMar>
          </w:tcPr>
          <w:p>
            <w:r>
              <w:rPr>
                <w:b/>
                <w:bCs/>
                <w:sz w:val="20"/>
                <w:szCs w:val="20"/>
              </w:rPr>
              <w:t xml:space="preserve">Change to</w:t>
            </w:r>
          </w:p>
        </w:tc>
        <w:tc>
          <w:tcPr>
            <w:tcW w:type="dxa" w:w="7226"/>
            <w:tcBorders>
              <w:top w:val="single" w:color="C9CED6" w:sz="4"/>
              <w:left w:val="single" w:color="C9CED6" w:sz="4"/>
              <w:bottom w:val="single" w:color="C9CED6" w:sz="4"/>
              <w:right w:val="single" w:color="C9CED6" w:sz="4"/>
            </w:tcBorders>
            <w:shd w:fill="EAF6EC" w:color="auto" w:val="clear"/>
            <w:tcMar>
              <w:top w:type="dxa" w:w="90"/>
              <w:left w:type="dxa" w:w="120"/>
              <w:bottom w:type="dxa" w:w="90"/>
              <w:right w:type="dxa" w:w="120"/>
            </w:tcMar>
          </w:tcPr>
          <w:p>
            <w:pPr>
              <w:spacing w:after="80"/>
            </w:pPr>
            <w:r>
              <w:t xml:space="preserve">Replace Table 9 with a table of the real results (current numbers below), and replace the note “Test findings will actually be presented in the implementation and evaluation stage of the project.” with:</w:t>
            </w:r>
          </w:p>
          <w:p>
            <w:pPr>
              <w:spacing w:after="80"/>
            </w:pPr>
            <w:r>
              <w:t xml:space="preserve">“Automated tests were run on the final version, the statistical results were compared with independent libraries (NumPy, SciPy, statsmodels), and every workspace feature was tested end to end in a web browser.”</w:t>
            </w:r>
          </w:p>
        </w:tc>
      </w:tr>
      <w:tr>
        <w:trPr>
          <w:cantSplit w:val="off"/>
        </w:trPr>
        <w:tc>
          <w:tcPr>
            <w:tcW w:type="dxa" w:w="1800"/>
            <w:tcBorders>
              <w:top w:val="single" w:color="C9CED6" w:sz="4"/>
              <w:left w:val="single" w:color="C9CED6" w:sz="4"/>
              <w:bottom w:val="single" w:color="C9CED6" w:sz="4"/>
              <w:right w:val="single" w:color="C9CED6" w:sz="4"/>
            </w:tcBorders>
            <w:shd w:fill="EEF1F5" w:color="auto" w:val="clear"/>
            <w:tcMar>
              <w:top w:type="dxa" w:w="90"/>
              <w:left w:type="dxa" w:w="120"/>
              <w:bottom w:type="dxa" w:w="90"/>
              <w:right w:type="dxa" w:w="120"/>
            </w:tcMar>
          </w:tcPr>
          <w:p>
            <w:r>
              <w:rPr>
                <w:b/>
                <w:bCs/>
                <w:sz w:val="20"/>
                <w:szCs w:val="20"/>
              </w:rPr>
              <w:t xml:space="preserve">Note</w:t>
            </w:r>
          </w:p>
        </w:tc>
        <w:tc>
          <w:tcPr>
            <w:tcW w:type="dxa" w:w="7226"/>
            <w:tcBorders>
              <w:top w:val="single" w:color="C9CED6" w:sz="4"/>
              <w:left w:val="single" w:color="C9CED6" w:sz="4"/>
              <w:bottom w:val="single" w:color="C9CED6" w:sz="4"/>
              <w:right w:val="single" w:color="C9CED6" w:sz="4"/>
            </w:tcBorders>
            <w:tcMar>
              <w:top w:type="dxa" w:w="90"/>
              <w:left w:type="dxa" w:w="120"/>
              <w:bottom w:type="dxa" w:w="90"/>
              <w:right w:type="dxa" w:w="120"/>
            </w:tcMar>
          </w:tcPr>
          <w:p>
            <w:pPr>
              <w:spacing w:after="80"/>
            </w:pPr>
            <w:r>
              <w:t xml:space="preserve">The old Table 9 rows (User Authentication, OCR Extraction, etc.) can stay as the row names if the adviser prefers; then fill each row from the same results. The programmer can provide that breakdown.</w:t>
            </w:r>
          </w:p>
        </w:tc>
      </w:tr>
    </w:tbl>
    <w:p>
      <w:pPr>
        <w:keepNext/>
        <w:spacing w:after="80" w:before="160"/>
      </w:pPr>
      <w:r>
        <w:rPr>
          <w:b/>
          <w:bCs/>
          <w:sz w:val="20"/>
          <w:szCs w:val="20"/>
        </w:rPr>
        <w:t xml:space="preserve">Table 9. Summary of Testing Results (current numbers, to be confirmed after Nov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926"/>
        <w:gridCol w:w="1800"/>
      </w:tblGrid>
      <w:tr>
        <w:trPr>
          <w:tblHeader/>
        </w:trPr>
        <w:tc>
          <w:tcPr>
            <w:tcW w:type="dxa" w:w="2300"/>
            <w:tcBorders>
              <w:top w:val="single" w:color="C9CED6" w:sz="4"/>
              <w:left w:val="single" w:color="C9CED6" w:sz="4"/>
              <w:bottom w:val="single" w:color="C9CED6" w:sz="4"/>
              <w:right w:val="single" w:color="C9CED6" w:sz="4"/>
            </w:tcBorders>
            <w:shd w:fill="DCE4EE" w:color="auto" w:val="clear"/>
            <w:tcMar>
              <w:top w:type="dxa" w:w="90"/>
              <w:left w:type="dxa" w:w="120"/>
              <w:bottom w:type="dxa" w:w="90"/>
              <w:right w:type="dxa" w:w="120"/>
            </w:tcMar>
          </w:tcPr>
          <w:p>
            <w:r>
              <w:rPr>
                <w:b/>
                <w:bCs/>
                <w:sz w:val="20"/>
                <w:szCs w:val="20"/>
              </w:rPr>
              <w:t xml:space="preserve">Test area</w:t>
            </w:r>
          </w:p>
        </w:tc>
        <w:tc>
          <w:tcPr>
            <w:tcW w:type="dxa" w:w="4926"/>
            <w:tcBorders>
              <w:top w:val="single" w:color="C9CED6" w:sz="4"/>
              <w:left w:val="single" w:color="C9CED6" w:sz="4"/>
              <w:bottom w:val="single" w:color="C9CED6" w:sz="4"/>
              <w:right w:val="single" w:color="C9CED6" w:sz="4"/>
            </w:tcBorders>
            <w:shd w:fill="DCE4EE" w:color="auto" w:val="clear"/>
            <w:tcMar>
              <w:top w:type="dxa" w:w="90"/>
              <w:left w:type="dxa" w:w="120"/>
              <w:bottom w:type="dxa" w:w="90"/>
              <w:right w:type="dxa" w:w="120"/>
            </w:tcMar>
          </w:tcPr>
          <w:p>
            <w:r>
              <w:rPr>
                <w:b/>
                <w:bCs/>
                <w:sz w:val="20"/>
                <w:szCs w:val="20"/>
              </w:rPr>
              <w:t xml:space="preserve">What it checks</w:t>
            </w:r>
          </w:p>
        </w:tc>
        <w:tc>
          <w:tcPr>
            <w:tcW w:type="dxa" w:w="1800"/>
            <w:tcBorders>
              <w:top w:val="single" w:color="C9CED6" w:sz="4"/>
              <w:left w:val="single" w:color="C9CED6" w:sz="4"/>
              <w:bottom w:val="single" w:color="C9CED6" w:sz="4"/>
              <w:right w:val="single" w:color="C9CED6" w:sz="4"/>
            </w:tcBorders>
            <w:shd w:fill="DCE4EE" w:color="auto" w:val="clear"/>
            <w:tcMar>
              <w:top w:type="dxa" w:w="90"/>
              <w:left w:type="dxa" w:w="120"/>
              <w:bottom w:type="dxa" w:w="90"/>
              <w:right w:type="dxa" w:w="120"/>
            </w:tcMar>
          </w:tcPr>
          <w:p>
            <w:r>
              <w:rPr>
                <w:b/>
                <w:bCs/>
                <w:sz w:val="20"/>
                <w:szCs w:val="20"/>
              </w:rPr>
              <w:t xml:space="preserve">Passed / total</w:t>
            </w:r>
          </w:p>
        </w:tc>
      </w:tr>
      <w:tr>
        <w:trPr>
          <w:tblHeader w:val="off"/>
        </w:trPr>
        <w:tc>
          <w:tcPr>
            <w:tcW w:type="dxa" w:w="2300"/>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Data quality detection and cleaning</w:t>
            </w:r>
          </w:p>
        </w:tc>
        <w:tc>
          <w:tcPr>
            <w:tcW w:type="dxa" w:w="4926"/>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Missing values, duplicates, data types, spelling variants, disguised blanks, date formats, outliers, smart fill, cleaning operations</w:t>
            </w:r>
          </w:p>
        </w:tc>
        <w:tc>
          <w:tcPr>
            <w:tcW w:type="dxa" w:w="1800"/>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30 / 30</w:t>
            </w:r>
          </w:p>
        </w:tc>
      </w:tr>
      <w:tr>
        <w:trPr>
          <w:tblHeader w:val="off"/>
        </w:trPr>
        <w:tc>
          <w:tcPr>
            <w:tcW w:type="dxa" w:w="2300"/>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Upload, storage and export</w:t>
            </w:r>
          </w:p>
        </w:tc>
        <w:tc>
          <w:tcPr>
            <w:tcW w:type="dxa" w:w="4926"/>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Leading-zero codes, column order, number/date types after editing, export, timestamps, file size</w:t>
            </w:r>
          </w:p>
        </w:tc>
        <w:tc>
          <w:tcPr>
            <w:tcW w:type="dxa" w:w="1800"/>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22 / 22</w:t>
            </w:r>
          </w:p>
        </w:tc>
      </w:tr>
      <w:tr>
        <w:trPr>
          <w:tblHeader w:val="off"/>
        </w:trPr>
        <w:tc>
          <w:tcPr>
            <w:tcW w:type="dxa" w:w="2300"/>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Grouping recommendations</w:t>
            </w:r>
          </w:p>
        </w:tc>
        <w:tc>
          <w:tcPr>
            <w:tcW w:type="dxa" w:w="4926"/>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η² against SciPy’s one-way ANOVA, ranking, excluded ID/code columns, empty groups</w:t>
            </w:r>
          </w:p>
        </w:tc>
        <w:tc>
          <w:tcPr>
            <w:tcW w:type="dxa" w:w="1800"/>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9 / 9</w:t>
            </w:r>
          </w:p>
        </w:tc>
      </w:tr>
      <w:tr>
        <w:trPr>
          <w:tblHeader w:val="off"/>
        </w:trPr>
        <w:tc>
          <w:tcPr>
            <w:tcW w:type="dxa" w:w="2300"/>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Forecasting</w:t>
            </w:r>
          </w:p>
        </w:tc>
        <w:tc>
          <w:tcPr>
            <w:tcW w:type="dxa" w:w="4926"/>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95% prediction interval vs. an independent calculation, coverage simulation, date-based forecasts</w:t>
            </w:r>
          </w:p>
        </w:tc>
        <w:tc>
          <w:tcPr>
            <w:tcW w:type="dxa" w:w="1800"/>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10 / 10</w:t>
            </w:r>
          </w:p>
        </w:tc>
      </w:tr>
      <w:tr>
        <w:trPr>
          <w:tblHeader w:val="off"/>
        </w:trPr>
        <w:tc>
          <w:tcPr>
            <w:tcW w:type="dxa" w:w="2300"/>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AI explanations</w:t>
            </w:r>
          </w:p>
        </w:tc>
        <w:tc>
          <w:tcPr>
            <w:tcW w:type="dxa" w:w="4926"/>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Prompts, cut-off answers, formatting, context sent to the AI (no raw rows)</w:t>
            </w:r>
          </w:p>
        </w:tc>
        <w:tc>
          <w:tcPr>
            <w:tcW w:type="dxa" w:w="1800"/>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11 / 11</w:t>
            </w:r>
          </w:p>
        </w:tc>
      </w:tr>
      <w:tr>
        <w:trPr>
          <w:tblHeader w:val="off"/>
        </w:trPr>
        <w:tc>
          <w:tcPr>
            <w:tcW w:type="dxa" w:w="2300"/>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Statistical validation</w:t>
            </w:r>
          </w:p>
        </w:tc>
        <w:tc>
          <w:tcPr>
            <w:tcW w:type="dxa" w:w="4926"/>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Mean, median, standard deviation, IQR fences, Pearson correlation, trend slope, forecast and its range vs. NumPy / SciPy / statsmodels</w:t>
            </w:r>
          </w:p>
        </w:tc>
        <w:tc>
          <w:tcPr>
            <w:tcW w:type="dxa" w:w="1800"/>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51 / 51</w:t>
            </w:r>
          </w:p>
        </w:tc>
      </w:tr>
      <w:tr>
        <w:trPr>
          <w:tblHeader w:val="off"/>
        </w:trPr>
        <w:tc>
          <w:tcPr>
            <w:tcW w:type="dxa" w:w="2300"/>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End-to-end browser testing</w:t>
            </w:r>
          </w:p>
        </w:tc>
        <w:tc>
          <w:tcPr>
            <w:tcW w:type="dxa" w:w="4926"/>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Upload, clean, save, explore, detect, predict, edit, export and history on all six workspace tabs</w:t>
            </w:r>
          </w:p>
        </w:tc>
        <w:tc>
          <w:tcPr>
            <w:tcW w:type="dxa" w:w="1800"/>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Passed</w:t>
            </w:r>
          </w:p>
        </w:tc>
      </w:tr>
    </w:tbl>
    <w:p>
      <w:pPr>
        <w:spacing w:after="120"/>
      </w:pPr>
    </w:p>
    <w:p>
      <w:pPr>
        <w:pStyle w:val="Heading2"/>
        <w:keepNext/>
        <w:spacing w:after="120" w:before="280"/>
      </w:pPr>
      <w:r>
        <w:t xml:space="preserve">D19  ·  Screenshots are out of date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val="off"/>
        </w:trPr>
        <w:tc>
          <w:tcPr>
            <w:tcW w:type="dxa" w:w="1800"/>
            <w:tcBorders>
              <w:top w:val="single" w:color="C9CED6" w:sz="4"/>
              <w:left w:val="single" w:color="C9CED6" w:sz="4"/>
              <w:bottom w:val="single" w:color="C9CED6" w:sz="4"/>
              <w:right w:val="single" w:color="C9CED6" w:sz="4"/>
            </w:tcBorders>
            <w:shd w:fill="EEF1F5" w:color="auto" w:val="clear"/>
            <w:tcMar>
              <w:top w:type="dxa" w:w="90"/>
              <w:left w:type="dxa" w:w="120"/>
              <w:bottom w:type="dxa" w:w="90"/>
              <w:right w:type="dxa" w:w="120"/>
            </w:tcMar>
          </w:tcPr>
          <w:p>
            <w:r>
              <w:rPr>
                <w:b/>
                <w:bCs/>
                <w:sz w:val="20"/>
                <w:szCs w:val="20"/>
              </w:rPr>
              <w:t xml:space="preserve">Where</w:t>
            </w:r>
          </w:p>
        </w:tc>
        <w:tc>
          <w:tcPr>
            <w:tcW w:type="dxa" w:w="7226"/>
            <w:tcBorders>
              <w:top w:val="single" w:color="C9CED6" w:sz="4"/>
              <w:left w:val="single" w:color="C9CED6" w:sz="4"/>
              <w:bottom w:val="single" w:color="C9CED6" w:sz="4"/>
              <w:right w:val="single" w:color="C9CED6" w:sz="4"/>
            </w:tcBorders>
            <w:tcMar>
              <w:top w:type="dxa" w:w="90"/>
              <w:left w:type="dxa" w:w="120"/>
              <w:bottom w:type="dxa" w:w="90"/>
              <w:right w:type="dxa" w:w="120"/>
            </w:tcMar>
          </w:tcPr>
          <w:p>
            <w:pPr>
              <w:spacing w:after="80"/>
            </w:pPr>
            <w:r>
              <w:t xml:space="preserve">Every figure that shows the system (user interface figures and any user manual).</w:t>
            </w:r>
          </w:p>
        </w:tc>
      </w:tr>
      <w:tr>
        <w:trPr>
          <w:cantSplit w:val="off"/>
        </w:trPr>
        <w:tc>
          <w:tcPr>
            <w:tcW w:type="dxa" w:w="1800"/>
            <w:tcBorders>
              <w:top w:val="single" w:color="C9CED6" w:sz="4"/>
              <w:left w:val="single" w:color="C9CED6" w:sz="4"/>
              <w:bottom w:val="single" w:color="C9CED6" w:sz="4"/>
              <w:right w:val="single" w:color="C9CED6" w:sz="4"/>
            </w:tcBorders>
            <w:shd w:fill="EEF1F5" w:color="auto" w:val="clear"/>
            <w:tcMar>
              <w:top w:type="dxa" w:w="90"/>
              <w:left w:type="dxa" w:w="120"/>
              <w:bottom w:type="dxa" w:w="90"/>
              <w:right w:type="dxa" w:w="120"/>
            </w:tcMar>
          </w:tcPr>
          <w:p>
            <w:r>
              <w:rPr>
                <w:b/>
                <w:bCs/>
                <w:sz w:val="20"/>
                <w:szCs w:val="20"/>
              </w:rPr>
              <w:t xml:space="preserve">Why</w:t>
            </w:r>
          </w:p>
        </w:tc>
        <w:tc>
          <w:tcPr>
            <w:tcW w:type="dxa" w:w="7226"/>
            <w:tcBorders>
              <w:top w:val="single" w:color="C9CED6" w:sz="4"/>
              <w:left w:val="single" w:color="C9CED6" w:sz="4"/>
              <w:bottom w:val="single" w:color="C9CED6" w:sz="4"/>
              <w:right w:val="single" w:color="C9CED6" w:sz="4"/>
            </w:tcBorders>
            <w:tcMar>
              <w:top w:type="dxa" w:w="90"/>
              <w:left w:type="dxa" w:w="120"/>
              <w:bottom w:type="dxa" w:w="90"/>
              <w:right w:type="dxa" w:w="120"/>
            </w:tcMar>
          </w:tcPr>
          <w:p>
            <w:pPr>
              <w:spacing w:after="80"/>
            </w:pPr>
            <w:r>
              <w:t xml:space="preserve">The workspace changed in October: one shared Ask AI panel, a “How to use this page” help button instead of the big guide cards, “Suggested for your data” in Explore, and the 95% likely range in Predict.</w:t>
            </w:r>
          </w:p>
        </w:tc>
      </w:tr>
      <w:tr>
        <w:trPr>
          <w:cantSplit w:val="off"/>
        </w:trPr>
        <w:tc>
          <w:tcPr>
            <w:tcW w:type="dxa" w:w="1800"/>
            <w:tcBorders>
              <w:top w:val="single" w:color="C9CED6" w:sz="4"/>
              <w:left w:val="single" w:color="C9CED6" w:sz="4"/>
              <w:bottom w:val="single" w:color="C9CED6" w:sz="4"/>
              <w:right w:val="single" w:color="C9CED6" w:sz="4"/>
            </w:tcBorders>
            <w:shd w:fill="EEF1F5" w:color="auto" w:val="clear"/>
            <w:tcMar>
              <w:top w:type="dxa" w:w="90"/>
              <w:left w:type="dxa" w:w="120"/>
              <w:bottom w:type="dxa" w:w="90"/>
              <w:right w:type="dxa" w:w="120"/>
            </w:tcMar>
          </w:tcPr>
          <w:p>
            <w:r>
              <w:rPr>
                <w:b/>
                <w:bCs/>
                <w:sz w:val="20"/>
                <w:szCs w:val="20"/>
              </w:rPr>
              <w:t xml:space="preserve">What to do</w:t>
            </w:r>
          </w:p>
        </w:tc>
        <w:tc>
          <w:tcPr>
            <w:tcW w:type="dxa" w:w="7226"/>
            <w:tcBorders>
              <w:top w:val="single" w:color="C9CED6" w:sz="4"/>
              <w:left w:val="single" w:color="C9CED6" w:sz="4"/>
              <w:bottom w:val="single" w:color="C9CED6" w:sz="4"/>
              <w:right w:val="single" w:color="C9CED6" w:sz="4"/>
            </w:tcBorders>
            <w:shd w:fill="EAF6EC" w:color="auto" w:val="clear"/>
            <w:tcMar>
              <w:top w:type="dxa" w:w="90"/>
              <w:left w:type="dxa" w:w="120"/>
              <w:bottom w:type="dxa" w:w="90"/>
              <w:right w:type="dxa" w:w="120"/>
            </w:tcMar>
          </w:tcPr>
          <w:p>
            <w:pPr>
              <w:spacing w:after="80"/>
            </w:pPr>
            <w:r>
              <w:t xml:space="preserve">Retake every screenshot after November 1, in the light theme, using a clean sample dataset. Close the help card before taking each screenshot, unless the figure is about the help.</w:t>
            </w:r>
          </w:p>
        </w:tc>
      </w:tr>
    </w:tbl>
    <w:p>
      <w:pPr>
        <w:spacing w:after="120"/>
      </w:pPr>
    </w:p>
    <w:p>
      <w:pPr>
        <w:pStyle w:val="Heading2"/>
        <w:keepNext/>
        <w:spacing w:after="120" w:before="280"/>
      </w:pPr>
      <w:r>
        <w:t xml:space="preserve">D20  ·  NFR 4 does not mention the guided help or the AI panel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val="off"/>
        </w:trPr>
        <w:tc>
          <w:tcPr>
            <w:tcW w:type="dxa" w:w="1800"/>
            <w:tcBorders>
              <w:top w:val="single" w:color="C9CED6" w:sz="4"/>
              <w:left w:val="single" w:color="C9CED6" w:sz="4"/>
              <w:bottom w:val="single" w:color="C9CED6" w:sz="4"/>
              <w:right w:val="single" w:color="C9CED6" w:sz="4"/>
            </w:tcBorders>
            <w:shd w:fill="EEF1F5" w:color="auto" w:val="clear"/>
            <w:tcMar>
              <w:top w:type="dxa" w:w="90"/>
              <w:left w:type="dxa" w:w="120"/>
              <w:bottom w:type="dxa" w:w="90"/>
              <w:right w:type="dxa" w:w="120"/>
            </w:tcMar>
          </w:tcPr>
          <w:p>
            <w:r>
              <w:rPr>
                <w:b/>
                <w:bCs/>
                <w:sz w:val="20"/>
                <w:szCs w:val="20"/>
              </w:rPr>
              <w:t xml:space="preserve">Where</w:t>
            </w:r>
          </w:p>
        </w:tc>
        <w:tc>
          <w:tcPr>
            <w:tcW w:type="dxa" w:w="7226"/>
            <w:tcBorders>
              <w:top w:val="single" w:color="C9CED6" w:sz="4"/>
              <w:left w:val="single" w:color="C9CED6" w:sz="4"/>
              <w:bottom w:val="single" w:color="C9CED6" w:sz="4"/>
              <w:right w:val="single" w:color="C9CED6" w:sz="4"/>
            </w:tcBorders>
            <w:tcMar>
              <w:top w:type="dxa" w:w="90"/>
              <w:left w:type="dxa" w:w="120"/>
              <w:bottom w:type="dxa" w:w="90"/>
              <w:right w:type="dxa" w:w="120"/>
            </w:tcMar>
          </w:tcPr>
          <w:p>
            <w:pPr>
              <w:spacing w:after="80"/>
            </w:pPr>
            <w:r>
              <w:t xml:space="preserve">Non-Functional Requirement 4, Interaction Capability, p. 49.</w:t>
            </w:r>
          </w:p>
        </w:tc>
      </w:tr>
      <w:tr>
        <w:trPr>
          <w:cantSplit w:val="off"/>
        </w:trPr>
        <w:tc>
          <w:tcPr>
            <w:tcW w:type="dxa" w:w="1800"/>
            <w:tcBorders>
              <w:top w:val="single" w:color="C9CED6" w:sz="4"/>
              <w:left w:val="single" w:color="C9CED6" w:sz="4"/>
              <w:bottom w:val="single" w:color="C9CED6" w:sz="4"/>
              <w:right w:val="single" w:color="C9CED6" w:sz="4"/>
            </w:tcBorders>
            <w:shd w:fill="EEF1F5" w:color="auto" w:val="clear"/>
            <w:tcMar>
              <w:top w:type="dxa" w:w="90"/>
              <w:left w:type="dxa" w:w="120"/>
              <w:bottom w:type="dxa" w:w="90"/>
              <w:right w:type="dxa" w:w="120"/>
            </w:tcMar>
          </w:tcPr>
          <w:p>
            <w:r>
              <w:rPr>
                <w:b/>
                <w:bCs/>
                <w:sz w:val="20"/>
                <w:szCs w:val="20"/>
              </w:rPr>
              <w:t xml:space="preserve">Why</w:t>
            </w:r>
          </w:p>
        </w:tc>
        <w:tc>
          <w:tcPr>
            <w:tcW w:type="dxa" w:w="7226"/>
            <w:tcBorders>
              <w:top w:val="single" w:color="C9CED6" w:sz="4"/>
              <w:left w:val="single" w:color="C9CED6" w:sz="4"/>
              <w:bottom w:val="single" w:color="C9CED6" w:sz="4"/>
              <w:right w:val="single" w:color="C9CED6" w:sz="4"/>
            </w:tcBorders>
            <w:tcMar>
              <w:top w:type="dxa" w:w="90"/>
              <w:left w:type="dxa" w:w="120"/>
              <w:bottom w:type="dxa" w:w="90"/>
              <w:right w:type="dxa" w:w="120"/>
            </w:tcMar>
          </w:tcPr>
          <w:p>
            <w:pPr>
              <w:spacing w:after="80"/>
            </w:pPr>
            <w:r>
              <w:t xml:space="preserve">These features are what make the system usable for non-technical users, which is the study’s main target.</w:t>
            </w:r>
          </w:p>
        </w:tc>
      </w:tr>
      <w:tr>
        <w:trPr>
          <w:cantSplit w:val="off"/>
        </w:trPr>
        <w:tc>
          <w:tcPr>
            <w:tcW w:type="dxa" w:w="1800"/>
            <w:tcBorders>
              <w:top w:val="single" w:color="C9CED6" w:sz="4"/>
              <w:left w:val="single" w:color="C9CED6" w:sz="4"/>
              <w:bottom w:val="single" w:color="C9CED6" w:sz="4"/>
              <w:right w:val="single" w:color="C9CED6" w:sz="4"/>
            </w:tcBorders>
            <w:shd w:fill="EEF1F5" w:color="auto" w:val="clear"/>
            <w:tcMar>
              <w:top w:type="dxa" w:w="90"/>
              <w:left w:type="dxa" w:w="120"/>
              <w:bottom w:type="dxa" w:w="90"/>
              <w:right w:type="dxa" w:w="120"/>
            </w:tcMar>
          </w:tcPr>
          <w:p>
            <w:r>
              <w:rPr>
                <w:b/>
                <w:bCs/>
                <w:sz w:val="20"/>
                <w:szCs w:val="20"/>
              </w:rPr>
              <w:t xml:space="preserve">Find this text</w:t>
            </w:r>
          </w:p>
        </w:tc>
        <w:tc>
          <w:tcPr>
            <w:tcW w:type="dxa" w:w="7226"/>
            <w:tcBorders>
              <w:top w:val="single" w:color="C9CED6" w:sz="4"/>
              <w:left w:val="single" w:color="C9CED6" w:sz="4"/>
              <w:bottom w:val="single" w:color="C9CED6" w:sz="4"/>
              <w:right w:val="single" w:color="C9CED6" w:sz="4"/>
            </w:tcBorders>
            <w:shd w:fill="F6F7F9" w:color="auto" w:val="clear"/>
            <w:tcMar>
              <w:top w:type="dxa" w:w="90"/>
              <w:left w:type="dxa" w:w="120"/>
              <w:bottom w:type="dxa" w:w="90"/>
              <w:right w:type="dxa" w:w="120"/>
            </w:tcMar>
          </w:tcPr>
          <w:p>
            <w:pPr>
              <w:spacing w:after="80"/>
            </w:pPr>
            <w:r>
              <w:rPr>
                <w:i/>
                <w:iCs/>
              </w:rPr>
              <w:t xml:space="preserve">“The system shall have an easy to use interface that would not require a high level of technological skills from the user.”</w:t>
            </w:r>
          </w:p>
        </w:tc>
      </w:tr>
      <w:tr>
        <w:trPr>
          <w:cantSplit w:val="off"/>
        </w:trPr>
        <w:tc>
          <w:tcPr>
            <w:tcW w:type="dxa" w:w="1800"/>
            <w:tcBorders>
              <w:top w:val="single" w:color="C9CED6" w:sz="4"/>
              <w:left w:val="single" w:color="C9CED6" w:sz="4"/>
              <w:bottom w:val="single" w:color="C9CED6" w:sz="4"/>
              <w:right w:val="single" w:color="C9CED6" w:sz="4"/>
            </w:tcBorders>
            <w:shd w:fill="EEF1F5" w:color="auto" w:val="clear"/>
            <w:tcMar>
              <w:top w:type="dxa" w:w="90"/>
              <w:left w:type="dxa" w:w="120"/>
              <w:bottom w:type="dxa" w:w="90"/>
              <w:right w:type="dxa" w:w="120"/>
            </w:tcMar>
          </w:tcPr>
          <w:p>
            <w:r>
              <w:rPr>
                <w:b/>
                <w:bCs/>
                <w:sz w:val="20"/>
                <w:szCs w:val="20"/>
              </w:rPr>
              <w:t xml:space="preserve">Change to</w:t>
            </w:r>
          </w:p>
        </w:tc>
        <w:tc>
          <w:tcPr>
            <w:tcW w:type="dxa" w:w="7226"/>
            <w:tcBorders>
              <w:top w:val="single" w:color="C9CED6" w:sz="4"/>
              <w:left w:val="single" w:color="C9CED6" w:sz="4"/>
              <w:bottom w:val="single" w:color="C9CED6" w:sz="4"/>
              <w:right w:val="single" w:color="C9CED6" w:sz="4"/>
            </w:tcBorders>
            <w:shd w:fill="EAF6EC" w:color="auto" w:val="clear"/>
            <w:tcMar>
              <w:top w:type="dxa" w:w="90"/>
              <w:left w:type="dxa" w:w="120"/>
              <w:bottom w:type="dxa" w:w="90"/>
              <w:right w:type="dxa" w:w="120"/>
            </w:tcMar>
          </w:tcPr>
          <w:p>
            <w:pPr>
              <w:spacing w:after="80"/>
            </w:pPr>
            <w:r>
              <w:t xml:space="preserve">The system shall have an easy to use interface that would not require a high level of technological skills from the user. Each workspace page has a “How to use this page” guide that opens by itself on the first visit, labels are written in plain language, and one AI assistant panel is shared across all workspace tabs.</w:t>
            </w:r>
          </w:p>
        </w:tc>
      </w:tr>
      <w:tr>
        <w:trPr>
          <w:cantSplit w:val="off"/>
        </w:trPr>
        <w:tc>
          <w:tcPr>
            <w:tcW w:type="dxa" w:w="1800"/>
            <w:tcBorders>
              <w:top w:val="single" w:color="C9CED6" w:sz="4"/>
              <w:left w:val="single" w:color="C9CED6" w:sz="4"/>
              <w:bottom w:val="single" w:color="C9CED6" w:sz="4"/>
              <w:right w:val="single" w:color="C9CED6" w:sz="4"/>
            </w:tcBorders>
            <w:shd w:fill="EEF1F5" w:color="auto" w:val="clear"/>
            <w:tcMar>
              <w:top w:type="dxa" w:w="90"/>
              <w:left w:type="dxa" w:w="120"/>
              <w:bottom w:type="dxa" w:w="90"/>
              <w:right w:type="dxa" w:w="120"/>
            </w:tcMar>
          </w:tcPr>
          <w:p>
            <w:r>
              <w:rPr>
                <w:b/>
                <w:bCs/>
                <w:sz w:val="20"/>
                <w:szCs w:val="20"/>
              </w:rPr>
              <w:t xml:space="preserve">Note</w:t>
            </w:r>
          </w:p>
        </w:tc>
        <w:tc>
          <w:tcPr>
            <w:tcW w:type="dxa" w:w="7226"/>
            <w:tcBorders>
              <w:top w:val="single" w:color="C9CED6" w:sz="4"/>
              <w:left w:val="single" w:color="C9CED6" w:sz="4"/>
              <w:bottom w:val="single" w:color="C9CED6" w:sz="4"/>
              <w:right w:val="single" w:color="C9CED6" w:sz="4"/>
            </w:tcBorders>
            <w:tcMar>
              <w:top w:type="dxa" w:w="90"/>
              <w:left w:type="dxa" w:w="120"/>
              <w:bottom w:type="dxa" w:w="90"/>
              <w:right w:type="dxa" w:w="120"/>
            </w:tcMar>
          </w:tcPr>
          <w:p>
            <w:pPr>
              <w:spacing w:after="80"/>
            </w:pPr>
            <w:r>
              <w:t xml:space="preserve">Do not mention dark mode or themes; that feature was postponed until after the defense.</w:t>
            </w:r>
          </w:p>
        </w:tc>
      </w:tr>
    </w:tbl>
    <w:p>
      <w:pPr>
        <w:spacing w:after="120"/>
      </w:pPr>
    </w:p>
    <w:p>
      <w:pPr>
        <w:pStyle w:val="Heading2"/>
        <w:keepNext/>
        <w:spacing w:after="120" w:before="280"/>
      </w:pPr>
      <w:r>
        <w:t xml:space="preserve">D21  ·  AI sections do not say when explanations are generated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val="off"/>
        </w:trPr>
        <w:tc>
          <w:tcPr>
            <w:tcW w:type="dxa" w:w="1800"/>
            <w:tcBorders>
              <w:top w:val="single" w:color="C9CED6" w:sz="4"/>
              <w:left w:val="single" w:color="C9CED6" w:sz="4"/>
              <w:bottom w:val="single" w:color="C9CED6" w:sz="4"/>
              <w:right w:val="single" w:color="C9CED6" w:sz="4"/>
            </w:tcBorders>
            <w:shd w:fill="EEF1F5" w:color="auto" w:val="clear"/>
            <w:tcMar>
              <w:top w:type="dxa" w:w="90"/>
              <w:left w:type="dxa" w:w="120"/>
              <w:bottom w:type="dxa" w:w="90"/>
              <w:right w:type="dxa" w:w="120"/>
            </w:tcMar>
          </w:tcPr>
          <w:p>
            <w:r>
              <w:rPr>
                <w:b/>
                <w:bCs/>
                <w:sz w:val="20"/>
                <w:szCs w:val="20"/>
              </w:rPr>
              <w:t xml:space="preserve">Where</w:t>
            </w:r>
          </w:p>
        </w:tc>
        <w:tc>
          <w:tcPr>
            <w:tcW w:type="dxa" w:w="7226"/>
            <w:tcBorders>
              <w:top w:val="single" w:color="C9CED6" w:sz="4"/>
              <w:left w:val="single" w:color="C9CED6" w:sz="4"/>
              <w:bottom w:val="single" w:color="C9CED6" w:sz="4"/>
              <w:right w:val="single" w:color="C9CED6" w:sz="4"/>
            </w:tcBorders>
            <w:tcMar>
              <w:top w:type="dxa" w:w="90"/>
              <w:left w:type="dxa" w:w="120"/>
              <w:bottom w:type="dxa" w:w="90"/>
              <w:right w:type="dxa" w:w="120"/>
            </w:tcMar>
          </w:tcPr>
          <w:p>
            <w:pPr>
              <w:spacing w:after="80"/>
            </w:pPr>
            <w:r>
              <w:t xml:space="preserve">FR 8, p. 47, and DFD Level 1 process 7.0 description, p. 54.</w:t>
            </w:r>
          </w:p>
        </w:tc>
      </w:tr>
      <w:tr>
        <w:trPr>
          <w:cantSplit w:val="off"/>
        </w:trPr>
        <w:tc>
          <w:tcPr>
            <w:tcW w:type="dxa" w:w="1800"/>
            <w:tcBorders>
              <w:top w:val="single" w:color="C9CED6" w:sz="4"/>
              <w:left w:val="single" w:color="C9CED6" w:sz="4"/>
              <w:bottom w:val="single" w:color="C9CED6" w:sz="4"/>
              <w:right w:val="single" w:color="C9CED6" w:sz="4"/>
            </w:tcBorders>
            <w:shd w:fill="EEF1F5" w:color="auto" w:val="clear"/>
            <w:tcMar>
              <w:top w:type="dxa" w:w="90"/>
              <w:left w:type="dxa" w:w="120"/>
              <w:bottom w:type="dxa" w:w="90"/>
              <w:right w:type="dxa" w:w="120"/>
            </w:tcMar>
          </w:tcPr>
          <w:p>
            <w:r>
              <w:rPr>
                <w:b/>
                <w:bCs/>
                <w:sz w:val="20"/>
                <w:szCs w:val="20"/>
              </w:rPr>
              <w:t xml:space="preserve">Why</w:t>
            </w:r>
          </w:p>
        </w:tc>
        <w:tc>
          <w:tcPr>
            <w:tcW w:type="dxa" w:w="7226"/>
            <w:tcBorders>
              <w:top w:val="single" w:color="C9CED6" w:sz="4"/>
              <w:left w:val="single" w:color="C9CED6" w:sz="4"/>
              <w:bottom w:val="single" w:color="C9CED6" w:sz="4"/>
              <w:right w:val="single" w:color="C9CED6" w:sz="4"/>
            </w:tcBorders>
            <w:tcMar>
              <w:top w:type="dxa" w:w="90"/>
              <w:left w:type="dxa" w:w="120"/>
              <w:bottom w:type="dxa" w:w="90"/>
              <w:right w:type="dxa" w:w="120"/>
            </w:tcMar>
          </w:tcPr>
          <w:p>
            <w:pPr>
              <w:spacing w:after="80"/>
            </w:pPr>
            <w:r>
              <w:t xml:space="preserve">The system now generates each AI summary once per version of the data and reuses it, which keeps answers consistent and reduces external requests. NFR 9 already says only necessary data is sent.</w:t>
            </w:r>
          </w:p>
        </w:tc>
      </w:tr>
      <w:tr>
        <w:trPr>
          <w:cantSplit w:val="off"/>
        </w:trPr>
        <w:tc>
          <w:tcPr>
            <w:tcW w:type="dxa" w:w="1800"/>
            <w:tcBorders>
              <w:top w:val="single" w:color="C9CED6" w:sz="4"/>
              <w:left w:val="single" w:color="C9CED6" w:sz="4"/>
              <w:bottom w:val="single" w:color="C9CED6" w:sz="4"/>
              <w:right w:val="single" w:color="C9CED6" w:sz="4"/>
            </w:tcBorders>
            <w:shd w:fill="EEF1F5" w:color="auto" w:val="clear"/>
            <w:tcMar>
              <w:top w:type="dxa" w:w="90"/>
              <w:left w:type="dxa" w:w="120"/>
              <w:bottom w:type="dxa" w:w="90"/>
              <w:right w:type="dxa" w:w="120"/>
            </w:tcMar>
          </w:tcPr>
          <w:p>
            <w:r>
              <w:rPr>
                <w:b/>
                <w:bCs/>
                <w:sz w:val="20"/>
                <w:szCs w:val="20"/>
              </w:rPr>
              <w:t xml:space="preserve">Add this sentence</w:t>
            </w:r>
          </w:p>
        </w:tc>
        <w:tc>
          <w:tcPr>
            <w:tcW w:type="dxa" w:w="7226"/>
            <w:tcBorders>
              <w:top w:val="single" w:color="C9CED6" w:sz="4"/>
              <w:left w:val="single" w:color="C9CED6" w:sz="4"/>
              <w:bottom w:val="single" w:color="C9CED6" w:sz="4"/>
              <w:right w:val="single" w:color="C9CED6" w:sz="4"/>
            </w:tcBorders>
            <w:shd w:fill="EAF6EC" w:color="auto" w:val="clear"/>
            <w:tcMar>
              <w:top w:type="dxa" w:w="90"/>
              <w:left w:type="dxa" w:w="120"/>
              <w:bottom w:type="dxa" w:w="90"/>
              <w:right w:type="dxa" w:w="120"/>
            </w:tcMar>
          </w:tcPr>
          <w:p>
            <w:pPr>
              <w:spacing w:after="80"/>
            </w:pPr>
            <w:r>
              <w:t xml:space="preserve">AI explanations are generated once for each version of the data and reused when the user switches tabs; they are refreshed when the data changes or when the user clicks Regenerate. Only computed summaries (issues, counts and statistics) are sent to the language model, never the raw rows.</w:t>
            </w:r>
          </w:p>
        </w:tc>
      </w:tr>
    </w:tbl>
    <w:p>
      <w:pPr>
        <w:spacing w:after="120"/>
      </w:pPr>
    </w:p>
    <w:p>
      <w:pPr>
        <w:pStyle w:val="Heading2"/>
        <w:keepNext/>
        <w:spacing w:after="120" w:before="280"/>
      </w:pPr>
      <w:r>
        <w:t xml:space="preserve">D23  ·  Hosting is not described (NEW)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val="off"/>
        </w:trPr>
        <w:tc>
          <w:tcPr>
            <w:tcW w:type="dxa" w:w="1800"/>
            <w:tcBorders>
              <w:top w:val="single" w:color="C9CED6" w:sz="4"/>
              <w:left w:val="single" w:color="C9CED6" w:sz="4"/>
              <w:bottom w:val="single" w:color="C9CED6" w:sz="4"/>
              <w:right w:val="single" w:color="C9CED6" w:sz="4"/>
            </w:tcBorders>
            <w:shd w:fill="EEF1F5" w:color="auto" w:val="clear"/>
            <w:tcMar>
              <w:top w:type="dxa" w:w="90"/>
              <w:left w:type="dxa" w:w="120"/>
              <w:bottom w:type="dxa" w:w="90"/>
              <w:right w:type="dxa" w:w="120"/>
            </w:tcMar>
          </w:tcPr>
          <w:p>
            <w:r>
              <w:rPr>
                <w:b/>
                <w:bCs/>
                <w:sz w:val="20"/>
                <w:szCs w:val="20"/>
              </w:rPr>
              <w:t xml:space="preserve">Where</w:t>
            </w:r>
          </w:p>
        </w:tc>
        <w:tc>
          <w:tcPr>
            <w:tcW w:type="dxa" w:w="7226"/>
            <w:tcBorders>
              <w:top w:val="single" w:color="C9CED6" w:sz="4"/>
              <w:left w:val="single" w:color="C9CED6" w:sz="4"/>
              <w:bottom w:val="single" w:color="C9CED6" w:sz="4"/>
              <w:right w:val="single" w:color="C9CED6" w:sz="4"/>
            </w:tcBorders>
            <w:tcMar>
              <w:top w:type="dxa" w:w="90"/>
              <w:left w:type="dxa" w:w="120"/>
              <w:bottom w:type="dxa" w:w="90"/>
              <w:right w:type="dxa" w:w="120"/>
            </w:tcMar>
          </w:tcPr>
          <w:p>
            <w:pPr>
              <w:spacing w:after="80"/>
            </w:pPr>
            <w:r>
              <w:t xml:space="preserve">System Architecture › Hardware Components, p. 45; System Implementation Plan, Phase 7 Final Deployment, p. 80.</w:t>
            </w:r>
          </w:p>
        </w:tc>
      </w:tr>
      <w:tr>
        <w:trPr>
          <w:cantSplit w:val="off"/>
        </w:trPr>
        <w:tc>
          <w:tcPr>
            <w:tcW w:type="dxa" w:w="1800"/>
            <w:tcBorders>
              <w:top w:val="single" w:color="C9CED6" w:sz="4"/>
              <w:left w:val="single" w:color="C9CED6" w:sz="4"/>
              <w:bottom w:val="single" w:color="C9CED6" w:sz="4"/>
              <w:right w:val="single" w:color="C9CED6" w:sz="4"/>
            </w:tcBorders>
            <w:shd w:fill="EEF1F5" w:color="auto" w:val="clear"/>
            <w:tcMar>
              <w:top w:type="dxa" w:w="90"/>
              <w:left w:type="dxa" w:w="120"/>
              <w:bottom w:type="dxa" w:w="90"/>
              <w:right w:type="dxa" w:w="120"/>
            </w:tcMar>
          </w:tcPr>
          <w:p>
            <w:r>
              <w:rPr>
                <w:b/>
                <w:bCs/>
                <w:sz w:val="20"/>
                <w:szCs w:val="20"/>
              </w:rPr>
              <w:t xml:space="preserve">Why</w:t>
            </w:r>
          </w:p>
        </w:tc>
        <w:tc>
          <w:tcPr>
            <w:tcW w:type="dxa" w:w="7226"/>
            <w:tcBorders>
              <w:top w:val="single" w:color="C9CED6" w:sz="4"/>
              <w:left w:val="single" w:color="C9CED6" w:sz="4"/>
              <w:bottom w:val="single" w:color="C9CED6" w:sz="4"/>
              <w:right w:val="single" w:color="C9CED6" w:sz="4"/>
            </w:tcBorders>
            <w:tcMar>
              <w:top w:type="dxa" w:w="90"/>
              <w:left w:type="dxa" w:w="120"/>
              <w:bottom w:type="dxa" w:w="90"/>
              <w:right w:type="dxa" w:w="120"/>
            </w:tcMar>
          </w:tcPr>
          <w:p>
            <w:pPr>
              <w:spacing w:after="80"/>
            </w:pPr>
            <w:r>
              <w:t xml:space="preserve">The panel asked for the system to be hosted. Once it is live, the manuscript should say where and how. The programmer will confirm the final details.</w:t>
            </w:r>
          </w:p>
        </w:tc>
      </w:tr>
      <w:tr>
        <w:trPr>
          <w:cantSplit w:val="off"/>
        </w:trPr>
        <w:tc>
          <w:tcPr>
            <w:tcW w:type="dxa" w:w="1800"/>
            <w:tcBorders>
              <w:top w:val="single" w:color="C9CED6" w:sz="4"/>
              <w:left w:val="single" w:color="C9CED6" w:sz="4"/>
              <w:bottom w:val="single" w:color="C9CED6" w:sz="4"/>
              <w:right w:val="single" w:color="C9CED6" w:sz="4"/>
            </w:tcBorders>
            <w:shd w:fill="EEF1F5" w:color="auto" w:val="clear"/>
            <w:tcMar>
              <w:top w:type="dxa" w:w="90"/>
              <w:left w:type="dxa" w:w="120"/>
              <w:bottom w:type="dxa" w:w="90"/>
              <w:right w:type="dxa" w:w="120"/>
            </w:tcMar>
          </w:tcPr>
          <w:p>
            <w:r>
              <w:rPr>
                <w:b/>
                <w:bCs/>
                <w:sz w:val="20"/>
                <w:szCs w:val="20"/>
              </w:rPr>
              <w:t xml:space="preserve">Add this text</w:t>
            </w:r>
          </w:p>
        </w:tc>
        <w:tc>
          <w:tcPr>
            <w:tcW w:type="dxa" w:w="7226"/>
            <w:tcBorders>
              <w:top w:val="single" w:color="C9CED6" w:sz="4"/>
              <w:left w:val="single" w:color="C9CED6" w:sz="4"/>
              <w:bottom w:val="single" w:color="C9CED6" w:sz="4"/>
              <w:right w:val="single" w:color="C9CED6" w:sz="4"/>
            </w:tcBorders>
            <w:shd w:fill="EAF6EC" w:color="auto" w:val="clear"/>
            <w:tcMar>
              <w:top w:type="dxa" w:w="90"/>
              <w:left w:type="dxa" w:w="120"/>
              <w:bottom w:type="dxa" w:w="90"/>
              <w:right w:type="dxa" w:w="120"/>
            </w:tcMar>
          </w:tcPr>
          <w:p>
            <w:pPr>
              <w:spacing w:after="80"/>
            </w:pPr>
            <w:r>
              <w:rPr>
                <w:b/>
                <w:bCs/>
              </w:rPr>
              <w:t xml:space="preserve">p. 45 (Hardware Components), add:</w:t>
            </w:r>
            <w:r>
              <w:t xml:space="preserve"> The system is hosted in the cloud. The web interface runs on Vercel, and the backend services and the PostgreSQL database run on a Linux virtual machine on Microsoft Azure ([REGION], [SERVER SIZE]). Users access it through a web browser at [WEB ADDRESS], over a secure HTTPS connection.</w:t>
            </w:r>
          </w:p>
          <w:p>
            <w:pPr>
              <w:spacing w:after="80"/>
            </w:pPr>
            <w:r>
              <w:rPr>
                <w:b/>
                <w:bCs/>
              </w:rPr>
              <w:t xml:space="preserve">p. 80 (Phase 7), change the description to:</w:t>
            </w:r>
            <w:r>
              <w:t xml:space="preserve"> Deploy the completed system to the cloud (Vercel for the web interface; Microsoft Azure for the backend and database) for presentation and evaluation.</w:t>
            </w:r>
          </w:p>
        </w:tc>
      </w:tr>
      <w:tr>
        <w:trPr>
          <w:cantSplit w:val="off"/>
        </w:trPr>
        <w:tc>
          <w:tcPr>
            <w:tcW w:type="dxa" w:w="1800"/>
            <w:tcBorders>
              <w:top w:val="single" w:color="C9CED6" w:sz="4"/>
              <w:left w:val="single" w:color="C9CED6" w:sz="4"/>
              <w:bottom w:val="single" w:color="C9CED6" w:sz="4"/>
              <w:right w:val="single" w:color="C9CED6" w:sz="4"/>
            </w:tcBorders>
            <w:shd w:fill="EEF1F5" w:color="auto" w:val="clear"/>
            <w:tcMar>
              <w:top w:type="dxa" w:w="90"/>
              <w:left w:type="dxa" w:w="120"/>
              <w:bottom w:type="dxa" w:w="90"/>
              <w:right w:type="dxa" w:w="120"/>
            </w:tcMar>
          </w:tcPr>
          <w:p>
            <w:r>
              <w:rPr>
                <w:b/>
                <w:bCs/>
                <w:sz w:val="20"/>
                <w:szCs w:val="20"/>
              </w:rPr>
              <w:t xml:space="preserve">Note</w:t>
            </w:r>
          </w:p>
        </w:tc>
        <w:tc>
          <w:tcPr>
            <w:tcW w:type="dxa" w:w="7226"/>
            <w:tcBorders>
              <w:top w:val="single" w:color="C9CED6" w:sz="4"/>
              <w:left w:val="single" w:color="C9CED6" w:sz="4"/>
              <w:bottom w:val="single" w:color="C9CED6" w:sz="4"/>
              <w:right w:val="single" w:color="C9CED6" w:sz="4"/>
            </w:tcBorders>
            <w:tcMar>
              <w:top w:type="dxa" w:w="90"/>
              <w:left w:type="dxa" w:w="120"/>
              <w:bottom w:type="dxa" w:w="90"/>
              <w:right w:type="dxa" w:w="120"/>
            </w:tcMar>
          </w:tcPr>
          <w:p>
            <w:pPr>
              <w:spacing w:after="80"/>
            </w:pPr>
            <w:r>
              <w:t xml:space="preserve">Fill the bracketed parts after deployment. Microsoft Azure is used through the Azure for Students program.</w:t>
            </w:r>
          </w:p>
        </w:tc>
      </w:tr>
    </w:tbl>
    <w:p>
      <w:pPr>
        <w:spacing w:after="120"/>
      </w:pPr>
    </w:p>
    <w:p>
      <w:pPr>
        <w:pStyle w:val="Heading1"/>
        <w:spacing w:after="160" w:before="360"/>
      </w:pPr>
      <w:r>
        <w:t xml:space="preserve">Part 3. Cover, references, highlights and tables to check</w:t>
      </w:r>
    </w:p>
    <w:p>
      <w:pPr>
        <w:pStyle w:val="Heading2"/>
        <w:keepNext/>
        <w:spacing w:after="120" w:before="280"/>
      </w:pPr>
      <w:r>
        <w:t xml:space="preserve">D15  ·  Cover date and Gantt chart end in June / May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val="off"/>
        </w:trPr>
        <w:tc>
          <w:tcPr>
            <w:tcW w:type="dxa" w:w="1800"/>
            <w:tcBorders>
              <w:top w:val="single" w:color="C9CED6" w:sz="4"/>
              <w:left w:val="single" w:color="C9CED6" w:sz="4"/>
              <w:bottom w:val="single" w:color="C9CED6" w:sz="4"/>
              <w:right w:val="single" w:color="C9CED6" w:sz="4"/>
            </w:tcBorders>
            <w:shd w:fill="EEF1F5" w:color="auto" w:val="clear"/>
            <w:tcMar>
              <w:top w:type="dxa" w:w="90"/>
              <w:left w:type="dxa" w:w="120"/>
              <w:bottom w:type="dxa" w:w="90"/>
              <w:right w:type="dxa" w:w="120"/>
            </w:tcMar>
          </w:tcPr>
          <w:p>
            <w:r>
              <w:rPr>
                <w:b/>
                <w:bCs/>
                <w:sz w:val="20"/>
                <w:szCs w:val="20"/>
              </w:rPr>
              <w:t xml:space="preserve">Where</w:t>
            </w:r>
          </w:p>
        </w:tc>
        <w:tc>
          <w:tcPr>
            <w:tcW w:type="dxa" w:w="7226"/>
            <w:tcBorders>
              <w:top w:val="single" w:color="C9CED6" w:sz="4"/>
              <w:left w:val="single" w:color="C9CED6" w:sz="4"/>
              <w:bottom w:val="single" w:color="C9CED6" w:sz="4"/>
              <w:right w:val="single" w:color="C9CED6" w:sz="4"/>
            </w:tcBorders>
            <w:tcMar>
              <w:top w:type="dxa" w:w="90"/>
              <w:left w:type="dxa" w:w="120"/>
              <w:bottom w:type="dxa" w:w="90"/>
              <w:right w:type="dxa" w:w="120"/>
            </w:tcMar>
          </w:tcPr>
          <w:p>
            <w:pPr>
              <w:spacing w:after="80"/>
            </w:pPr>
            <w:r>
              <w:t xml:space="preserve">Cover page, p. 1; Gantt Chart, Figure 3 and the paragraph above it, p. 41.</w:t>
            </w:r>
          </w:p>
        </w:tc>
      </w:tr>
      <w:tr>
        <w:trPr>
          <w:cantSplit w:val="off"/>
        </w:trPr>
        <w:tc>
          <w:tcPr>
            <w:tcW w:type="dxa" w:w="1800"/>
            <w:tcBorders>
              <w:top w:val="single" w:color="C9CED6" w:sz="4"/>
              <w:left w:val="single" w:color="C9CED6" w:sz="4"/>
              <w:bottom w:val="single" w:color="C9CED6" w:sz="4"/>
              <w:right w:val="single" w:color="C9CED6" w:sz="4"/>
            </w:tcBorders>
            <w:shd w:fill="EEF1F5" w:color="auto" w:val="clear"/>
            <w:tcMar>
              <w:top w:type="dxa" w:w="90"/>
              <w:left w:type="dxa" w:w="120"/>
              <w:bottom w:type="dxa" w:w="90"/>
              <w:right w:type="dxa" w:w="120"/>
            </w:tcMar>
          </w:tcPr>
          <w:p>
            <w:r>
              <w:rPr>
                <w:b/>
                <w:bCs/>
                <w:sz w:val="20"/>
                <w:szCs w:val="20"/>
              </w:rPr>
              <w:t xml:space="preserve">Why</w:t>
            </w:r>
          </w:p>
        </w:tc>
        <w:tc>
          <w:tcPr>
            <w:tcW w:type="dxa" w:w="7226"/>
            <w:tcBorders>
              <w:top w:val="single" w:color="C9CED6" w:sz="4"/>
              <w:left w:val="single" w:color="C9CED6" w:sz="4"/>
              <w:bottom w:val="single" w:color="C9CED6" w:sz="4"/>
              <w:right w:val="single" w:color="C9CED6" w:sz="4"/>
            </w:tcBorders>
            <w:tcMar>
              <w:top w:type="dxa" w:w="90"/>
              <w:left w:type="dxa" w:w="120"/>
              <w:bottom w:type="dxa" w:w="90"/>
              <w:right w:type="dxa" w:w="120"/>
            </w:tcMar>
          </w:tcPr>
          <w:p>
            <w:pPr>
              <w:spacing w:after="80"/>
            </w:pPr>
            <w:r>
              <w:t xml:space="preserve">The cover says JUNE 2026 and the Gantt text says the final completion date is May 2026, but development and testing continue to the pre-deployment defense in November 2026.</w:t>
            </w:r>
          </w:p>
        </w:tc>
      </w:tr>
      <w:tr>
        <w:trPr>
          <w:cantSplit w:val="off"/>
        </w:trPr>
        <w:tc>
          <w:tcPr>
            <w:tcW w:type="dxa" w:w="1800"/>
            <w:tcBorders>
              <w:top w:val="single" w:color="C9CED6" w:sz="4"/>
              <w:left w:val="single" w:color="C9CED6" w:sz="4"/>
              <w:bottom w:val="single" w:color="C9CED6" w:sz="4"/>
              <w:right w:val="single" w:color="C9CED6" w:sz="4"/>
            </w:tcBorders>
            <w:shd w:fill="EEF1F5" w:color="auto" w:val="clear"/>
            <w:tcMar>
              <w:top w:type="dxa" w:w="90"/>
              <w:left w:type="dxa" w:w="120"/>
              <w:bottom w:type="dxa" w:w="90"/>
              <w:right w:type="dxa" w:w="120"/>
            </w:tcMar>
          </w:tcPr>
          <w:p>
            <w:r>
              <w:rPr>
                <w:b/>
                <w:bCs/>
                <w:sz w:val="20"/>
                <w:szCs w:val="20"/>
              </w:rPr>
              <w:t xml:space="preserve">Find this text</w:t>
            </w:r>
          </w:p>
        </w:tc>
        <w:tc>
          <w:tcPr>
            <w:tcW w:type="dxa" w:w="7226"/>
            <w:tcBorders>
              <w:top w:val="single" w:color="C9CED6" w:sz="4"/>
              <w:left w:val="single" w:color="C9CED6" w:sz="4"/>
              <w:bottom w:val="single" w:color="C9CED6" w:sz="4"/>
              <w:right w:val="single" w:color="C9CED6" w:sz="4"/>
            </w:tcBorders>
            <w:shd w:fill="F6F7F9" w:color="auto" w:val="clear"/>
            <w:tcMar>
              <w:top w:type="dxa" w:w="90"/>
              <w:left w:type="dxa" w:w="120"/>
              <w:bottom w:type="dxa" w:w="90"/>
              <w:right w:type="dxa" w:w="120"/>
            </w:tcMar>
          </w:tcPr>
          <w:p>
            <w:pPr>
              <w:spacing w:after="80"/>
            </w:pPr>
            <w:r>
              <w:rPr>
                <w:i/>
                <w:iCs/>
              </w:rPr>
              <w:t xml:space="preserve">“Cover: JUNE 2026”</w:t>
            </w:r>
          </w:p>
          <w:p>
            <w:pPr>
              <w:spacing w:after="80"/>
            </w:pPr>
            <w:r>
              <w:rPr>
                <w:i/>
                <w:iCs/>
              </w:rPr>
              <w:t xml:space="preserve">“p. 41: …from their respective weeks until the final completion date in May 2026.”</w:t>
            </w:r>
          </w:p>
        </w:tc>
      </w:tr>
      <w:tr>
        <w:trPr>
          <w:cantSplit w:val="off"/>
        </w:trPr>
        <w:tc>
          <w:tcPr>
            <w:tcW w:type="dxa" w:w="1800"/>
            <w:tcBorders>
              <w:top w:val="single" w:color="C9CED6" w:sz="4"/>
              <w:left w:val="single" w:color="C9CED6" w:sz="4"/>
              <w:bottom w:val="single" w:color="C9CED6" w:sz="4"/>
              <w:right w:val="single" w:color="C9CED6" w:sz="4"/>
            </w:tcBorders>
            <w:shd w:fill="EEF1F5" w:color="auto" w:val="clear"/>
            <w:tcMar>
              <w:top w:type="dxa" w:w="90"/>
              <w:left w:type="dxa" w:w="120"/>
              <w:bottom w:type="dxa" w:w="90"/>
              <w:right w:type="dxa" w:w="120"/>
            </w:tcMar>
          </w:tcPr>
          <w:p>
            <w:r>
              <w:rPr>
                <w:b/>
                <w:bCs/>
                <w:sz w:val="20"/>
                <w:szCs w:val="20"/>
              </w:rPr>
              <w:t xml:space="preserve">Change to</w:t>
            </w:r>
          </w:p>
        </w:tc>
        <w:tc>
          <w:tcPr>
            <w:tcW w:type="dxa" w:w="7226"/>
            <w:tcBorders>
              <w:top w:val="single" w:color="C9CED6" w:sz="4"/>
              <w:left w:val="single" w:color="C9CED6" w:sz="4"/>
              <w:bottom w:val="single" w:color="C9CED6" w:sz="4"/>
              <w:right w:val="single" w:color="C9CED6" w:sz="4"/>
            </w:tcBorders>
            <w:shd w:fill="EAF6EC" w:color="auto" w:val="clear"/>
            <w:tcMar>
              <w:top w:type="dxa" w:w="90"/>
              <w:left w:type="dxa" w:w="120"/>
              <w:bottom w:type="dxa" w:w="90"/>
              <w:right w:type="dxa" w:w="120"/>
            </w:tcMar>
          </w:tcPr>
          <w:p>
            <w:pPr>
              <w:spacing w:after="80"/>
            </w:pPr>
            <w:r>
              <w:rPr>
                <w:b/>
                <w:bCs/>
              </w:rPr>
              <w:t xml:space="preserve">Cover:</w:t>
            </w:r>
            <w:r>
              <w:t xml:space="preserve"> the month of final submission, e.g. NOVEMBER 2026 (confirm with the adviser).</w:t>
            </w:r>
          </w:p>
          <w:p>
            <w:pPr>
              <w:spacing w:after="80"/>
            </w:pPr>
            <w:r>
              <w:rPr>
                <w:b/>
                <w:bCs/>
              </w:rPr>
              <w:t xml:space="preserve">p. 41:</w:t>
            </w:r>
            <w:r>
              <w:t xml:space="preserve"> replace Figure 3 with the updated Gantt chart used in the midterm progress report (docs/OnlineGantt20261021.png), and change the sentence to: “…from their respective weeks until the pre-deployment defense in November 2026.”</w:t>
            </w:r>
          </w:p>
        </w:tc>
      </w:tr>
    </w:tbl>
    <w:p>
      <w:pPr>
        <w:spacing w:after="120"/>
      </w:pPr>
    </w:p>
    <w:p>
      <w:pPr>
        <w:pStyle w:val="Heading2"/>
        <w:keepNext/>
        <w:spacing w:after="120" w:before="280"/>
      </w:pPr>
      <w:r>
        <w:t xml:space="preserve">D16  ·  “Cited by” counts left in the references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val="off"/>
        </w:trPr>
        <w:tc>
          <w:tcPr>
            <w:tcW w:type="dxa" w:w="1800"/>
            <w:tcBorders>
              <w:top w:val="single" w:color="C9CED6" w:sz="4"/>
              <w:left w:val="single" w:color="C9CED6" w:sz="4"/>
              <w:bottom w:val="single" w:color="C9CED6" w:sz="4"/>
              <w:right w:val="single" w:color="C9CED6" w:sz="4"/>
            </w:tcBorders>
            <w:shd w:fill="EEF1F5" w:color="auto" w:val="clear"/>
            <w:tcMar>
              <w:top w:type="dxa" w:w="90"/>
              <w:left w:type="dxa" w:w="120"/>
              <w:bottom w:type="dxa" w:w="90"/>
              <w:right w:type="dxa" w:w="120"/>
            </w:tcMar>
          </w:tcPr>
          <w:p>
            <w:r>
              <w:rPr>
                <w:b/>
                <w:bCs/>
                <w:sz w:val="20"/>
                <w:szCs w:val="20"/>
              </w:rPr>
              <w:t xml:space="preserve">Where</w:t>
            </w:r>
          </w:p>
        </w:tc>
        <w:tc>
          <w:tcPr>
            <w:tcW w:type="dxa" w:w="7226"/>
            <w:tcBorders>
              <w:top w:val="single" w:color="C9CED6" w:sz="4"/>
              <w:left w:val="single" w:color="C9CED6" w:sz="4"/>
              <w:bottom w:val="single" w:color="C9CED6" w:sz="4"/>
              <w:right w:val="single" w:color="C9CED6" w:sz="4"/>
            </w:tcBorders>
            <w:tcMar>
              <w:top w:type="dxa" w:w="90"/>
              <w:left w:type="dxa" w:w="120"/>
              <w:bottom w:type="dxa" w:w="90"/>
              <w:right w:type="dxa" w:w="120"/>
            </w:tcMar>
          </w:tcPr>
          <w:p>
            <w:pPr>
              <w:spacing w:after="80"/>
            </w:pPr>
            <w:r>
              <w:t xml:space="preserve">References [3] and [4], p. 83.</w:t>
            </w:r>
          </w:p>
        </w:tc>
      </w:tr>
      <w:tr>
        <w:trPr>
          <w:cantSplit w:val="off"/>
        </w:trPr>
        <w:tc>
          <w:tcPr>
            <w:tcW w:type="dxa" w:w="1800"/>
            <w:tcBorders>
              <w:top w:val="single" w:color="C9CED6" w:sz="4"/>
              <w:left w:val="single" w:color="C9CED6" w:sz="4"/>
              <w:bottom w:val="single" w:color="C9CED6" w:sz="4"/>
              <w:right w:val="single" w:color="C9CED6" w:sz="4"/>
            </w:tcBorders>
            <w:shd w:fill="EEF1F5" w:color="auto" w:val="clear"/>
            <w:tcMar>
              <w:top w:type="dxa" w:w="90"/>
              <w:left w:type="dxa" w:w="120"/>
              <w:bottom w:type="dxa" w:w="90"/>
              <w:right w:type="dxa" w:w="120"/>
            </w:tcMar>
          </w:tcPr>
          <w:p>
            <w:r>
              <w:rPr>
                <w:b/>
                <w:bCs/>
                <w:sz w:val="20"/>
                <w:szCs w:val="20"/>
              </w:rPr>
              <w:t xml:space="preserve">Why</w:t>
            </w:r>
          </w:p>
        </w:tc>
        <w:tc>
          <w:tcPr>
            <w:tcW w:type="dxa" w:w="7226"/>
            <w:tcBorders>
              <w:top w:val="single" w:color="C9CED6" w:sz="4"/>
              <w:left w:val="single" w:color="C9CED6" w:sz="4"/>
              <w:bottom w:val="single" w:color="C9CED6" w:sz="4"/>
              <w:right w:val="single" w:color="C9CED6" w:sz="4"/>
            </w:tcBorders>
            <w:tcMar>
              <w:top w:type="dxa" w:w="90"/>
              <w:left w:type="dxa" w:w="120"/>
              <w:bottom w:type="dxa" w:w="90"/>
              <w:right w:type="dxa" w:w="120"/>
            </w:tcMar>
          </w:tcPr>
          <w:p>
            <w:pPr>
              <w:spacing w:after="80"/>
            </w:pPr>
            <w:r>
              <w:t xml:space="preserve">“Cited by” counts come from Google Scholar and are not part of an IEEE reference.</w:t>
            </w:r>
          </w:p>
        </w:tc>
      </w:tr>
      <w:tr>
        <w:trPr>
          <w:cantSplit w:val="off"/>
        </w:trPr>
        <w:tc>
          <w:tcPr>
            <w:tcW w:type="dxa" w:w="1800"/>
            <w:tcBorders>
              <w:top w:val="single" w:color="C9CED6" w:sz="4"/>
              <w:left w:val="single" w:color="C9CED6" w:sz="4"/>
              <w:bottom w:val="single" w:color="C9CED6" w:sz="4"/>
              <w:right w:val="single" w:color="C9CED6" w:sz="4"/>
            </w:tcBorders>
            <w:shd w:fill="EEF1F5" w:color="auto" w:val="clear"/>
            <w:tcMar>
              <w:top w:type="dxa" w:w="90"/>
              <w:left w:type="dxa" w:w="120"/>
              <w:bottom w:type="dxa" w:w="90"/>
              <w:right w:type="dxa" w:w="120"/>
            </w:tcMar>
          </w:tcPr>
          <w:p>
            <w:r>
              <w:rPr>
                <w:b/>
                <w:bCs/>
                <w:sz w:val="20"/>
                <w:szCs w:val="20"/>
              </w:rPr>
              <w:t xml:space="preserve">Find this text</w:t>
            </w:r>
          </w:p>
        </w:tc>
        <w:tc>
          <w:tcPr>
            <w:tcW w:type="dxa" w:w="7226"/>
            <w:tcBorders>
              <w:top w:val="single" w:color="C9CED6" w:sz="4"/>
              <w:left w:val="single" w:color="C9CED6" w:sz="4"/>
              <w:bottom w:val="single" w:color="C9CED6" w:sz="4"/>
              <w:right w:val="single" w:color="C9CED6" w:sz="4"/>
            </w:tcBorders>
            <w:shd w:fill="F6F7F9" w:color="auto" w:val="clear"/>
            <w:tcMar>
              <w:top w:type="dxa" w:w="90"/>
              <w:left w:type="dxa" w:w="120"/>
              <w:bottom w:type="dxa" w:w="90"/>
              <w:right w:type="dxa" w:w="120"/>
            </w:tcMar>
          </w:tcPr>
          <w:p>
            <w:pPr>
              <w:spacing w:after="80"/>
            </w:pPr>
            <w:r>
              <w:rPr>
                <w:i/>
                <w:iCs/>
              </w:rPr>
              <w:t xml:space="preserve">“[3] …https://doi.org/10.2196/44310 Cited by: 76”</w:t>
            </w:r>
          </w:p>
          <w:p>
            <w:pPr>
              <w:spacing w:after="80"/>
            </w:pPr>
            <w:r>
              <w:rPr>
                <w:i/>
                <w:iCs/>
              </w:rPr>
              <w:t xml:space="preserve">“[4] …https://doi.org/10.1109/access.2025.3543953 Cited by: 12”</w:t>
            </w:r>
          </w:p>
        </w:tc>
      </w:tr>
      <w:tr>
        <w:trPr>
          <w:cantSplit w:val="off"/>
        </w:trPr>
        <w:tc>
          <w:tcPr>
            <w:tcW w:type="dxa" w:w="1800"/>
            <w:tcBorders>
              <w:top w:val="single" w:color="C9CED6" w:sz="4"/>
              <w:left w:val="single" w:color="C9CED6" w:sz="4"/>
              <w:bottom w:val="single" w:color="C9CED6" w:sz="4"/>
              <w:right w:val="single" w:color="C9CED6" w:sz="4"/>
            </w:tcBorders>
            <w:shd w:fill="EEF1F5" w:color="auto" w:val="clear"/>
            <w:tcMar>
              <w:top w:type="dxa" w:w="90"/>
              <w:left w:type="dxa" w:w="120"/>
              <w:bottom w:type="dxa" w:w="90"/>
              <w:right w:type="dxa" w:w="120"/>
            </w:tcMar>
          </w:tcPr>
          <w:p>
            <w:r>
              <w:rPr>
                <w:b/>
                <w:bCs/>
                <w:sz w:val="20"/>
                <w:szCs w:val="20"/>
              </w:rPr>
              <w:t xml:space="preserve">Change to</w:t>
            </w:r>
          </w:p>
        </w:tc>
        <w:tc>
          <w:tcPr>
            <w:tcW w:type="dxa" w:w="7226"/>
            <w:tcBorders>
              <w:top w:val="single" w:color="C9CED6" w:sz="4"/>
              <w:left w:val="single" w:color="C9CED6" w:sz="4"/>
              <w:bottom w:val="single" w:color="C9CED6" w:sz="4"/>
              <w:right w:val="single" w:color="C9CED6" w:sz="4"/>
            </w:tcBorders>
            <w:shd w:fill="EAF6EC" w:color="auto" w:val="clear"/>
            <w:tcMar>
              <w:top w:type="dxa" w:w="90"/>
              <w:left w:type="dxa" w:w="120"/>
              <w:bottom w:type="dxa" w:w="90"/>
              <w:right w:type="dxa" w:w="120"/>
            </w:tcMar>
          </w:tcPr>
          <w:p>
            <w:pPr>
              <w:spacing w:after="80"/>
            </w:pPr>
            <w:r>
              <w:t xml:space="preserve">Delete “Cited by: 76” and “Cited by: 12”. Search the whole reference list for “Cited by” in case there are more.</w:t>
            </w:r>
          </w:p>
        </w:tc>
      </w:tr>
    </w:tbl>
    <w:p>
      <w:pPr>
        <w:spacing w:after="120"/>
      </w:pPr>
    </w:p>
    <w:p>
      <w:pPr>
        <w:pStyle w:val="Heading2"/>
        <w:keepNext/>
        <w:spacing w:after="120" w:before="280"/>
      </w:pPr>
      <w:r>
        <w:t xml:space="preserve">D17  ·  References [17] and [18] may not support their sentences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val="off"/>
        </w:trPr>
        <w:tc>
          <w:tcPr>
            <w:tcW w:type="dxa" w:w="1800"/>
            <w:tcBorders>
              <w:top w:val="single" w:color="C9CED6" w:sz="4"/>
              <w:left w:val="single" w:color="C9CED6" w:sz="4"/>
              <w:bottom w:val="single" w:color="C9CED6" w:sz="4"/>
              <w:right w:val="single" w:color="C9CED6" w:sz="4"/>
            </w:tcBorders>
            <w:shd w:fill="EEF1F5" w:color="auto" w:val="clear"/>
            <w:tcMar>
              <w:top w:type="dxa" w:w="90"/>
              <w:left w:type="dxa" w:w="120"/>
              <w:bottom w:type="dxa" w:w="90"/>
              <w:right w:type="dxa" w:w="120"/>
            </w:tcMar>
          </w:tcPr>
          <w:p>
            <w:r>
              <w:rPr>
                <w:b/>
                <w:bCs/>
                <w:sz w:val="20"/>
                <w:szCs w:val="20"/>
              </w:rPr>
              <w:t xml:space="preserve">Where</w:t>
            </w:r>
          </w:p>
        </w:tc>
        <w:tc>
          <w:tcPr>
            <w:tcW w:type="dxa" w:w="7226"/>
            <w:tcBorders>
              <w:top w:val="single" w:color="C9CED6" w:sz="4"/>
              <w:left w:val="single" w:color="C9CED6" w:sz="4"/>
              <w:bottom w:val="single" w:color="C9CED6" w:sz="4"/>
              <w:right w:val="single" w:color="C9CED6" w:sz="4"/>
            </w:tcBorders>
            <w:tcMar>
              <w:top w:type="dxa" w:w="90"/>
              <w:left w:type="dxa" w:w="120"/>
              <w:bottom w:type="dxa" w:w="90"/>
              <w:right w:type="dxa" w:w="120"/>
            </w:tcMar>
          </w:tcPr>
          <w:p>
            <w:pPr>
              <w:spacing w:after="80"/>
            </w:pPr>
            <w:r>
              <w:t xml:space="preserve">Background of the Study, p. 5; References [17] and [18], p. 85.</w:t>
            </w:r>
          </w:p>
        </w:tc>
      </w:tr>
      <w:tr>
        <w:trPr>
          <w:cantSplit w:val="off"/>
        </w:trPr>
        <w:tc>
          <w:tcPr>
            <w:tcW w:type="dxa" w:w="1800"/>
            <w:tcBorders>
              <w:top w:val="single" w:color="C9CED6" w:sz="4"/>
              <w:left w:val="single" w:color="C9CED6" w:sz="4"/>
              <w:bottom w:val="single" w:color="C9CED6" w:sz="4"/>
              <w:right w:val="single" w:color="C9CED6" w:sz="4"/>
            </w:tcBorders>
            <w:shd w:fill="EEF1F5" w:color="auto" w:val="clear"/>
            <w:tcMar>
              <w:top w:type="dxa" w:w="90"/>
              <w:left w:type="dxa" w:w="120"/>
              <w:bottom w:type="dxa" w:w="90"/>
              <w:right w:type="dxa" w:w="120"/>
            </w:tcMar>
          </w:tcPr>
          <w:p>
            <w:r>
              <w:rPr>
                <w:b/>
                <w:bCs/>
                <w:sz w:val="20"/>
                <w:szCs w:val="20"/>
              </w:rPr>
              <w:t xml:space="preserve">Why</w:t>
            </w:r>
          </w:p>
        </w:tc>
        <w:tc>
          <w:tcPr>
            <w:tcW w:type="dxa" w:w="7226"/>
            <w:tcBorders>
              <w:top w:val="single" w:color="C9CED6" w:sz="4"/>
              <w:left w:val="single" w:color="C9CED6" w:sz="4"/>
              <w:bottom w:val="single" w:color="C9CED6" w:sz="4"/>
              <w:right w:val="single" w:color="C9CED6" w:sz="4"/>
            </w:tcBorders>
            <w:tcMar>
              <w:top w:type="dxa" w:w="90"/>
              <w:left w:type="dxa" w:w="120"/>
              <w:bottom w:type="dxa" w:w="90"/>
              <w:right w:type="dxa" w:w="120"/>
            </w:tcMar>
          </w:tcPr>
          <w:p>
            <w:pPr>
              <w:spacing w:after="80"/>
            </w:pPr>
            <w:r>
              <w:t xml:space="preserve">[17] is a news item about CHED’s TANAW tool, but it is cited for the CHED </w:t>
            </w:r>
            <w:r>
              <w:rPr>
                <w:b/>
                <w:bCs/>
              </w:rPr>
              <w:t xml:space="preserve">A.C.H.I.E.V.E. Agenda</w:t>
            </w:r>
            <w:r>
              <w:t xml:space="preserve">. [18] is a news item about a DNSC Board of Trustees meeting, but it is cited for DNSC’s </w:t>
            </w:r>
            <w:r>
              <w:rPr>
                <w:b/>
                <w:bCs/>
              </w:rPr>
              <w:t xml:space="preserve">RDE Agenda 2026–2030</w:t>
            </w:r>
            <w:r>
              <w:t xml:space="preserve">. A reviewer who opens these links may not find the claims.</w:t>
            </w:r>
          </w:p>
        </w:tc>
      </w:tr>
      <w:tr>
        <w:trPr>
          <w:cantSplit w:val="off"/>
        </w:trPr>
        <w:tc>
          <w:tcPr>
            <w:tcW w:type="dxa" w:w="1800"/>
            <w:tcBorders>
              <w:top w:val="single" w:color="C9CED6" w:sz="4"/>
              <w:left w:val="single" w:color="C9CED6" w:sz="4"/>
              <w:bottom w:val="single" w:color="C9CED6" w:sz="4"/>
              <w:right w:val="single" w:color="C9CED6" w:sz="4"/>
            </w:tcBorders>
            <w:shd w:fill="EEF1F5" w:color="auto" w:val="clear"/>
            <w:tcMar>
              <w:top w:type="dxa" w:w="90"/>
              <w:left w:type="dxa" w:w="120"/>
              <w:bottom w:type="dxa" w:w="90"/>
              <w:right w:type="dxa" w:w="120"/>
            </w:tcMar>
          </w:tcPr>
          <w:p>
            <w:r>
              <w:rPr>
                <w:b/>
                <w:bCs/>
                <w:sz w:val="20"/>
                <w:szCs w:val="20"/>
              </w:rPr>
              <w:t xml:space="preserve">What to do</w:t>
            </w:r>
          </w:p>
        </w:tc>
        <w:tc>
          <w:tcPr>
            <w:tcW w:type="dxa" w:w="7226"/>
            <w:tcBorders>
              <w:top w:val="single" w:color="C9CED6" w:sz="4"/>
              <w:left w:val="single" w:color="C9CED6" w:sz="4"/>
              <w:bottom w:val="single" w:color="C9CED6" w:sz="4"/>
              <w:right w:val="single" w:color="C9CED6" w:sz="4"/>
            </w:tcBorders>
            <w:shd w:fill="EAF6EC" w:color="auto" w:val="clear"/>
            <w:tcMar>
              <w:top w:type="dxa" w:w="90"/>
              <w:left w:type="dxa" w:w="120"/>
              <w:bottom w:type="dxa" w:w="90"/>
              <w:right w:type="dxa" w:w="120"/>
            </w:tcMar>
          </w:tcPr>
          <w:p>
            <w:pPr>
              <w:spacing w:after="80"/>
            </w:pPr>
            <w:r>
              <w:rPr>
                <w:b/>
                <w:bCs/>
              </w:rPr>
              <w:t xml:space="preserve">[17]:</w:t>
            </w:r>
            <w:r>
              <w:t xml:space="preserve"> cite the CHED agenda document itself: Commission on Higher Education, “A.C.H.I.E.V.E. 2030: Delivering the Promise of a Bagong Pilipinas”, [YEAR], [URL]. (The PDF is in the project folder: docs/ched-achieve.pdf.)</w:t>
            </w:r>
          </w:p>
          <w:p>
            <w:pPr>
              <w:spacing w:after="80"/>
            </w:pPr>
            <w:r>
              <w:rPr>
                <w:b/>
                <w:bCs/>
              </w:rPr>
              <w:t xml:space="preserve">[18]:</w:t>
            </w:r>
            <w:r>
              <w:t xml:space="preserve"> cite the DNSC RDE agenda document: Davao del Norte State College Research, Development and Extension Office, “Article 2. Framework and Agenda”, RDE Agenda 2026–2030, [YEAR]. (The PDF is docs/Article 2 DNSC Agenda.pdf.) Keep the BOT news item only if it states that the agenda was approved.</w:t>
            </w:r>
          </w:p>
          <w:p>
            <w:pPr>
              <w:spacing w:after="80"/>
            </w:pPr>
            <w:r>
              <w:t xml:space="preserve">Fill the bracketed details from the documents themselves; do not guess them.</w:t>
            </w:r>
          </w:p>
        </w:tc>
      </w:tr>
    </w:tbl>
    <w:p>
      <w:pPr>
        <w:spacing w:after="120"/>
      </w:pPr>
    </w:p>
    <w:p>
      <w:pPr>
        <w:pStyle w:val="Heading2"/>
        <w:keepNext/>
        <w:spacing w:after="120" w:before="280"/>
      </w:pPr>
      <w:r>
        <w:t xml:space="preserve">D18  ·  Leftover yellow highlights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val="off"/>
        </w:trPr>
        <w:tc>
          <w:tcPr>
            <w:tcW w:type="dxa" w:w="1800"/>
            <w:tcBorders>
              <w:top w:val="single" w:color="C9CED6" w:sz="4"/>
              <w:left w:val="single" w:color="C9CED6" w:sz="4"/>
              <w:bottom w:val="single" w:color="C9CED6" w:sz="4"/>
              <w:right w:val="single" w:color="C9CED6" w:sz="4"/>
            </w:tcBorders>
            <w:shd w:fill="EEF1F5" w:color="auto" w:val="clear"/>
            <w:tcMar>
              <w:top w:type="dxa" w:w="90"/>
              <w:left w:type="dxa" w:w="120"/>
              <w:bottom w:type="dxa" w:w="90"/>
              <w:right w:type="dxa" w:w="120"/>
            </w:tcMar>
          </w:tcPr>
          <w:p>
            <w:r>
              <w:rPr>
                <w:b/>
                <w:bCs/>
                <w:sz w:val="20"/>
                <w:szCs w:val="20"/>
              </w:rPr>
              <w:t xml:space="preserve">Where</w:t>
            </w:r>
          </w:p>
        </w:tc>
        <w:tc>
          <w:tcPr>
            <w:tcW w:type="dxa" w:w="7226"/>
            <w:tcBorders>
              <w:top w:val="single" w:color="C9CED6" w:sz="4"/>
              <w:left w:val="single" w:color="C9CED6" w:sz="4"/>
              <w:bottom w:val="single" w:color="C9CED6" w:sz="4"/>
              <w:right w:val="single" w:color="C9CED6" w:sz="4"/>
            </w:tcBorders>
            <w:tcMar>
              <w:top w:type="dxa" w:w="90"/>
              <w:left w:type="dxa" w:w="120"/>
              <w:bottom w:type="dxa" w:w="90"/>
              <w:right w:type="dxa" w:w="120"/>
            </w:tcMar>
          </w:tcPr>
          <w:p>
            <w:pPr>
              <w:spacing w:after="80"/>
            </w:pPr>
            <w:r>
              <w:t xml:space="preserve">Whole manuscript.</w:t>
            </w:r>
          </w:p>
        </w:tc>
      </w:tr>
      <w:tr>
        <w:trPr>
          <w:cantSplit w:val="off"/>
        </w:trPr>
        <w:tc>
          <w:tcPr>
            <w:tcW w:type="dxa" w:w="1800"/>
            <w:tcBorders>
              <w:top w:val="single" w:color="C9CED6" w:sz="4"/>
              <w:left w:val="single" w:color="C9CED6" w:sz="4"/>
              <w:bottom w:val="single" w:color="C9CED6" w:sz="4"/>
              <w:right w:val="single" w:color="C9CED6" w:sz="4"/>
            </w:tcBorders>
            <w:shd w:fill="EEF1F5" w:color="auto" w:val="clear"/>
            <w:tcMar>
              <w:top w:type="dxa" w:w="90"/>
              <w:left w:type="dxa" w:w="120"/>
              <w:bottom w:type="dxa" w:w="90"/>
              <w:right w:type="dxa" w:w="120"/>
            </w:tcMar>
          </w:tcPr>
          <w:p>
            <w:r>
              <w:rPr>
                <w:b/>
                <w:bCs/>
                <w:sz w:val="20"/>
                <w:szCs w:val="20"/>
              </w:rPr>
              <w:t xml:space="preserve">Why</w:t>
            </w:r>
          </w:p>
        </w:tc>
        <w:tc>
          <w:tcPr>
            <w:tcW w:type="dxa" w:w="7226"/>
            <w:tcBorders>
              <w:top w:val="single" w:color="C9CED6" w:sz="4"/>
              <w:left w:val="single" w:color="C9CED6" w:sz="4"/>
              <w:bottom w:val="single" w:color="C9CED6" w:sz="4"/>
              <w:right w:val="single" w:color="C9CED6" w:sz="4"/>
            </w:tcBorders>
            <w:tcMar>
              <w:top w:type="dxa" w:w="90"/>
              <w:left w:type="dxa" w:w="120"/>
              <w:bottom w:type="dxa" w:w="90"/>
              <w:right w:type="dxa" w:w="120"/>
            </w:tcMar>
          </w:tcPr>
          <w:p>
            <w:pPr>
              <w:spacing w:after="80"/>
            </w:pPr>
            <w:r>
              <w:t xml:space="preserve">Highlights were flagged in the previous version and cannot be detected by text checks.</w:t>
            </w:r>
          </w:p>
        </w:tc>
      </w:tr>
      <w:tr>
        <w:trPr>
          <w:cantSplit w:val="off"/>
        </w:trPr>
        <w:tc>
          <w:tcPr>
            <w:tcW w:type="dxa" w:w="1800"/>
            <w:tcBorders>
              <w:top w:val="single" w:color="C9CED6" w:sz="4"/>
              <w:left w:val="single" w:color="C9CED6" w:sz="4"/>
              <w:bottom w:val="single" w:color="C9CED6" w:sz="4"/>
              <w:right w:val="single" w:color="C9CED6" w:sz="4"/>
            </w:tcBorders>
            <w:shd w:fill="EEF1F5" w:color="auto" w:val="clear"/>
            <w:tcMar>
              <w:top w:type="dxa" w:w="90"/>
              <w:left w:type="dxa" w:w="120"/>
              <w:bottom w:type="dxa" w:w="90"/>
              <w:right w:type="dxa" w:w="120"/>
            </w:tcMar>
          </w:tcPr>
          <w:p>
            <w:r>
              <w:rPr>
                <w:b/>
                <w:bCs/>
                <w:sz w:val="20"/>
                <w:szCs w:val="20"/>
              </w:rPr>
              <w:t xml:space="preserve">What to do</w:t>
            </w:r>
          </w:p>
        </w:tc>
        <w:tc>
          <w:tcPr>
            <w:tcW w:type="dxa" w:w="7226"/>
            <w:tcBorders>
              <w:top w:val="single" w:color="C9CED6" w:sz="4"/>
              <w:left w:val="single" w:color="C9CED6" w:sz="4"/>
              <w:bottom w:val="single" w:color="C9CED6" w:sz="4"/>
              <w:right w:val="single" w:color="C9CED6" w:sz="4"/>
            </w:tcBorders>
            <w:shd w:fill="EAF6EC" w:color="auto" w:val="clear"/>
            <w:tcMar>
              <w:top w:type="dxa" w:w="90"/>
              <w:left w:type="dxa" w:w="120"/>
              <w:bottom w:type="dxa" w:w="90"/>
              <w:right w:type="dxa" w:w="120"/>
            </w:tcMar>
          </w:tcPr>
          <w:p>
            <w:pPr>
              <w:spacing w:after="80"/>
            </w:pPr>
            <w:r>
              <w:t xml:space="preserve">In Word: Home › Text Highlight Color › No Color with the whole document selected (Ctrl+A). Then page through once before printing.</w:t>
            </w:r>
          </w:p>
        </w:tc>
      </w:tr>
    </w:tbl>
    <w:p>
      <w:pPr>
        <w:spacing w:after="120"/>
      </w:pPr>
    </w:p>
    <w:p>
      <w:pPr>
        <w:pStyle w:val="Heading2"/>
        <w:keepNext/>
        <w:spacing w:after="120" w:before="280"/>
      </w:pPr>
      <w:r>
        <w:t xml:space="preserve">D24  ·  Data dictionary tables 6 and 7 (NEW)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val="off"/>
        </w:trPr>
        <w:tc>
          <w:tcPr>
            <w:tcW w:type="dxa" w:w="1800"/>
            <w:tcBorders>
              <w:top w:val="single" w:color="C9CED6" w:sz="4"/>
              <w:left w:val="single" w:color="C9CED6" w:sz="4"/>
              <w:bottom w:val="single" w:color="C9CED6" w:sz="4"/>
              <w:right w:val="single" w:color="C9CED6" w:sz="4"/>
            </w:tcBorders>
            <w:shd w:fill="EEF1F5" w:color="auto" w:val="clear"/>
            <w:tcMar>
              <w:top w:type="dxa" w:w="90"/>
              <w:left w:type="dxa" w:w="120"/>
              <w:bottom w:type="dxa" w:w="90"/>
              <w:right w:type="dxa" w:w="120"/>
            </w:tcMar>
          </w:tcPr>
          <w:p>
            <w:r>
              <w:rPr>
                <w:b/>
                <w:bCs/>
                <w:sz w:val="20"/>
                <w:szCs w:val="20"/>
              </w:rPr>
              <w:t xml:space="preserve">Where</w:t>
            </w:r>
          </w:p>
        </w:tc>
        <w:tc>
          <w:tcPr>
            <w:tcW w:type="dxa" w:w="7226"/>
            <w:tcBorders>
              <w:top w:val="single" w:color="C9CED6" w:sz="4"/>
              <w:left w:val="single" w:color="C9CED6" w:sz="4"/>
              <w:bottom w:val="single" w:color="C9CED6" w:sz="4"/>
              <w:right w:val="single" w:color="C9CED6" w:sz="4"/>
            </w:tcBorders>
            <w:tcMar>
              <w:top w:type="dxa" w:w="90"/>
              <w:left w:type="dxa" w:w="120"/>
              <w:bottom w:type="dxa" w:w="90"/>
              <w:right w:type="dxa" w:w="120"/>
            </w:tcMar>
          </w:tcPr>
          <w:p>
            <w:pPr>
              <w:spacing w:after="80"/>
            </w:pPr>
            <w:r>
              <w:t xml:space="preserve">Table 6. Dataset Versions, p. 59; Table 7. Dataset_Actions, pp. 59–60.</w:t>
            </w:r>
          </w:p>
        </w:tc>
      </w:tr>
      <w:tr>
        <w:trPr>
          <w:cantSplit w:val="off"/>
        </w:trPr>
        <w:tc>
          <w:tcPr>
            <w:tcW w:type="dxa" w:w="1800"/>
            <w:tcBorders>
              <w:top w:val="single" w:color="C9CED6" w:sz="4"/>
              <w:left w:val="single" w:color="C9CED6" w:sz="4"/>
              <w:bottom w:val="single" w:color="C9CED6" w:sz="4"/>
              <w:right w:val="single" w:color="C9CED6" w:sz="4"/>
            </w:tcBorders>
            <w:shd w:fill="EEF1F5" w:color="auto" w:val="clear"/>
            <w:tcMar>
              <w:top w:type="dxa" w:w="90"/>
              <w:left w:type="dxa" w:w="120"/>
              <w:bottom w:type="dxa" w:w="90"/>
              <w:right w:type="dxa" w:w="120"/>
            </w:tcMar>
          </w:tcPr>
          <w:p>
            <w:r>
              <w:rPr>
                <w:b/>
                <w:bCs/>
                <w:sz w:val="20"/>
                <w:szCs w:val="20"/>
              </w:rPr>
              <w:t xml:space="preserve">Why</w:t>
            </w:r>
          </w:p>
        </w:tc>
        <w:tc>
          <w:tcPr>
            <w:tcW w:type="dxa" w:w="7226"/>
            <w:tcBorders>
              <w:top w:val="single" w:color="C9CED6" w:sz="4"/>
              <w:left w:val="single" w:color="C9CED6" w:sz="4"/>
              <w:bottom w:val="single" w:color="C9CED6" w:sz="4"/>
              <w:right w:val="single" w:color="C9CED6" w:sz="4"/>
            </w:tcBorders>
            <w:tcMar>
              <w:top w:type="dxa" w:w="90"/>
              <w:left w:type="dxa" w:w="120"/>
              <w:bottom w:type="dxa" w:w="90"/>
              <w:right w:type="dxa" w:w="120"/>
            </w:tcMar>
          </w:tcPr>
          <w:p>
            <w:pPr>
              <w:spacing w:after="80"/>
            </w:pPr>
            <w:r>
              <w:t xml:space="preserve">Table 6 gives example operation types “upload, cleaning, result”; the system actually records </w:t>
            </w:r>
            <w:r>
              <w:rPr>
                <w:b/>
                <w:bCs/>
              </w:rPr>
              <w:t xml:space="preserve">original</w:t>
            </w:r>
            <w:r>
              <w:t xml:space="preserve"> (upload), </w:t>
            </w:r>
            <w:r>
              <w:rPr>
                <w:b/>
                <w:bCs/>
              </w:rPr>
              <w:t xml:space="preserve">result</w:t>
            </w:r>
            <w:r>
              <w:t xml:space="preserve"> (cleaned), </w:t>
            </w:r>
            <w:r>
              <w:rPr>
                <w:b/>
                <w:bCs/>
              </w:rPr>
              <w:t xml:space="preserve">manual_edit</w:t>
            </w:r>
            <w:r>
              <w:t xml:space="preserve"> (Edit tab) and </w:t>
            </w:r>
            <w:r>
              <w:rPr>
                <w:b/>
                <w:bCs/>
              </w:rPr>
              <w:t xml:space="preserve">restore_vN</w:t>
            </w:r>
            <w:r>
              <w:t xml:space="preserve"> (restored from version N).</w:t>
            </w:r>
          </w:p>
          <w:p>
            <w:pPr>
              <w:spacing w:after="80"/>
            </w:pPr>
            <w:r>
              <w:t xml:space="preserve">In Table 7 the Key Type column looks shifted: dataset_id should read </w:t>
            </w:r>
            <w:r>
              <w:rPr>
                <w:b/>
                <w:bCs/>
              </w:rPr>
              <w:t xml:space="preserve">Foreign Key</w:t>
            </w:r>
            <w:r>
              <w:t xml:space="preserve"> and the other non-id columns “--”.</w:t>
            </w:r>
          </w:p>
        </w:tc>
      </w:tr>
      <w:tr>
        <w:trPr>
          <w:cantSplit w:val="off"/>
        </w:trPr>
        <w:tc>
          <w:tcPr>
            <w:tcW w:type="dxa" w:w="1800"/>
            <w:tcBorders>
              <w:top w:val="single" w:color="C9CED6" w:sz="4"/>
              <w:left w:val="single" w:color="C9CED6" w:sz="4"/>
              <w:bottom w:val="single" w:color="C9CED6" w:sz="4"/>
              <w:right w:val="single" w:color="C9CED6" w:sz="4"/>
            </w:tcBorders>
            <w:shd w:fill="EEF1F5" w:color="auto" w:val="clear"/>
            <w:tcMar>
              <w:top w:type="dxa" w:w="90"/>
              <w:left w:type="dxa" w:w="120"/>
              <w:bottom w:type="dxa" w:w="90"/>
              <w:right w:type="dxa" w:w="120"/>
            </w:tcMar>
          </w:tcPr>
          <w:p>
            <w:r>
              <w:rPr>
                <w:b/>
                <w:bCs/>
                <w:sz w:val="20"/>
                <w:szCs w:val="20"/>
              </w:rPr>
              <w:t xml:space="preserve">Find this text</w:t>
            </w:r>
          </w:p>
        </w:tc>
        <w:tc>
          <w:tcPr>
            <w:tcW w:type="dxa" w:w="7226"/>
            <w:tcBorders>
              <w:top w:val="single" w:color="C9CED6" w:sz="4"/>
              <w:left w:val="single" w:color="C9CED6" w:sz="4"/>
              <w:bottom w:val="single" w:color="C9CED6" w:sz="4"/>
              <w:right w:val="single" w:color="C9CED6" w:sz="4"/>
            </w:tcBorders>
            <w:shd w:fill="F6F7F9" w:color="auto" w:val="clear"/>
            <w:tcMar>
              <w:top w:type="dxa" w:w="90"/>
              <w:left w:type="dxa" w:w="120"/>
              <w:bottom w:type="dxa" w:w="90"/>
              <w:right w:type="dxa" w:w="120"/>
            </w:tcMar>
          </w:tcPr>
          <w:p>
            <w:pPr>
              <w:spacing w:after="80"/>
            </w:pPr>
            <w:r>
              <w:rPr>
                <w:i/>
                <w:iCs/>
              </w:rPr>
              <w:t xml:space="preserve">“Table 6, operation_type: Label for how the snapshot was created (e.g., upload, cleaning, result)”</w:t>
            </w:r>
          </w:p>
        </w:tc>
      </w:tr>
      <w:tr>
        <w:trPr>
          <w:cantSplit w:val="off"/>
        </w:trPr>
        <w:tc>
          <w:tcPr>
            <w:tcW w:type="dxa" w:w="1800"/>
            <w:tcBorders>
              <w:top w:val="single" w:color="C9CED6" w:sz="4"/>
              <w:left w:val="single" w:color="C9CED6" w:sz="4"/>
              <w:bottom w:val="single" w:color="C9CED6" w:sz="4"/>
              <w:right w:val="single" w:color="C9CED6" w:sz="4"/>
            </w:tcBorders>
            <w:shd w:fill="EEF1F5" w:color="auto" w:val="clear"/>
            <w:tcMar>
              <w:top w:type="dxa" w:w="90"/>
              <w:left w:type="dxa" w:w="120"/>
              <w:bottom w:type="dxa" w:w="90"/>
              <w:right w:type="dxa" w:w="120"/>
            </w:tcMar>
          </w:tcPr>
          <w:p>
            <w:r>
              <w:rPr>
                <w:b/>
                <w:bCs/>
                <w:sz w:val="20"/>
                <w:szCs w:val="20"/>
              </w:rPr>
              <w:t xml:space="preserve">Change to</w:t>
            </w:r>
          </w:p>
        </w:tc>
        <w:tc>
          <w:tcPr>
            <w:tcW w:type="dxa" w:w="7226"/>
            <w:tcBorders>
              <w:top w:val="single" w:color="C9CED6" w:sz="4"/>
              <w:left w:val="single" w:color="C9CED6" w:sz="4"/>
              <w:bottom w:val="single" w:color="C9CED6" w:sz="4"/>
              <w:right w:val="single" w:color="C9CED6" w:sz="4"/>
            </w:tcBorders>
            <w:shd w:fill="EAF6EC" w:color="auto" w:val="clear"/>
            <w:tcMar>
              <w:top w:type="dxa" w:w="90"/>
              <w:left w:type="dxa" w:w="120"/>
              <w:bottom w:type="dxa" w:w="90"/>
              <w:right w:type="dxa" w:w="120"/>
            </w:tcMar>
          </w:tcPr>
          <w:p>
            <w:pPr>
              <w:spacing w:after="80"/>
            </w:pPr>
            <w:r>
              <w:rPr>
                <w:b/>
                <w:bCs/>
              </w:rPr>
              <w:t xml:space="preserve">Table 6, operation_type:</w:t>
            </w:r>
            <w:r>
              <w:t xml:space="preserve"> How the version was created: original (upload), result (cleaned in Prepare), manual_edit (saved from the Edit tab) or restore_vN (restored from version N).</w:t>
            </w:r>
          </w:p>
          <w:p>
            <w:pPr>
              <w:spacing w:after="80"/>
            </w:pPr>
            <w:r>
              <w:rPr>
                <w:b/>
                <w:bCs/>
              </w:rPr>
              <w:t xml:space="preserve">Table 7:</w:t>
            </w:r>
            <w:r>
              <w:t xml:space="preserve"> id = Primary Key; dataset_id = Foreign Key (references datasets.id); action_type, input_params, result_summary, created_at = “--”.</w:t>
            </w:r>
          </w:p>
        </w:tc>
      </w:tr>
    </w:tbl>
    <w:p>
      <w:pPr>
        <w:spacing w:after="120"/>
      </w:pPr>
    </w:p>
    <w:p>
      <w:pPr>
        <w:pStyle w:val="Heading1"/>
        <w:spacing w:after="160" w:before="360"/>
      </w:pPr>
      <w:r>
        <w:t xml:space="preserve">Part 4. Already correct (no change needed)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226"/>
      </w:tblGrid>
      <w:tr>
        <w:trPr>
          <w:tblHeader/>
        </w:trPr>
        <w:tc>
          <w:tcPr>
            <w:tcW w:type="dxa" w:w="800"/>
            <w:tcBorders>
              <w:top w:val="single" w:color="C9CED6" w:sz="4"/>
              <w:left w:val="single" w:color="C9CED6" w:sz="4"/>
              <w:bottom w:val="single" w:color="C9CED6" w:sz="4"/>
              <w:right w:val="single" w:color="C9CED6" w:sz="4"/>
            </w:tcBorders>
            <w:shd w:fill="DCE4EE" w:color="auto" w:val="clear"/>
            <w:tcMar>
              <w:top w:type="dxa" w:w="90"/>
              <w:left w:type="dxa" w:w="120"/>
              <w:bottom w:type="dxa" w:w="90"/>
              <w:right w:type="dxa" w:w="120"/>
            </w:tcMar>
          </w:tcPr>
          <w:p>
            <w:r>
              <w:rPr>
                <w:b/>
                <w:bCs/>
                <w:sz w:val="20"/>
                <w:szCs w:val="20"/>
              </w:rPr>
              <w:t xml:space="preserve">ID</w:t>
            </w:r>
          </w:p>
        </w:tc>
        <w:tc>
          <w:tcPr>
            <w:tcW w:type="dxa" w:w="3000"/>
            <w:tcBorders>
              <w:top w:val="single" w:color="C9CED6" w:sz="4"/>
              <w:left w:val="single" w:color="C9CED6" w:sz="4"/>
              <w:bottom w:val="single" w:color="C9CED6" w:sz="4"/>
              <w:right w:val="single" w:color="C9CED6" w:sz="4"/>
            </w:tcBorders>
            <w:shd w:fill="DCE4EE" w:color="auto" w:val="clear"/>
            <w:tcMar>
              <w:top w:type="dxa" w:w="90"/>
              <w:left w:type="dxa" w:w="120"/>
              <w:bottom w:type="dxa" w:w="90"/>
              <w:right w:type="dxa" w:w="120"/>
            </w:tcMar>
          </w:tcPr>
          <w:p>
            <w:r>
              <w:rPr>
                <w:b/>
                <w:bCs/>
                <w:sz w:val="20"/>
                <w:szCs w:val="20"/>
              </w:rPr>
              <w:t xml:space="preserve">Item</w:t>
            </w:r>
          </w:p>
        </w:tc>
        <w:tc>
          <w:tcPr>
            <w:tcW w:type="dxa" w:w="5226"/>
            <w:tcBorders>
              <w:top w:val="single" w:color="C9CED6" w:sz="4"/>
              <w:left w:val="single" w:color="C9CED6" w:sz="4"/>
              <w:bottom w:val="single" w:color="C9CED6" w:sz="4"/>
              <w:right w:val="single" w:color="C9CED6" w:sz="4"/>
            </w:tcBorders>
            <w:shd w:fill="DCE4EE" w:color="auto" w:val="clear"/>
            <w:tcMar>
              <w:top w:type="dxa" w:w="90"/>
              <w:left w:type="dxa" w:w="120"/>
              <w:bottom w:type="dxa" w:w="90"/>
              <w:right w:type="dxa" w:w="120"/>
            </w:tcMar>
          </w:tcPr>
          <w:p>
            <w:r>
              <w:rPr>
                <w:b/>
                <w:bCs/>
                <w:sz w:val="20"/>
                <w:szCs w:val="20"/>
              </w:rPr>
              <w:t xml:space="preserve">Status</w:t>
            </w:r>
          </w:p>
        </w:tc>
      </w:tr>
      <w:tr>
        <w:trPr>
          <w:tblHeader w:val="off"/>
        </w:trPr>
        <w:tc>
          <w:tcPr>
            <w:tcW w:type="dxa" w:w="800"/>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D13</w:t>
            </w:r>
          </w:p>
        </w:tc>
        <w:tc>
          <w:tcPr>
            <w:tcW w:type="dxa" w:w="3000"/>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Trend analysis library (p. 67)</w:t>
            </w:r>
          </w:p>
        </w:tc>
        <w:tc>
          <w:tcPr>
            <w:tcW w:type="dxa" w:w="5226"/>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Trend analysis now uses scikit-learn’s Linear Regression, exactly as p. 67 says.</w:t>
            </w:r>
          </w:p>
        </w:tc>
      </w:tr>
      <w:tr>
        <w:trPr>
          <w:tblHeader w:val="off"/>
        </w:trPr>
        <w:tc>
          <w:tcPr>
            <w:tcW w:type="dxa" w:w="800"/>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A3</w:t>
            </w:r>
          </w:p>
        </w:tc>
        <w:tc>
          <w:tcPr>
            <w:tcW w:type="dxa" w:w="3000"/>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Use case diagram (p. 50)</w:t>
            </w:r>
          </w:p>
        </w:tc>
        <w:tc>
          <w:tcPr>
            <w:tcW w:type="dxa" w:w="5226"/>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Accepted by the panel in the Outline Acceptance Form. Leave it as it is.</w:t>
            </w:r>
          </w:p>
        </w:tc>
      </w:tr>
      <w:tr>
        <w:trPr>
          <w:tblHeader w:val="off"/>
        </w:trPr>
        <w:tc>
          <w:tcPr>
            <w:tcW w:type="dxa" w:w="800"/>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w:t>
            </w:r>
          </w:p>
        </w:tc>
        <w:tc>
          <w:tcPr>
            <w:tcW w:type="dxa" w:w="3000"/>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Use case, CFD and DFD diagrams</w:t>
            </w:r>
          </w:p>
        </w:tc>
        <w:tc>
          <w:tcPr>
            <w:tcW w:type="dxa" w:w="5226"/>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Accepted. The new features (help button, suggested groupings) fit inside existing processes (Explore/Analysis 6.0), so no diagram changes are needed.</w:t>
            </w:r>
          </w:p>
        </w:tc>
      </w:tr>
      <w:tr>
        <w:trPr>
          <w:tblHeader w:val="off"/>
        </w:trPr>
        <w:tc>
          <w:tcPr>
            <w:tcW w:type="dxa" w:w="800"/>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w:t>
            </w:r>
          </w:p>
        </w:tc>
        <w:tc>
          <w:tcPr>
            <w:tcW w:type="dxa" w:w="3000"/>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“Decision support” → “AI insights”</w:t>
            </w:r>
          </w:p>
        </w:tc>
        <w:tc>
          <w:tcPr>
            <w:tcW w:type="dxa" w:w="5226"/>
            <w:tcBorders>
              <w:top w:val="single" w:color="C9CED6" w:sz="4"/>
              <w:left w:val="single" w:color="C9CED6" w:sz="4"/>
              <w:bottom w:val="single" w:color="C9CED6" w:sz="4"/>
              <w:right w:val="single" w:color="C9CED6" w:sz="4"/>
            </w:tcBorders>
            <w:tcMar>
              <w:top w:type="dxa" w:w="90"/>
              <w:left w:type="dxa" w:w="120"/>
              <w:bottom w:type="dxa" w:w="90"/>
              <w:right w:type="dxa" w:w="120"/>
            </w:tcMar>
          </w:tcPr>
          <w:p>
            <w:r>
              <w:rPr>
                <w:sz w:val="20"/>
                <w:szCs w:val="20"/>
              </w:rPr>
              <w:t xml:space="preserve">Already done in the manuscript.</w:t>
            </w:r>
          </w:p>
        </w:tc>
      </w:tr>
    </w:tbl>
    <w:p>
      <w:pPr>
        <w:spacing w:after="120"/>
      </w:pPr>
    </w:p>
    <w:p>
      <w:pPr>
        <w:pStyle w:val="Heading1"/>
        <w:spacing w:after="160" w:before="360"/>
      </w:pPr>
      <w:r>
        <w:t xml:space="preserve">After editing</w:t>
      </w:r>
    </w:p>
    <w:p>
      <w:pPr>
        <w:pStyle w:val="ListParagraph"/>
        <w:numPr>
          <w:ilvl w:val="0"/>
          <w:numId w:val="4"/>
        </w:numPr>
        <w:spacing w:after="60"/>
      </w:pPr>
      <w:r>
        <w:t xml:space="preserve">Update the Table of Contents and the List of Tables/Figures (right-click › Update Field › Update entire table).</w:t>
      </w:r>
    </w:p>
    <w:p>
      <w:pPr>
        <w:pStyle w:val="ListParagraph"/>
        <w:numPr>
          <w:ilvl w:val="0"/>
          <w:numId w:val="4"/>
        </w:numPr>
        <w:spacing w:after="60"/>
      </w:pPr>
      <w:r>
        <w:t xml:space="preserve">Re-export the PDF and send it to the programmer, who will re-check the manuscript against the system and update the tracker (docs/capstone-issues.md).</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r>
    <w:r>
      <w:rPr>
        <w:color w:val="6B7280"/>
        <w:sz w:val="16"/>
        <w:szCs w:val="16"/>
      </w:rPr>
      <w:instrText xml:space="preserve">PAGE</w:instrText>
    </w:r>
    <w:r>
      <w:rPr>
        <w:color w:val="6B7280"/>
        <w:sz w:val="16"/>
        <w:szCs w:val="16"/>
      </w:rPr>
      <w:fldChar w:fldCharType="separate"/>
    </w:r>
    <w:r>
      <w:rPr>
        <w:color w:val="6B7280"/>
        <w:sz w:val="16"/>
        <w:szCs w:val="16"/>
      </w:rPr>
      <w:fldChar w:fldCharType="end"/>
    </w:r>
    <w:r>
      <w:rPr>
        <w:color w:val="6B7280"/>
        <w:sz w:val="16"/>
        <w:szCs w:val="16"/>
      </w:rPr>
      <w:t xml:space="preserve"> of </w:t>
    </w:r>
    <w:r>
      <w:rPr>
        <w:color w:val="6B7280"/>
        <w:sz w:val="16"/>
        <w:szCs w:val="16"/>
      </w:rPr>
      <w:fldChar w:fldCharType="begin"/>
    </w:r>
    <w:r>
      <w:rPr>
        <w:color w:val="6B7280"/>
        <w:sz w:val="16"/>
        <w:szCs w:val="16"/>
      </w:rPr>
      <w:instrText xml:space="preserve">NUMPAGES</w:instrText>
    </w:r>
    <w:r>
      <w:rPr>
        <w:color w:val="6B7280"/>
        <w:sz w:val="16"/>
        <w:szCs w:val="16"/>
      </w:rPr>
      <w:fldChar w:fldCharType="separate"/>
    </w:r>
    <w:r>
      <w:rPr>
        <w:color w:val="6B7280"/>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Smartalyze · Document issues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Arial" w:cs="Arial" w:eastAsia="Arial" w:hAnsi="Arial"/>
      <w:b/>
      <w:bCs/>
      <w:color w:val="111827"/>
      <w:sz w:val="40"/>
      <w:szCs w:val="40"/>
    </w:rPr>
  </w:style>
  <w:style w:type="paragraph" w:styleId="Heading1">
    <w:name w:val="Heading 1"/>
    <w:basedOn w:val="Normal"/>
    <w:next w:val="Normal"/>
    <w:qFormat/>
    <w:pPr>
      <w:spacing w:after="160" w:before="360"/>
      <w:outlineLvl w:val="0"/>
    </w:pPr>
    <w:rPr>
      <w:rFonts w:ascii="Arial" w:cs="Arial" w:eastAsia="Arial" w:hAnsi="Arial"/>
      <w:b/>
      <w:bCs/>
      <w:color w:val="1F2937"/>
      <w:sz w:val="30"/>
      <w:szCs w:val="30"/>
    </w:rPr>
  </w:style>
  <w:style w:type="paragraph" w:styleId="Heading2">
    <w:name w:val="Heading 2"/>
    <w:basedOn w:val="Normal"/>
    <w:next w:val="Normal"/>
    <w:qFormat/>
    <w:pPr>
      <w:spacing w:after="120" w:before="280"/>
      <w:outlineLvl w:val="1"/>
    </w:pPr>
    <w:rPr>
      <w:rFonts w:ascii="Arial" w:cs="Arial" w:eastAsia="Arial" w:hAnsi="Arial"/>
      <w:b/>
      <w:bCs/>
      <w:color w:val="312E81"/>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Smartalyze – Document Issues: Needed Fixes</dc:title>
  <dc:creator>Smartalyze team</dc:creator>
  <cp:lastModifiedBy>Un-named</cp:lastModifiedBy>
  <cp:revision>1</cp:revision>
  <dcterms:created xsi:type="dcterms:W3CDTF">2026-10-23T19:42:18.308Z</dcterms:created>
  <dcterms:modified xsi:type="dcterms:W3CDTF">2026-10-23T19:42:18.309Z</dcterms:modified>
</cp:coreProperties>
</file>

<file path=docProps/custom.xml><?xml version="1.0" encoding="utf-8"?>
<Properties xmlns="http://schemas.openxmlformats.org/officeDocument/2006/custom-properties" xmlns:vt="http://schemas.openxmlformats.org/officeDocument/2006/docPropsVTypes"/>
</file>