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Algorithmic Audit and Rectification Report for Advanced Chemical Engineering Computational Modules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integrity of computational tools in chemical process design relies entirely on the mathematical rigor, thermodynamic boundaries, and numerical stability of their underlying algorithms. Modern process simulation software and web-based computational tools must seamlessly bridge theoretical chemistry and applied mechanical constraints. An architectural review of platforms designed to handle 27 distinct chemical engineering computational subjects—a standard array encompassing thermodynamics, fluid mechanics, heat transfer, and reaction kinetics—reveals persistent vulnerabilities in the numerical methods typically employed for advanced calculations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specific proprietary endpoints, such as the github.com/raz786786/Chembase repository, may currently experience accessibility issues or permission constraints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underlying equations governing these 27 computational subjects are universal across the discipline.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presents an exhaustive audit of the mathematical methods, algorithmic structures, and standard deviations associated with the advanced implementations of these 27 chemical engineering subjects. The analysis focuses on rectifying calculation errors, addressing flawed methodologies, and providing the correct formulas, numerical methods, and conditional safety mechanisms necessary to elevate pedagogical or basic calculators to high-fidelity, industrial-grade computational standards. The subsequent sections deconstruct these tools by their primary engineering domains, detailing the origin of typical algorithmic failures and mapping the required mathematical rectifications.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Thermodynamic and Phase Equilibrium Modules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Thermodynamic modules form the computational backbone of any chemical engineering suite. Errors in state estimation propagate exponentially through subsequent fluid dynamic and thermal calculations, leading to cascading failures in equipment sizing and safety relief design.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Ideal and Real Gas State Estimation (Z-Factor)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 of the compressibility factor (</w:t>
      </w:r>
      <w:r w:rsidDel="00000000" w:rsidR="00000000" w:rsidRPr="00000000">
        <w:rPr>
          <w:rFonts w:ascii="Google Sans" w:cs="Google Sans" w:eastAsia="Google Sans" w:hAnsi="Google Sans"/>
          <w:color w:val="1f1f1f"/>
        </w:rPr>
        <w:drawing>
          <wp:inline distB="19050" distT="19050" distL="19050" distR="19050">
            <wp:extent cx="147935" cy="240394"/>
            <wp:effectExtent b="0" l="0" r="0" t="0"/>
            <wp:docPr id="82"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147935" cy="240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frequently plagued by simplistic assumptions that fail under non-ideal conditions. The primary methodology flaw in advanced computational tabs is relying exclusively on generalized compressibility charts or the standard Redlich-Kwong equation, which lacks temperature-dependent attraction parameters tailored for highly polar or hydrogen-bonding molecules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industrial fidelity, the algorithmic architecture must transition to robust cubic Equations of State (EOS), specifically the Peng-Robinson (PR) or Soave-Redlich-Kwong (SRK) models. The PR EOS provides significantly superior liquid density estimations for hydrocarbon mixtures.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rearranging the PR EOS into a cubic polynomial in terms of the compressibility factor </w:t>
      </w:r>
      <w:r w:rsidDel="00000000" w:rsidR="00000000" w:rsidRPr="00000000">
        <w:rPr>
          <w:rFonts w:ascii="Google Sans" w:cs="Google Sans" w:eastAsia="Google Sans" w:hAnsi="Google Sans"/>
          <w:color w:val="1f1f1f"/>
        </w:rPr>
        <w:drawing>
          <wp:inline distB="19050" distT="19050" distL="19050" distR="19050">
            <wp:extent cx="147935" cy="240394"/>
            <wp:effectExtent b="0" l="0" r="0" t="0"/>
            <wp:docPr id="84"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147935" cy="240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computational system must dynamically solve </w:t>
      </w:r>
      <w:r w:rsidDel="00000000" w:rsidR="00000000" w:rsidRPr="00000000">
        <w:rPr>
          <w:rFonts w:ascii="Google Sans" w:cs="Google Sans" w:eastAsia="Google Sans" w:hAnsi="Google Sans"/>
          <w:color w:val="1f1f1f"/>
        </w:rPr>
        <w:drawing>
          <wp:inline distB="19050" distT="19050" distL="19050" distR="19050">
            <wp:extent cx="5108524" cy="247802"/>
            <wp:effectExtent b="0" l="0" r="0" t="0"/>
            <wp:docPr id="83"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5108524" cy="247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critical algorithmic failure point in basic applications is arbitrary root selection. The code must not only employ Cardano's analytical method or a robust Newton-Raphson iterative solver to find the roots but must also include rigorous conditional logic to assign physical meaning to these roots. The algorithm must explicitly select the largest real root for the vapor phase and the smallest positive real root for the liquid phase. If all three roots are real, the system is in the two-phase region, and the algorithm must compute the fugacities of both phases to determine the stable equilibrium state, which minimizes the Gibbs free energy.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Vapor Pressure and the Antoine Equation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Vapor pressure estimation tools frequently fail at extreme temperatures due to improper extrapolation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common algorithmic error involves accepting the standard Antoine equation (</w:t>
      </w:r>
      <w:r w:rsidDel="00000000" w:rsidR="00000000" w:rsidRPr="00000000">
        <w:rPr>
          <w:rFonts w:ascii="Google Sans" w:cs="Google Sans" w:eastAsia="Google Sans" w:hAnsi="Google Sans"/>
          <w:color w:val="1f1f1f"/>
        </w:rPr>
        <w:drawing>
          <wp:inline distB="19050" distT="19050" distL="19050" distR="19050">
            <wp:extent cx="1713757" cy="247543"/>
            <wp:effectExtent b="0" l="0" r="0" t="0"/>
            <wp:docPr id="86"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1713757" cy="247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temperature inputs, completely ignoring the valid parameter ranges specific to the </w:t>
      </w:r>
      <w:r w:rsidDel="00000000" w:rsidR="00000000" w:rsidRPr="00000000">
        <w:rPr>
          <w:rFonts w:ascii="Google Sans" w:cs="Google Sans" w:eastAsia="Google Sans" w:hAnsi="Google Sans"/>
          <w:color w:val="1f1f1f"/>
        </w:rPr>
        <w:drawing>
          <wp:inline distB="19050" distT="19050" distL="19050" distR="19050">
            <wp:extent cx="392758" cy="249066"/>
            <wp:effectExtent b="0" l="0" r="0" t="0"/>
            <wp:docPr id="85"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392758" cy="249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89"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coefficients. Extrapolating beyond these boundaries leads to wildly inaccurate high-pressure estimates that can dangerously undersize pressure relief valves.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advanced methodology must conditionally validate the input temperature against the specific chemical's parameter bounds. If the system temperature approaches the critical point (</w:t>
      </w:r>
      <w:r w:rsidDel="00000000" w:rsidR="00000000" w:rsidRPr="00000000">
        <w:rPr>
          <w:rFonts w:ascii="Google Sans" w:cs="Google Sans" w:eastAsia="Google Sans" w:hAnsi="Google Sans"/>
          <w:color w:val="1f1f1f"/>
        </w:rPr>
        <w:drawing>
          <wp:inline distB="19050" distT="19050" distL="19050" distR="19050">
            <wp:extent cx="183505" cy="251112"/>
            <wp:effectExtent b="0" l="0" r="0" t="0"/>
            <wp:docPr id="87"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183505" cy="2511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underlying code must seamlessly switch to the Wagner equation or the Lee-Kesler generalized correlation. The Wagner equation, which utilizes reduced temperature (</w:t>
      </w:r>
      <w:r w:rsidDel="00000000" w:rsidR="00000000" w:rsidRPr="00000000">
        <w:rPr>
          <w:rFonts w:ascii="Google Sans" w:cs="Google Sans" w:eastAsia="Google Sans" w:hAnsi="Google Sans"/>
          <w:color w:val="1f1f1f"/>
        </w:rPr>
        <w:drawing>
          <wp:inline distB="19050" distT="19050" distL="19050" distR="19050">
            <wp:extent cx="874067" cy="247019"/>
            <wp:effectExtent b="0" l="0" r="0" t="0"/>
            <wp:docPr id="93"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874067" cy="247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reduced pressure (</w:t>
      </w:r>
      <w:r w:rsidDel="00000000" w:rsidR="00000000" w:rsidRPr="00000000">
        <w:rPr>
          <w:rFonts w:ascii="Google Sans" w:cs="Google Sans" w:eastAsia="Google Sans" w:hAnsi="Google Sans"/>
          <w:color w:val="1f1f1f"/>
        </w:rPr>
        <w:drawing>
          <wp:inline distB="19050" distT="19050" distL="19050" distR="19050">
            <wp:extent cx="908447" cy="248628"/>
            <wp:effectExtent b="0" l="0" r="0" t="0"/>
            <wp:docPr id="91"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908447" cy="248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maintains strict thermodynamic consistency up to the critical temperature and completely eliminates the mathematical asymptotes that frequently crash standard Antoine solvers.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 Capacity and Enthalpy Change Evaluation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Enthalpy calculations demand precise numerical integration of heat capacity over a specific temperature differential. A frequent error in web-based computational tools is the assumption of a constant specific heat capacity (</w:t>
      </w:r>
      <w:r w:rsidDel="00000000" w:rsidR="00000000" w:rsidRPr="00000000">
        <w:rPr>
          <w:rFonts w:ascii="Google Sans" w:cs="Google Sans" w:eastAsia="Google Sans" w:hAnsi="Google Sans"/>
          <w:color w:val="1f1f1f"/>
        </w:rPr>
        <w:drawing>
          <wp:inline distB="19050" distT="19050" distL="19050" distR="19050">
            <wp:extent cx="218926" cy="247482"/>
            <wp:effectExtent b="0" l="0" r="0" t="0"/>
            <wp:docPr id="98"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218926" cy="247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large temperature ranges, or the utilization of a simple linear correlation. This approach severely breaks down for gases at elevated temperatures due to the activation of vibrational and rotational molecular energy modes.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rectify this, the codebase must implement a robust polynomial integration structure. The heat capacity must be defined as </w:t>
      </w:r>
      <w:r w:rsidDel="00000000" w:rsidR="00000000" w:rsidRPr="00000000">
        <w:rPr>
          <w:rFonts w:ascii="Google Sans" w:cs="Google Sans" w:eastAsia="Google Sans" w:hAnsi="Google Sans"/>
          <w:color w:val="1f1f1f"/>
        </w:rPr>
        <w:drawing>
          <wp:inline distB="19050" distT="19050" distL="19050" distR="19050">
            <wp:extent cx="3306813" cy="247773"/>
            <wp:effectExtent b="0" l="0" r="0" t="0"/>
            <wp:docPr id="95"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3306813" cy="247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advanced tab algorithm must symbolically integrate this polynomial to calculate the sensible enthalpy change: </w:t>
      </w:r>
      <w:r w:rsidDel="00000000" w:rsidR="00000000" w:rsidRPr="00000000">
        <w:rPr>
          <w:rFonts w:ascii="Google Sans" w:cs="Google Sans" w:eastAsia="Google Sans" w:hAnsi="Google Sans"/>
          <w:color w:val="1f1f1f"/>
        </w:rPr>
        <w:drawing>
          <wp:inline distB="19050" distT="19050" distL="19050" distR="19050">
            <wp:extent cx="1377258" cy="294448"/>
            <wp:effectExtent b="0" l="0" r="0" t="0"/>
            <wp:docPr id="97" name="image89.png"/>
            <a:graphic>
              <a:graphicData uri="http://schemas.openxmlformats.org/drawingml/2006/picture">
                <pic:pic>
                  <pic:nvPicPr>
                    <pic:cNvPr id="0" name="image89.png"/>
                    <pic:cNvPicPr preferRelativeResize="0"/>
                  </pic:nvPicPr>
                  <pic:blipFill>
                    <a:blip r:embed="rId16"/>
                    <a:srcRect b="0" l="0" r="0" t="0"/>
                    <a:stretch>
                      <a:fillRect/>
                    </a:stretch>
                  </pic:blipFill>
                  <pic:spPr>
                    <a:xfrm>
                      <a:off x="0" y="0"/>
                      <a:ext cx="1377258" cy="294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Furthermore, numerical integration techniques, such as Simpson's 1/3 rule or Gaussian quadrature, should only be employed as fallback mechanisms when the user imports non-polynomial tabular data. For phase transitions occurring between </w:t>
      </w:r>
      <w:r w:rsidDel="00000000" w:rsidR="00000000" w:rsidRPr="00000000">
        <w:rPr>
          <w:rFonts w:ascii="Google Sans" w:cs="Google Sans" w:eastAsia="Google Sans" w:hAnsi="Google Sans"/>
          <w:color w:val="1f1f1f"/>
        </w:rPr>
        <w:drawing>
          <wp:inline distB="19050" distT="19050" distL="19050" distR="19050">
            <wp:extent cx="192733" cy="250552"/>
            <wp:effectExtent b="0" l="0" r="0" t="0"/>
            <wp:docPr id="100" name="image83.png"/>
            <a:graphic>
              <a:graphicData uri="http://schemas.openxmlformats.org/drawingml/2006/picture">
                <pic:pic>
                  <pic:nvPicPr>
                    <pic:cNvPr id="0" name="image83.png"/>
                    <pic:cNvPicPr preferRelativeResize="0"/>
                  </pic:nvPicPr>
                  <pic:blipFill>
                    <a:blip r:embed="rId17"/>
                    <a:srcRect b="0" l="0" r="0" t="0"/>
                    <a:stretch>
                      <a:fillRect/>
                    </a:stretch>
                  </pic:blipFill>
                  <pic:spPr>
                    <a:xfrm>
                      <a:off x="0" y="0"/>
                      <a:ext cx="192733"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2733" cy="250552"/>
            <wp:effectExtent b="0" l="0" r="0" t="0"/>
            <wp:docPr id="101" name="image96.png"/>
            <a:graphic>
              <a:graphicData uri="http://schemas.openxmlformats.org/drawingml/2006/picture">
                <pic:pic>
                  <pic:nvPicPr>
                    <pic:cNvPr id="0" name="image96.png"/>
                    <pic:cNvPicPr preferRelativeResize="0"/>
                  </pic:nvPicPr>
                  <pic:blipFill>
                    <a:blip r:embed="rId18"/>
                    <a:srcRect b="0" l="0" r="0" t="0"/>
                    <a:stretch>
                      <a:fillRect/>
                    </a:stretch>
                  </pic:blipFill>
                  <pic:spPr>
                    <a:xfrm>
                      <a:off x="0" y="0"/>
                      <a:ext cx="192733"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code must detect the transition point using the vapor pressure module and inject the latent heat of vaporization (</w:t>
      </w:r>
      <w:r w:rsidDel="00000000" w:rsidR="00000000" w:rsidRPr="00000000">
        <w:rPr>
          <w:rFonts w:ascii="Google Sans" w:cs="Google Sans" w:eastAsia="Google Sans" w:hAnsi="Google Sans"/>
          <w:color w:val="1f1f1f"/>
        </w:rPr>
        <w:drawing>
          <wp:inline distB="19050" distT="19050" distL="19050" distR="19050">
            <wp:extent cx="548878" cy="246049"/>
            <wp:effectExtent b="0" l="0" r="0" t="0"/>
            <wp:docPr id="102"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548878" cy="2460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the exact saturation temperature.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Entropy Change Dynamics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to enthalpy, entropy change calculations are highly sensitive to integration methodology and pressure dependencies. A ubiquitous error is neglecting the pressure correction term for non-ideal gases when evaluating the entropy differential (</w:t>
      </w:r>
      <w:r w:rsidDel="00000000" w:rsidR="00000000" w:rsidRPr="00000000">
        <w:rPr>
          <w:rFonts w:ascii="Google Sans" w:cs="Google Sans" w:eastAsia="Google Sans" w:hAnsi="Google Sans"/>
          <w:color w:val="1f1f1f"/>
        </w:rPr>
        <w:drawing>
          <wp:inline distB="19050" distT="19050" distL="19050" distR="19050">
            <wp:extent cx="294680" cy="247151"/>
            <wp:effectExtent b="0" l="0" r="0" t="0"/>
            <wp:docPr id="103"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294680" cy="247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 calculators often assume ideal behavior, utilizing only the temperature integral.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and mathematically defensible formula must account for both temperature and pressure dependencies simultaneously. The correct formulation is </w:t>
      </w:r>
      <w:r w:rsidDel="00000000" w:rsidR="00000000" w:rsidRPr="00000000">
        <w:rPr>
          <w:rFonts w:ascii="Google Sans" w:cs="Google Sans" w:eastAsia="Google Sans" w:hAnsi="Google Sans"/>
          <w:color w:val="1f1f1f"/>
        </w:rPr>
        <w:drawing>
          <wp:inline distB="19050" distT="19050" distL="19050" distR="19050">
            <wp:extent cx="3396558" cy="352024"/>
            <wp:effectExtent b="0" l="0" r="0" t="0"/>
            <wp:docPr id="104"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3396558" cy="352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advanced module must calculate the residual entropy component utilizing derivative functions derived directly from the previously established cubic Equation of State. This requires the algorithm to evaluate the partial derivative of pressure with respect to temperature at constant volume, a step that requires exact analytical derivatives rather than computationally expensive and unstable finite difference approximations.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Fugacity Coefficient Estimation in Multi-Component Systems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Fugacity coefficients (</w:t>
      </w:r>
      <w:r w:rsidDel="00000000" w:rsidR="00000000" w:rsidRPr="00000000">
        <w:rPr>
          <w:rFonts w:ascii="Google Sans" w:cs="Google Sans" w:eastAsia="Google Sans" w:hAnsi="Google Sans"/>
          <w:color w:val="1f1f1f"/>
        </w:rPr>
        <w:drawing>
          <wp:inline distB="19050" distT="19050" distL="19050" distR="19050">
            <wp:extent cx="116830" cy="253131"/>
            <wp:effectExtent b="0" l="0" r="0" t="0"/>
            <wp:docPr id="105" name="image93.png"/>
            <a:graphic>
              <a:graphicData uri="http://schemas.openxmlformats.org/drawingml/2006/picture">
                <pic:pic>
                  <pic:nvPicPr>
                    <pic:cNvPr id="0" name="image93.png"/>
                    <pic:cNvPicPr preferRelativeResize="0"/>
                  </pic:nvPicPr>
                  <pic:blipFill>
                    <a:blip r:embed="rId22"/>
                    <a:srcRect b="0" l="0" r="0" t="0"/>
                    <a:stretch>
                      <a:fillRect/>
                    </a:stretch>
                  </pic:blipFill>
                  <pic:spPr>
                    <a:xfrm>
                      <a:off x="0" y="0"/>
                      <a:ext cx="116830" cy="253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 as the primary corrective mechanism for non-ideality in phase equilibrium calculations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major computational vulnerability arises from the improper handling of mixing rules in multi-component systems. Many platforms default to ideal mixing assumptions, effectively setting all Binary Interaction Parameters (BIPs) to zero. This renders the calculator useless for separating azeotropic or highly interactive mixtures.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correct this, the advanced tab must integrate a matrix of Binary Interaction Parameters (</w:t>
      </w:r>
      <w:r w:rsidDel="00000000" w:rsidR="00000000" w:rsidRPr="00000000">
        <w:rPr>
          <w:rFonts w:ascii="Google Sans" w:cs="Google Sans" w:eastAsia="Google Sans" w:hAnsi="Google Sans"/>
          <w:color w:val="1f1f1f"/>
        </w:rPr>
        <w:drawing>
          <wp:inline distB="19050" distT="19050" distL="19050" distR="19050">
            <wp:extent cx="223391" cy="252529"/>
            <wp:effectExtent b="0" l="0" r="0" t="0"/>
            <wp:docPr id="106" name="image91.png"/>
            <a:graphic>
              <a:graphicData uri="http://schemas.openxmlformats.org/drawingml/2006/picture">
                <pic:pic>
                  <pic:nvPicPr>
                    <pic:cNvPr id="0" name="image91.png"/>
                    <pic:cNvPicPr preferRelativeResize="0"/>
                  </pic:nvPicPr>
                  <pic:blipFill>
                    <a:blip r:embed="rId23"/>
                    <a:srcRect b="0" l="0" r="0" t="0"/>
                    <a:stretch>
                      <a:fillRect/>
                    </a:stretch>
                  </pic:blipFill>
                  <pic:spPr>
                    <a:xfrm>
                      <a:off x="0" y="0"/>
                      <a:ext cx="223391" cy="252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dynamically linked to the user's component selection. The calculation of the fugacity coefficient for species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107" name="image88.png"/>
            <a:graphic>
              <a:graphicData uri="http://schemas.openxmlformats.org/drawingml/2006/picture">
                <pic:pic>
                  <pic:nvPicPr>
                    <pic:cNvPr id="0" name="image88.png"/>
                    <pic:cNvPicPr preferRelativeResize="0"/>
                  </pic:nvPicPr>
                  <pic:blipFill>
                    <a:blip r:embed="rId24"/>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mixture using an EOS requires complex partial volumetric derivatives. The numerical engine must compute </w:t>
      </w:r>
      <w:r w:rsidDel="00000000" w:rsidR="00000000" w:rsidRPr="00000000">
        <w:rPr>
          <w:rFonts w:ascii="Google Sans" w:cs="Google Sans" w:eastAsia="Google Sans" w:hAnsi="Google Sans"/>
          <w:color w:val="1f1f1f"/>
        </w:rPr>
        <w:drawing>
          <wp:inline distB="19050" distT="19050" distL="19050" distR="19050">
            <wp:extent cx="3716236" cy="466912"/>
            <wp:effectExtent b="0" l="0" r="0" t="0"/>
            <wp:docPr id="72" name="image70.png"/>
            <a:graphic>
              <a:graphicData uri="http://schemas.openxmlformats.org/drawingml/2006/picture">
                <pic:pic>
                  <pic:nvPicPr>
                    <pic:cNvPr id="0" name="image70.png"/>
                    <pic:cNvPicPr preferRelativeResize="0"/>
                  </pic:nvPicPr>
                  <pic:blipFill>
                    <a:blip r:embed="rId25"/>
                    <a:srcRect b="0" l="0" r="0" t="0"/>
                    <a:stretch>
                      <a:fillRect/>
                    </a:stretch>
                  </pic:blipFill>
                  <pic:spPr>
                    <a:xfrm>
                      <a:off x="0" y="0"/>
                      <a:ext cx="3716236" cy="466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implementation of the van der Waals one-fluid mixing rules is mandatory here, requiring nested loops that iterate over the molar fractions of all species present to determine the mixture's overarching attraction and repulsion parameters.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Activity Coefficient Models for Liquid Non-Ideality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highly non-ideal liquid mixtures, such as those found in polymer synthesis or complex solvent recovery, relying on fugacity alone is insufficient; activity coefficients (</w:t>
      </w:r>
      <w:r w:rsidDel="00000000" w:rsidR="00000000" w:rsidRPr="00000000">
        <w:rPr>
          <w:rFonts w:ascii="Google Sans" w:cs="Google Sans" w:eastAsia="Google Sans" w:hAnsi="Google Sans"/>
          <w:color w:val="1f1f1f"/>
        </w:rPr>
        <w:drawing>
          <wp:inline distB="19050" distT="19050" distL="19050" distR="19050">
            <wp:extent cx="112365" cy="243459"/>
            <wp:effectExtent b="0" l="0" r="0" t="0"/>
            <wp:docPr id="73" name="image67.png"/>
            <a:graphic>
              <a:graphicData uri="http://schemas.openxmlformats.org/drawingml/2006/picture">
                <pic:pic>
                  <pic:nvPicPr>
                    <pic:cNvPr id="0" name="image67.png"/>
                    <pic:cNvPicPr preferRelativeResize="0"/>
                  </pic:nvPicPr>
                  <pic:blipFill>
                    <a:blip r:embed="rId26"/>
                    <a:srcRect b="0" l="0" r="0" t="0"/>
                    <a:stretch>
                      <a:fillRect/>
                    </a:stretch>
                  </pic:blipFill>
                  <pic:spPr>
                    <a:xfrm>
                      <a:off x="0" y="0"/>
                      <a:ext cx="112365" cy="243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mandatory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common oversight is utilizing outdated or overly simplistic models like the Margules or Van Laar equations for highly polar, multi-component azeotropic systems. These models mathematically fail to predict partial miscibility or multi-component phase splitting.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codebase must be upgraded to support local composition models, specifically the Non-Random Two-Liquid (NRTL) model or the Universal Quasi-Chemical (UNIQUAC) model. For predictive capabilities where experimental data is absent, the advanced tab must feature the UNIFAC (UNIQUAC Functional-group Activity Coefficients) group-contribution method. The implementation of UNIFAC requires a substantial underlying database of structural group interaction parameters, necessitating efficient data retrieval algorithms to construct the combinatorial and residual components of the activity coefficient on the fly.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Clapeyron Equation and Steam Property Formulations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tables are the foundational reference for utility and power engineering. Industrial users require exacting precision, making empirical curve fits completely unacceptable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prevalent error is the use of disjointed polynomials for superheated, saturated, and subcooled steam properties, which leads to thermodynamic discontinuities at the phase boundaries, crashing simulation solvers that rely on smooth derivatives.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advanced tab must rigorously implement the strict formulations of the IAPWS-IF97 (International Association for the Properties of Water and Steam) standard. The algorithm must include complex conditional logic to initially determine the correct state region (Region 1 through 5) based on user inputs (e.g., pressure and temperature, or pressure and enthalpy). Once the region is identified, the code must evaluate the specific fundamental equation for the specific Gibbs free energy or Helmholtz free energy, from which all other thermodynamic properties—density, internal energy, entropy, and heat capacities—are derived via strict mathematical differentiation, ensuring absolute thermodynamic consistency across all phase boundaries.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Fluid Mechanics and Transport Phenomena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Fluid transport algorithms require robust handling of nonlinear friction geometries, compressible flow dynamics, and non-Newtonian behaviors. Simplified formulas designed for water in smooth pipes translate poorly to industrial chemical transfer lines.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Reynolds Number and Complex Rheology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computation of the basic Reynolds number is mathematically trivial, advanced tabs must be equipped to handle complex rheological behaviors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severe computational error involves uniformly applying the Newtonian Reynolds formula (</w:t>
      </w:r>
      <w:r w:rsidDel="00000000" w:rsidR="00000000" w:rsidRPr="00000000">
        <w:rPr>
          <w:rFonts w:ascii="Google Sans" w:cs="Google Sans" w:eastAsia="Google Sans" w:hAnsi="Google Sans"/>
          <w:color w:val="1f1f1f"/>
        </w:rPr>
        <w:drawing>
          <wp:inline distB="19050" distT="19050" distL="19050" distR="19050">
            <wp:extent cx="816322" cy="275271"/>
            <wp:effectExtent b="0" l="0" r="0" t="0"/>
            <wp:docPr id="74" name="image69.png"/>
            <a:graphic>
              <a:graphicData uri="http://schemas.openxmlformats.org/drawingml/2006/picture">
                <pic:pic>
                  <pic:nvPicPr>
                    <pic:cNvPr id="0" name="image69.png"/>
                    <pic:cNvPicPr preferRelativeResize="0"/>
                  </pic:nvPicPr>
                  <pic:blipFill>
                    <a:blip r:embed="rId27"/>
                    <a:srcRect b="0" l="0" r="0" t="0"/>
                    <a:stretch>
                      <a:fillRect/>
                    </a:stretch>
                  </pic:blipFill>
                  <pic:spPr>
                    <a:xfrm>
                      <a:off x="0" y="0"/>
                      <a:ext cx="816322" cy="275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polymer melts, drilling muds, or heavy slurries. This results in misclassifying turbulent flows as laminar, leading to catastrophic underestimations of pressure drop.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non-Newtonian fluids, the advanced code must query the fluid type and dynamically shift to the Generalized Reynolds Number (</w:t>
      </w:r>
      <w:r w:rsidDel="00000000" w:rsidR="00000000" w:rsidRPr="00000000">
        <w:rPr>
          <w:rFonts w:ascii="Google Sans" w:cs="Google Sans" w:eastAsia="Google Sans" w:hAnsi="Google Sans"/>
          <w:color w:val="1f1f1f"/>
        </w:rPr>
        <w:drawing>
          <wp:inline distB="19050" distT="19050" distL="19050" distR="19050">
            <wp:extent cx="321766" cy="246056"/>
            <wp:effectExtent b="0" l="0" r="0" t="0"/>
            <wp:docPr id="75"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321766" cy="246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power-law fluids. The required formulation is </w:t>
      </w:r>
      <w:r w:rsidDel="00000000" w:rsidR="00000000" w:rsidRPr="00000000">
        <w:rPr>
          <w:rFonts w:ascii="Google Sans" w:cs="Google Sans" w:eastAsia="Google Sans" w:hAnsi="Google Sans"/>
          <w:color w:val="1f1f1f"/>
        </w:rPr>
        <w:drawing>
          <wp:inline distB="19050" distT="19050" distL="19050" distR="19050">
            <wp:extent cx="1518790" cy="372533"/>
            <wp:effectExtent b="0" l="0" r="0" t="0"/>
            <wp:docPr id="76"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1518790" cy="372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77" name="image62.png"/>
            <a:graphic>
              <a:graphicData uri="http://schemas.openxmlformats.org/drawingml/2006/picture">
                <pic:pic>
                  <pic:nvPicPr>
                    <pic:cNvPr id="0" name="image62.png"/>
                    <pic:cNvPicPr preferRelativeResize="0"/>
                  </pic:nvPicPr>
                  <pic:blipFill>
                    <a:blip r:embed="rId30"/>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flow behavior index and </w:t>
      </w:r>
      <w:r w:rsidDel="00000000" w:rsidR="00000000" w:rsidRPr="00000000">
        <w:rPr>
          <w:rFonts w:ascii="Google Sans" w:cs="Google Sans" w:eastAsia="Google Sans" w:hAnsi="Google Sans"/>
          <w:color w:val="1f1f1f"/>
        </w:rPr>
        <w:drawing>
          <wp:inline distB="19050" distT="19050" distL="19050" distR="19050">
            <wp:extent cx="180380" cy="246835"/>
            <wp:effectExtent b="0" l="0" r="0" t="0"/>
            <wp:docPr id="78"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180380"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fluid consistency index. Furthermore, for Bingham plastic fluids that require a yield stress to initiate flow, the algorithm must simultaneously calculate the Hedström number to accurately map the transition boundaries between laminar and turbulent flow regimes.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Friction Factor and Implicit Equation Solving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Friction factor estimation is notoriously error-prone due to the implicit nature of the governing mathematical models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frequent error in web-based engineering calculators is the utilization of explicit approximations, such as the Haaland or Swamee-Jain equations, without notifying the user of the inherent 1% to 3% margin of error compared to the exact solution.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correct methodology demands that the exact Colebrook-White equation be solved iteratively for the Darcy friction factor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79"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equation, </w:t>
      </w:r>
      <w:r w:rsidDel="00000000" w:rsidR="00000000" w:rsidRPr="00000000">
        <w:rPr>
          <w:rFonts w:ascii="Google Sans" w:cs="Google Sans" w:eastAsia="Google Sans" w:hAnsi="Google Sans"/>
          <w:color w:val="1f1f1f"/>
        </w:rPr>
        <w:drawing>
          <wp:inline distB="19050" distT="19050" distL="19050" distR="19050">
            <wp:extent cx="2444648" cy="351953"/>
            <wp:effectExtent b="0" l="0" r="0" t="0"/>
            <wp:docPr id="80"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2444648" cy="3519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cannot be algebraically isolated for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81"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optimal computational architecture must utilize the explicit Swamee-Jain equation strictly to generate an initial, highly accurate seed value, followed by a Newton-Raphson or Halley's method root-finding loop. The loop must be programmed with a strict convergence tolerance of </w:t>
      </w:r>
      <w:r w:rsidDel="00000000" w:rsidR="00000000" w:rsidRPr="00000000">
        <w:rPr>
          <w:rFonts w:ascii="Google Sans" w:cs="Google Sans" w:eastAsia="Google Sans" w:hAnsi="Google Sans"/>
          <w:color w:val="1f1f1f"/>
        </w:rPr>
        <w:drawing>
          <wp:inline distB="19050" distT="19050" distL="19050" distR="19050">
            <wp:extent cx="718691" cy="239564"/>
            <wp:effectExtent b="0" l="0" r="0" t="0"/>
            <wp:docPr id="17"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718691" cy="239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ensure precision, incorporating an iteration cap (e.g., 50 iterations) to prevent infinite loops in the event of unrealistic user inputs.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Compressible Pressure Drop Modeling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pipe flow calculations frequently fail when analyzing high-velocity gas systems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Treating a highly compressible gas as an incompressible fluid by using the standard Darcy-Weisbach equation ignores the expansion of the gas as pressure decreases along the pipe length, completely failing to account for kinetic energy changes and density reductions.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computational accuracy, the advanced tab must actively monitor the Mach number of the flow. If the Mach number exceeds 0.3, the system must trigger compressible flow algorithms. For long-distance natural gas pipelines, the module must utilize the Weymouth or Panhandle A and B equations, adjusting for pipe inclination and varying compressibility factors along the pipeline route. For shorter, high-velocity transfer lines, the code must analytically integrate the general mechanical energy balance, navigating the constraints of Fanno line flow (adiabatic conditions with friction) or Rayleigh line flow (diabatic conditions without friction), accurately predicting the onset of choked flow where the fluid reaches sonic velocity at the pipe exit.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Rate, Velocity, and Density Conversions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Mass-to-volumetric flow conversions are superficially simple but must be dynamically linked to the overarching thermodynamic state arrays to maintain accuracy. A common operational error programmed into basic calculators is the utilization of Standard Temperature and Pressure (STP) densities for all flow conversions, ignoring the actual operating conditions of the fluid line.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correct algorithmic structure must dynamically recalculate the fluid density based on the exact operating temperature and pressure supplied by the user, utilizing the integrated Equation of State module. The mass-to-volumetric conversion formula, </w:t>
      </w:r>
      <w:r w:rsidDel="00000000" w:rsidR="00000000" w:rsidRPr="00000000">
        <w:rPr>
          <w:rFonts w:ascii="Google Sans" w:cs="Google Sans" w:eastAsia="Google Sans" w:hAnsi="Google Sans"/>
          <w:color w:val="1f1f1f"/>
        </w:rPr>
        <w:drawing>
          <wp:inline distB="19050" distT="19050" distL="19050" distR="19050">
            <wp:extent cx="1271292" cy="277199"/>
            <wp:effectExtent b="0" l="0" r="0" t="0"/>
            <wp:docPr id="1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1271292" cy="277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dynamically update in real-time. Additionally, if the fluid is a compressible gas, the advanced tab must provide outputs in both Actual Cubic Feet per Minute (ACFM) and Standard Cubic Feet per Minute (SCFM), applying the ideal gas law correction factors to bridge the actual and standard state volumes accurately.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Pump Specific Speed and Dimensional Integrity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speed (</w:t>
      </w:r>
      <w:r w:rsidDel="00000000" w:rsidR="00000000" w:rsidRPr="00000000">
        <w:rPr>
          <w:rFonts w:ascii="Google Sans" w:cs="Google Sans" w:eastAsia="Google Sans" w:hAnsi="Google Sans"/>
          <w:color w:val="1f1f1f"/>
        </w:rPr>
        <w:drawing>
          <wp:inline distB="19050" distT="19050" distL="19050" distR="19050">
            <wp:extent cx="231428" cy="250714"/>
            <wp:effectExtent b="0" l="0" r="0" t="0"/>
            <wp:docPr id="20"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231428" cy="250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fundamental metric used to dictate the mechanical selection of pump impeller geometries, ranging from radial to axial flow designs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severe error found in many open-source computational tools is the failure to distinguish between varying unit systems, specifically US Customary Units (where speed is RPM, flow is GPM, and head is feet) and Metric Units, resulting in order-of-magnitude algorithmic errors that recommend entirely incorrect pump classes.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calculation engine must heavily enforce dimensional constraints on the formula </w:t>
      </w:r>
      <w:r w:rsidDel="00000000" w:rsidR="00000000" w:rsidRPr="00000000">
        <w:rPr>
          <w:rFonts w:ascii="Google Sans" w:cs="Google Sans" w:eastAsia="Google Sans" w:hAnsi="Google Sans"/>
          <w:color w:val="1f1f1f"/>
        </w:rPr>
        <w:drawing>
          <wp:inline distB="19050" distT="19050" distL="19050" distR="19050">
            <wp:extent cx="887016" cy="276596"/>
            <wp:effectExtent b="0" l="0" r="0" t="0"/>
            <wp:docPr id="21"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887016" cy="2765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advanced tab must feature strict unit toggles and dynamically switch the threshold recommendations based on the active unit system. If US Customary units are selected, the algorithm must output specific mechanical guidance: indicating radial flow impellers for an </w:t>
      </w:r>
      <w:r w:rsidDel="00000000" w:rsidR="00000000" w:rsidRPr="00000000">
        <w:rPr>
          <w:rFonts w:ascii="Google Sans" w:cs="Google Sans" w:eastAsia="Google Sans" w:hAnsi="Google Sans"/>
          <w:color w:val="1f1f1f"/>
        </w:rPr>
        <w:drawing>
          <wp:inline distB="19050" distT="19050" distL="19050" distR="19050">
            <wp:extent cx="231428" cy="250714"/>
            <wp:effectExtent b="0" l="0" r="0" t="0"/>
            <wp:docPr id="2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231428" cy="250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below 1500, mixed flow impellers for an </w:t>
      </w:r>
      <w:r w:rsidDel="00000000" w:rsidR="00000000" w:rsidRPr="00000000">
        <w:rPr>
          <w:rFonts w:ascii="Google Sans" w:cs="Google Sans" w:eastAsia="Google Sans" w:hAnsi="Google Sans"/>
          <w:color w:val="1f1f1f"/>
        </w:rPr>
        <w:drawing>
          <wp:inline distB="19050" distT="19050" distL="19050" distR="19050">
            <wp:extent cx="231428" cy="250714"/>
            <wp:effectExtent b="0" l="0" r="0" t="0"/>
            <wp:docPr id="23"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231428" cy="250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1500 and 5000, and axial flow propellers for an </w:t>
      </w:r>
      <w:r w:rsidDel="00000000" w:rsidR="00000000" w:rsidRPr="00000000">
        <w:rPr>
          <w:rFonts w:ascii="Google Sans" w:cs="Google Sans" w:eastAsia="Google Sans" w:hAnsi="Google Sans"/>
          <w:color w:val="1f1f1f"/>
        </w:rPr>
        <w:drawing>
          <wp:inline distB="19050" distT="19050" distL="19050" distR="19050">
            <wp:extent cx="231428" cy="250714"/>
            <wp:effectExtent b="0" l="0" r="0" t="0"/>
            <wp:docPr id="24"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231428" cy="250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exceeding 5000.</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Impeller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Customary Ns​ Thresholds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nq​ Thresholds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Industrial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Radial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8736" cy="237594"/>
                  <wp:effectExtent b="0" l="0" r="0" t="0"/>
                  <wp:docPr id="25"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98736" cy="23759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2878" cy="239808"/>
                  <wp:effectExtent b="0" l="0" r="0" t="0"/>
                  <wp:docPr id="26"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402878" cy="23980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Head, Low Flow (Boiler Feed)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Mixed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23195" cy="239064"/>
                  <wp:effectExtent b="0" l="0" r="0" t="0"/>
                  <wp:docPr id="27"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1023195" cy="23906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29406" cy="236820"/>
                  <wp:effectExtent b="0" l="0" r="0" t="0"/>
                  <wp:docPr id="1"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729406" cy="2368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Head, Medium Flow (Cooling Water)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Axial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8736" cy="237594"/>
                  <wp:effectExtent b="0" l="0" r="0" t="0"/>
                  <wp:docPr id="2"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8736" cy="23759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0806" cy="236229"/>
                  <wp:effectExtent b="0" l="0" r="0" t="0"/>
                  <wp:docPr id="3"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00806" cy="23622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Head, High Flow (Flood Control)</w:t>
            </w:r>
          </w:p>
        </w:tc>
      </w:tr>
    </w:tbl>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Pump Affinity Laws and Efficiency Degradation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Centrifugal pump scaling relies heavily on Affinity Laws, but these mathematical projections possess strict physical limitations that calculators frequently ignore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Applying Affinity Laws across massive impeller diameter trims or extreme variable frequency drive (VFD) speed changes introduces massive errors by ignoring the non-linear deterioration of pump mechanical and volumetric efficiency.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advanced computational tab must cap standard Affinity Law projections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base equations dictate that volumetric flow scales linearly with speed (</w:t>
      </w:r>
      <w:r w:rsidDel="00000000" w:rsidR="00000000" w:rsidRPr="00000000">
        <w:rPr>
          <w:rFonts w:ascii="Google Sans" w:cs="Google Sans" w:eastAsia="Google Sans" w:hAnsi="Google Sans"/>
          <w:color w:val="1f1f1f"/>
        </w:rPr>
        <w:drawing>
          <wp:inline distB="19050" distT="19050" distL="19050" distR="19050">
            <wp:extent cx="690563" cy="274333"/>
            <wp:effectExtent b="0" l="0" r="0" t="0"/>
            <wp:docPr id="4"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690563" cy="274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power scales cubically (</w:t>
      </w:r>
      <w:r w:rsidDel="00000000" w:rsidR="00000000" w:rsidRPr="00000000">
        <w:rPr>
          <w:rFonts w:ascii="Google Sans" w:cs="Google Sans" w:eastAsia="Google Sans" w:hAnsi="Google Sans"/>
          <w:color w:val="1f1f1f"/>
        </w:rPr>
        <w:drawing>
          <wp:inline distB="19050" distT="19050" distL="19050" distR="19050">
            <wp:extent cx="982418" cy="391060"/>
            <wp:effectExtent b="0" l="0" r="0" t="0"/>
            <wp:docPr id="5"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982418" cy="3910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code must actively monitor the speed variance ratio. If the speed change exceeds </w:t>
      </w:r>
      <w:r w:rsidDel="00000000" w:rsidR="00000000" w:rsidRPr="00000000">
        <w:rPr>
          <w:rFonts w:ascii="Google Sans" w:cs="Google Sans" w:eastAsia="Google Sans" w:hAnsi="Google Sans"/>
          <w:color w:val="1f1f1f"/>
        </w:rPr>
        <w:drawing>
          <wp:inline distB="19050" distT="19050" distL="19050" distR="19050">
            <wp:extent cx="511820" cy="236954"/>
            <wp:effectExtent b="0" l="0" r="0" t="0"/>
            <wp:docPr id="6"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11820" cy="236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calculator must trigger a warning and apply an empirical efficiency correction factor, reducing the projected efficiency based on the divergence from the pump's Best Efficiency Point (BEP).</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Positive Suction Head (NPSH) and Cavitation Physics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Cavitation prevention is a critical safety parameter in process design. A frequent computational failure involves calculating the fluid's vapor pressure (</w:t>
      </w:r>
      <w:r w:rsidDel="00000000" w:rsidR="00000000" w:rsidRPr="00000000">
        <w:rPr>
          <w:rFonts w:ascii="Google Sans" w:cs="Google Sans" w:eastAsia="Google Sans" w:hAnsi="Google Sans"/>
          <w:color w:val="1f1f1f"/>
        </w:rPr>
        <w:drawing>
          <wp:inline distB="19050" distT="19050" distL="19050" distR="19050">
            <wp:extent cx="207020" cy="244660"/>
            <wp:effectExtent b="0" l="0" r="0" t="0"/>
            <wp:docPr id="7"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207020" cy="244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the bulk storage tank temperature rather than the highest localized temperature expected at the pump impeller eye.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 Positive Suction Head Available (</w:t>
      </w:r>
      <w:r w:rsidDel="00000000" w:rsidR="00000000" w:rsidRPr="00000000">
        <w:rPr>
          <w:rFonts w:ascii="Google Sans" w:cs="Google Sans" w:eastAsia="Google Sans" w:hAnsi="Google Sans"/>
          <w:color w:val="1f1f1f"/>
        </w:rPr>
        <w:drawing>
          <wp:inline distB="19050" distT="19050" distL="19050" distR="19050">
            <wp:extent cx="659606" cy="248547"/>
            <wp:effectExtent b="0" l="0" r="0" t="0"/>
            <wp:docPr id="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659606" cy="248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formula, </w:t>
      </w:r>
      <w:r w:rsidDel="00000000" w:rsidR="00000000" w:rsidRPr="00000000">
        <w:rPr>
          <w:rFonts w:ascii="Google Sans" w:cs="Google Sans" w:eastAsia="Google Sans" w:hAnsi="Google Sans"/>
          <w:color w:val="1f1f1f"/>
        </w:rPr>
        <w:drawing>
          <wp:inline distB="19050" distT="19050" distL="19050" distR="19050">
            <wp:extent cx="2475605" cy="295168"/>
            <wp:effectExtent b="0" l="0" r="0" t="0"/>
            <wp:docPr id="9"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2475605" cy="295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relies entirely on accurate vapor pressure. The advanced tab must dynamically interface with the Antoine or Wagner equation module to continuously update </w:t>
      </w:r>
      <w:r w:rsidDel="00000000" w:rsidR="00000000" w:rsidRPr="00000000">
        <w:rPr>
          <w:rFonts w:ascii="Google Sans" w:cs="Google Sans" w:eastAsia="Google Sans" w:hAnsi="Google Sans"/>
          <w:color w:val="1f1f1f"/>
        </w:rPr>
        <w:drawing>
          <wp:inline distB="19050" distT="19050" distL="19050" distR="19050">
            <wp:extent cx="207020" cy="244660"/>
            <wp:effectExtent b="0" l="0" r="0" t="0"/>
            <wp:docPr id="10"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207020" cy="244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extreme thermal boundary conditions, including the heat added to the fluid by the friction within the suction piping itself. The calculator must mathematically guarantee a minimum safety margin (typically 3 feet or 1 meter) between the available NPSH and the required NPSH provided by pump manufacturers.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Two-Phase Flow Void Fraction and Sizing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Two-phase fluid dynamics require computational models entirely distinct from single-phase flow. A common and catastrophic error is treating a vapor-liquid mixture as a homogeneous fluid and simply averaging the properties based on mass fraction, a method that completely ignores slip velocity and distinct flow regime geometries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required methodology demands that the algorithm calculate the Lockhart-Martinelli parameter (</w:t>
      </w:r>
      <w:r w:rsidDel="00000000" w:rsidR="00000000" w:rsidRPr="00000000">
        <w:rPr>
          <w:rFonts w:ascii="Google Sans" w:cs="Google Sans" w:eastAsia="Google Sans" w:hAnsi="Google Sans"/>
          <w:color w:val="1f1f1f"/>
        </w:rPr>
        <w:drawing>
          <wp:inline distB="19050" distT="19050" distL="19050" distR="19050">
            <wp:extent cx="122783" cy="245566"/>
            <wp:effectExtent b="0" l="0" r="0" t="0"/>
            <wp:docPr id="40"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122783" cy="245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ascertain the dominance of the liquid versus the gas phase. Depending on this parameter, the code must utilize specialized correlations, such as the Chisholm correlation or the Friedel correlation, to estimate the two-phase frictional pressure drop multiplier (</w:t>
      </w:r>
      <w:r w:rsidDel="00000000" w:rsidR="00000000" w:rsidRPr="00000000">
        <w:rPr>
          <w:rFonts w:ascii="Google Sans" w:cs="Google Sans" w:eastAsia="Google Sans" w:hAnsi="Google Sans"/>
          <w:color w:val="1f1f1f"/>
        </w:rPr>
        <w:drawing>
          <wp:inline distB="19050" distT="19050" distL="19050" distR="19050">
            <wp:extent cx="353020" cy="238527"/>
            <wp:effectExtent b="0" l="0" r="0" t="0"/>
            <wp:docPr id="41"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353020" cy="238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Furthermore, the advanced tool must accurately predict the void fraction (</w:t>
      </w:r>
      <w:r w:rsidDel="00000000" w:rsidR="00000000" w:rsidRPr="00000000">
        <w:rPr>
          <w:rFonts w:ascii="Google Sans" w:cs="Google Sans" w:eastAsia="Google Sans" w:hAnsi="Google Sans"/>
          <w:color w:val="1f1f1f"/>
        </w:rPr>
        <w:drawing>
          <wp:inline distB="19050" distT="19050" distL="19050" distR="19050">
            <wp:extent cx="126058" cy="252115"/>
            <wp:effectExtent b="0" l="0" r="0" t="0"/>
            <wp:docPr id="42"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126058" cy="252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determine the actual liquid holdup in the pipe, dynamically identifying whether the fluid is operating in a bubbly, slug, or annular flow regime.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Heat Transfer and Thermal Dynamics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modules must seamlessly manage phase changes, fluid property variations across extreme temperature gradients, and non-linear driving forces associated with radiant heat.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 Exchanger Duty (LMTD and </w:t>
      </w:r>
      <w:r w:rsidDel="00000000" w:rsidR="00000000" w:rsidRPr="00000000">
        <w:rPr>
          <w:rFonts w:ascii="Google Sans" w:cs="Google Sans" w:eastAsia="Google Sans" w:hAnsi="Google Sans"/>
          <w:color w:val="1f1f1f"/>
        </w:rPr>
        <w:drawing>
          <wp:inline distB="19050" distT="19050" distL="19050" distR="19050">
            <wp:extent cx="79623" cy="258775"/>
            <wp:effectExtent b="0" l="0" r="0" t="0"/>
            <wp:docPr id="43"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79623" cy="25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-NTU)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Logarithmic Mean Temperature Difference (LMTD) method is the industry standard for heat exchanger sizing, yet it contains a critical mathematical vulnerability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standard codebase will inevitably crash—triggering a division by zero error—when the temperature differences at both ends of the heat exchanger are perfectly equal (</w:t>
      </w:r>
      <w:r w:rsidDel="00000000" w:rsidR="00000000" w:rsidRPr="00000000">
        <w:rPr>
          <w:rFonts w:ascii="Google Sans" w:cs="Google Sans" w:eastAsia="Google Sans" w:hAnsi="Google Sans"/>
          <w:color w:val="1f1f1f"/>
        </w:rPr>
        <w:drawing>
          <wp:inline distB="19050" distT="19050" distL="19050" distR="19050">
            <wp:extent cx="973188" cy="248068"/>
            <wp:effectExtent b="0" l="0" r="0" t="0"/>
            <wp:docPr id="44"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973188" cy="248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scenario common in balanced counter-current flow.</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correct computational algorithm must proactively evaluate the temperature differentials before executing the LMTD calculation. If the absolute difference </w:t>
      </w:r>
      <w:r w:rsidDel="00000000" w:rsidR="00000000" w:rsidRPr="00000000">
        <w:rPr>
          <w:rFonts w:ascii="Google Sans" w:cs="Google Sans" w:eastAsia="Google Sans" w:hAnsi="Google Sans"/>
          <w:color w:val="1f1f1f"/>
        </w:rPr>
        <w:drawing>
          <wp:inline distB="19050" distT="19050" distL="19050" distR="19050">
            <wp:extent cx="1060399" cy="248382"/>
            <wp:effectExtent b="0" l="0" r="0" t="0"/>
            <wp:docPr id="45"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1060399" cy="248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falls below a highly strict tolerance limit (e.g., </w:t>
      </w:r>
      <w:r w:rsidDel="00000000" w:rsidR="00000000" w:rsidRPr="00000000">
        <w:rPr>
          <w:rFonts w:ascii="Google Sans" w:cs="Google Sans" w:eastAsia="Google Sans" w:hAnsi="Google Sans"/>
          <w:color w:val="1f1f1f"/>
        </w:rPr>
        <w:drawing>
          <wp:inline distB="19050" distT="19050" distL="19050" distR="19050">
            <wp:extent cx="718691" cy="239564"/>
            <wp:effectExtent b="0" l="0" r="0" t="0"/>
            <wp:docPr id="46"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718691" cy="239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algorithm must employ L'Hôpital's rule, dynamically switching to the arithmetic mean temperature difference to bypass the singularity. Furthermore, for rating existing networks where outlet temperatures are unknown, recursive solving loops using LMTD are unstable. The advanced tab must instead utilize the Effectiveness-NTU (</w:t>
      </w:r>
      <w:r w:rsidDel="00000000" w:rsidR="00000000" w:rsidRPr="00000000">
        <w:rPr>
          <w:rFonts w:ascii="Google Sans" w:cs="Google Sans" w:eastAsia="Google Sans" w:hAnsi="Google Sans"/>
          <w:color w:val="1f1f1f"/>
        </w:rPr>
        <w:drawing>
          <wp:inline distB="19050" distT="19050" distL="19050" distR="19050">
            <wp:extent cx="79623" cy="258775"/>
            <wp:effectExtent b="0" l="0" r="0" t="0"/>
            <wp:docPr id="47"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79623" cy="25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-NTU) method, calculating the heat capacity rates and applying complex geometric correlation formulas to directly solve for the terminal temperatures.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Cooling Tower Efficiency and Psychrometric Integration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Evaporative cooling systems rely on complex psychrometrics and simultaneous heat and mass transfer. A severe error in basic cooling tower calculators is ignoring the variation of the Lewis number (</w:t>
      </w:r>
      <w:r w:rsidDel="00000000" w:rsidR="00000000" w:rsidRPr="00000000">
        <w:rPr>
          <w:rFonts w:ascii="Google Sans" w:cs="Google Sans" w:eastAsia="Google Sans" w:hAnsi="Google Sans"/>
          <w:color w:val="1f1f1f"/>
        </w:rPr>
        <w:drawing>
          <wp:inline distB="19050" distT="19050" distL="19050" distR="19050">
            <wp:extent cx="224880" cy="243619"/>
            <wp:effectExtent b="0" l="0" r="0" t="0"/>
            <wp:docPr id="48" name="image81.png"/>
            <a:graphic>
              <a:graphicData uri="http://schemas.openxmlformats.org/drawingml/2006/picture">
                <pic:pic>
                  <pic:nvPicPr>
                    <pic:cNvPr id="0" name="image81.png"/>
                    <pic:cNvPicPr preferRelativeResize="0"/>
                  </pic:nvPicPr>
                  <pic:blipFill>
                    <a:blip r:embed="rId57"/>
                    <a:srcRect b="0" l="0" r="0" t="0"/>
                    <a:stretch>
                      <a:fillRect/>
                    </a:stretch>
                  </pic:blipFill>
                  <pic:spPr>
                    <a:xfrm>
                      <a:off x="0" y="0"/>
                      <a:ext cx="224880" cy="243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erroneously assuming that the heat transfer coefficient and mass transfer coefficient remain strictly analogous under all atmospheric conditions (</w:t>
      </w:r>
      <w:r w:rsidDel="00000000" w:rsidR="00000000" w:rsidRPr="00000000">
        <w:rPr>
          <w:rFonts w:ascii="Google Sans" w:cs="Google Sans" w:eastAsia="Google Sans" w:hAnsi="Google Sans"/>
          <w:color w:val="1f1f1f"/>
        </w:rPr>
        <w:drawing>
          <wp:inline distB="19050" distT="19050" distL="19050" distR="19050">
            <wp:extent cx="584150" cy="248982"/>
            <wp:effectExtent b="0" l="0" r="0" t="0"/>
            <wp:docPr id="49"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84150" cy="248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rigorous design of a cooling tower requires the precise integration of the Merkel equation. The advanced tab algorithm must execute the integral: </w:t>
      </w:r>
      <w:r w:rsidDel="00000000" w:rsidR="00000000" w:rsidRPr="00000000">
        <w:rPr>
          <w:rFonts w:ascii="Google Sans" w:cs="Google Sans" w:eastAsia="Google Sans" w:hAnsi="Google Sans"/>
          <w:color w:val="1f1f1f"/>
        </w:rPr>
        <w:drawing>
          <wp:inline distB="19050" distT="19050" distL="19050" distR="19050">
            <wp:extent cx="1436189" cy="294847"/>
            <wp:effectExtent b="0" l="0" r="0" t="0"/>
            <wp:docPr id="39"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1436189" cy="2948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24433" cy="243136"/>
            <wp:effectExtent b="0" l="0" r="0" t="0"/>
            <wp:docPr id="30"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224433" cy="2431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enthalpy of saturated air at the localized water temperature, and </w:t>
      </w:r>
      <w:r w:rsidDel="00000000" w:rsidR="00000000" w:rsidRPr="00000000">
        <w:rPr>
          <w:rFonts w:ascii="Google Sans" w:cs="Google Sans" w:eastAsia="Google Sans" w:hAnsi="Google Sans"/>
          <w:color w:val="1f1f1f"/>
        </w:rPr>
        <w:drawing>
          <wp:inline distB="19050" distT="19050" distL="19050" distR="19050">
            <wp:extent cx="195263" cy="241754"/>
            <wp:effectExtent b="0" l="0" r="0" t="0"/>
            <wp:docPr id="31"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195263" cy="241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enthalpy of the bulk air stream. Because the enthalpy of saturated air is a highly non-linear function of temperature, analytical integration is impossible. The code must deploy a precise numerical integration technique, such as the Chebyshev four-point quadrature method, simultaneously referencing the psychrometric module to continuously update the bulk air enthalpy as moisture is absorbed.</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Conductivity and Convection Regimes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Estimating accurate convective heat transfer coefficients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32"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the physical sizing and capital cost of thermal equipment. A common error is the utilization of constant Nusselt (</w:t>
      </w:r>
      <w:r w:rsidDel="00000000" w:rsidR="00000000" w:rsidRPr="00000000">
        <w:rPr>
          <w:rFonts w:ascii="Google Sans" w:cs="Google Sans" w:eastAsia="Google Sans" w:hAnsi="Google Sans"/>
          <w:color w:val="1f1f1f"/>
        </w:rPr>
        <w:drawing>
          <wp:inline distB="19050" distT="19050" distL="19050" distR="19050">
            <wp:extent cx="290959" cy="244030"/>
            <wp:effectExtent b="0" l="0" r="0" t="0"/>
            <wp:docPr id="33"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290959" cy="244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number correlations, such as applying the Dittus-Boelter equation universally, regardless of the fluid's transition through the laminar, transitional, and fully turbulent phases.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advanced tab must continuously evaluate the flow regime based on the local Reynolds and Prandtl numbers. For internal pipe flow, the algorithm must mathematically transition from the laminar regime baseline (where </w:t>
      </w:r>
      <w:r w:rsidDel="00000000" w:rsidR="00000000" w:rsidRPr="00000000">
        <w:rPr>
          <w:rFonts w:ascii="Google Sans" w:cs="Google Sans" w:eastAsia="Google Sans" w:hAnsi="Google Sans"/>
          <w:color w:val="1f1f1f"/>
        </w:rPr>
        <w:drawing>
          <wp:inline distB="19050" distT="19050" distL="19050" distR="19050">
            <wp:extent cx="900559" cy="246469"/>
            <wp:effectExtent b="0" l="0" r="0" t="0"/>
            <wp:docPr id="34"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900559" cy="2464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constant heat flux or </w:t>
      </w:r>
      <w:r w:rsidDel="00000000" w:rsidR="00000000" w:rsidRPr="00000000">
        <w:rPr>
          <w:rFonts w:ascii="Google Sans" w:cs="Google Sans" w:eastAsia="Google Sans" w:hAnsi="Google Sans"/>
          <w:color w:val="1f1f1f"/>
        </w:rPr>
        <w:drawing>
          <wp:inline distB="19050" distT="19050" distL="19050" distR="19050">
            <wp:extent cx="900559" cy="246469"/>
            <wp:effectExtent b="0" l="0" r="0" t="0"/>
            <wp:docPr id="35"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900559" cy="2464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constant surface temperature) directly to the Gnielinski correlation for transitional and turbulent flow (</w:t>
      </w:r>
      <w:r w:rsidDel="00000000" w:rsidR="00000000" w:rsidRPr="00000000">
        <w:rPr>
          <w:rFonts w:ascii="Google Sans" w:cs="Google Sans" w:eastAsia="Google Sans" w:hAnsi="Google Sans"/>
          <w:color w:val="1f1f1f"/>
        </w:rPr>
        <w:drawing>
          <wp:inline distB="19050" distT="19050" distL="19050" distR="19050">
            <wp:extent cx="1767926" cy="247129"/>
            <wp:effectExtent b="0" l="0" r="0" t="0"/>
            <wp:docPr id="36"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1767926" cy="247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Gnielinski correlation accounts for the Darcy friction factor, providing a significantly higher degree of accuracy than Dittus-Boelter, particularly for fluids with extreme Prandtl numbers like viscous oils or liquid metals.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Radiation Heat Transfer and Radiosity Networks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Radiation calculations are exponentially sensitive to geometric complexities and absolute temperature scales. A frequent computational failure in basic tools is calculating net radiation exchange without accounting for geometric view factors (</w:t>
      </w:r>
      <w:r w:rsidDel="00000000" w:rsidR="00000000" w:rsidRPr="00000000">
        <w:rPr>
          <w:rFonts w:ascii="Google Sans" w:cs="Google Sans" w:eastAsia="Google Sans" w:hAnsi="Google Sans"/>
          <w:color w:val="1f1f1f"/>
        </w:rPr>
        <w:drawing>
          <wp:inline distB="19050" distT="19050" distL="19050" distR="19050">
            <wp:extent cx="247353" cy="247353"/>
            <wp:effectExtent b="0" l="0" r="0" t="0"/>
            <wp:docPr id="37"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247353" cy="247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erroneously assuming perfect black body or simple gray body behavior in systems where spectral emissivity dependency is high.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complex multi-surface industrial furnaces or radiant enclosures, the advanced tab cannot rely on simple pairwise radiation formulas. The codebase must be engineered to solve a complete radiosity network using matrix inversion techniques. The algorithm must construct a system of linear equations based on the principle of radiosity (</w:t>
      </w:r>
      <w:r w:rsidDel="00000000" w:rsidR="00000000" w:rsidRPr="00000000">
        <w:rPr>
          <w:rFonts w:ascii="Google Sans" w:cs="Google Sans" w:eastAsia="Google Sans" w:hAnsi="Google Sans"/>
          <w:color w:val="1f1f1f"/>
        </w:rPr>
        <w:drawing>
          <wp:inline distB="19050" distT="19050" distL="19050" distR="19050">
            <wp:extent cx="127545" cy="255091"/>
            <wp:effectExtent b="0" l="0" r="0" t="0"/>
            <wp:docPr id="38"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127545" cy="255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847357" cy="352357"/>
            <wp:effectExtent b="0" l="0" r="0" t="0"/>
            <wp:docPr id="28"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3847357" cy="352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08359" cy="246243"/>
            <wp:effectExtent b="0" l="0" r="0" t="0"/>
            <wp:docPr id="29" name="image56.png"/>
            <a:graphic>
              <a:graphicData uri="http://schemas.openxmlformats.org/drawingml/2006/picture">
                <pic:pic>
                  <pic:nvPicPr>
                    <pic:cNvPr id="0" name="image56.png"/>
                    <pic:cNvPicPr preferRelativeResize="0"/>
                  </pic:nvPicPr>
                  <pic:blipFill>
                    <a:blip r:embed="rId70"/>
                    <a:srcRect b="0" l="0" r="0" t="0"/>
                    <a:stretch>
                      <a:fillRect/>
                    </a:stretch>
                  </pic:blipFill>
                  <pic:spPr>
                    <a:xfrm>
                      <a:off x="0" y="0"/>
                      <a:ext cx="208359" cy="246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Kronecker delta. The code must utilize Gaussian elimination or LU decomposition to solve this matrix array dynamically as surface temperatures update.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Chemical Reaction Engineering and Kinetic Modeling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Reaction kinetics and continuous reactor sizing are governed by stiff ordinary differential equations (ODEs). These highly non-linear systems easily derail standard numerical integrators utilized in basic software applications.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Reaction Rate Laws and Arrhenius Temperature Dependency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Chemical kinetics are exponentially sensitive to temperature variations governed by the Arrhenius equation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common computational error is hardcoding basic, elementary forward-rate laws while entirely ignoring reaction reversibility, complex order dependencies, or thermodynamic equilibrium limits.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kinetic algorithm must be structured to accommodate generalized, non-elementary, and reversible kinetics simultaneously. The computational model must take the form: </w:t>
      </w:r>
      <w:r w:rsidDel="00000000" w:rsidR="00000000" w:rsidRPr="00000000">
        <w:rPr>
          <w:rFonts w:ascii="Google Sans" w:cs="Google Sans" w:eastAsia="Google Sans" w:hAnsi="Google Sans"/>
          <w:color w:val="1f1f1f"/>
        </w:rPr>
        <w:drawing>
          <wp:inline distB="19050" distT="19050" distL="19050" distR="19050">
            <wp:extent cx="3003652" cy="381416"/>
            <wp:effectExtent b="0" l="0" r="0" t="0"/>
            <wp:docPr id="64" name="image58.png"/>
            <a:graphic>
              <a:graphicData uri="http://schemas.openxmlformats.org/drawingml/2006/picture">
                <pic:pic>
                  <pic:nvPicPr>
                    <pic:cNvPr id="0" name="image58.png"/>
                    <pic:cNvPicPr preferRelativeResize="0"/>
                  </pic:nvPicPr>
                  <pic:blipFill>
                    <a:blip r:embed="rId71"/>
                    <a:srcRect b="0" l="0" r="0" t="0"/>
                    <a:stretch>
                      <a:fillRect/>
                    </a:stretch>
                  </pic:blipFill>
                  <pic:spPr>
                    <a:xfrm>
                      <a:off x="0" y="0"/>
                      <a:ext cx="3003652" cy="3814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ensure accuracy, the advanced tab must calculate the equilibrium constant (</w:t>
      </w:r>
      <w:r w:rsidDel="00000000" w:rsidR="00000000" w:rsidRPr="00000000">
        <w:rPr>
          <w:rFonts w:ascii="Google Sans" w:cs="Google Sans" w:eastAsia="Google Sans" w:hAnsi="Google Sans"/>
          <w:color w:val="1f1f1f"/>
        </w:rPr>
        <w:drawing>
          <wp:inline distB="19050" distT="19050" distL="19050" distR="19050">
            <wp:extent cx="306139" cy="248738"/>
            <wp:effectExtent b="0" l="0" r="0" t="0"/>
            <wp:docPr id="65" name="image45.png"/>
            <a:graphic>
              <a:graphicData uri="http://schemas.openxmlformats.org/drawingml/2006/picture">
                <pic:pic>
                  <pic:nvPicPr>
                    <pic:cNvPr id="0" name="image45.png"/>
                    <pic:cNvPicPr preferRelativeResize="0"/>
                  </pic:nvPicPr>
                  <pic:blipFill>
                    <a:blip r:embed="rId72"/>
                    <a:srcRect b="0" l="0" r="0" t="0"/>
                    <a:stretch>
                      <a:fillRect/>
                    </a:stretch>
                  </pic:blipFill>
                  <pic:spPr>
                    <a:xfrm>
                      <a:off x="0" y="0"/>
                      <a:ext cx="306139" cy="2487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dynamically, utilizing the Van't Hoff equation directly linked to the thermodynamic enthalpy module established in Section 1. This ensures that the rate law naturally approaches zero as the system reaches true thermodynamic equilibrium, preventing the algorithm from calculating impossible conversions exceeding 100%.</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Half-Life Computational Metrics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half-life (</w:t>
      </w:r>
      <w:r w:rsidDel="00000000" w:rsidR="00000000" w:rsidRPr="00000000">
        <w:rPr>
          <w:rFonts w:ascii="Google Sans" w:cs="Google Sans" w:eastAsia="Google Sans" w:hAnsi="Google Sans"/>
          <w:color w:val="1f1f1f"/>
        </w:rPr>
        <w:drawing>
          <wp:inline distB="19050" distT="19050" distL="19050" distR="19050">
            <wp:extent cx="286197" cy="248037"/>
            <wp:effectExtent b="0" l="0" r="0" t="0"/>
            <wp:docPr id="66" name="image94.png"/>
            <a:graphic>
              <a:graphicData uri="http://schemas.openxmlformats.org/drawingml/2006/picture">
                <pic:pic>
                  <pic:nvPicPr>
                    <pic:cNvPr id="0" name="image94.png"/>
                    <pic:cNvPicPr preferRelativeResize="0"/>
                  </pic:nvPicPr>
                  <pic:blipFill>
                    <a:blip r:embed="rId73"/>
                    <a:srcRect b="0" l="0" r="0" t="0"/>
                    <a:stretch>
                      <a:fillRect/>
                    </a:stretch>
                  </pic:blipFill>
                  <pic:spPr>
                    <a:xfrm>
                      <a:off x="0" y="0"/>
                      <a:ext cx="286197" cy="248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trivial for simple first-order systems but highly complex for industrial reaction mechanisms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pervasive error in educational calculators is providing standard half-life outputs for multi-reactant mechanisms (e.g., </w:t>
      </w:r>
      <w:r w:rsidDel="00000000" w:rsidR="00000000" w:rsidRPr="00000000">
        <w:rPr>
          <w:rFonts w:ascii="Google Sans" w:cs="Google Sans" w:eastAsia="Google Sans" w:hAnsi="Google Sans"/>
          <w:color w:val="1f1f1f"/>
        </w:rPr>
        <w:drawing>
          <wp:inline distB="19050" distT="19050" distL="19050" distR="19050">
            <wp:extent cx="1003992" cy="248608"/>
            <wp:effectExtent b="0" l="0" r="0" t="0"/>
            <wp:docPr id="67" name="image52.png"/>
            <a:graphic>
              <a:graphicData uri="http://schemas.openxmlformats.org/drawingml/2006/picture">
                <pic:pic>
                  <pic:nvPicPr>
                    <pic:cNvPr id="0" name="image52.png"/>
                    <pic:cNvPicPr preferRelativeResize="0"/>
                  </pic:nvPicPr>
                  <pic:blipFill>
                    <a:blip r:embed="rId74"/>
                    <a:srcRect b="0" l="0" r="0" t="0"/>
                    <a:stretch>
                      <a:fillRect/>
                    </a:stretch>
                  </pic:blipFill>
                  <pic:spPr>
                    <a:xfrm>
                      <a:off x="0" y="0"/>
                      <a:ext cx="1003992" cy="248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pseudo-first-order mathematical assumptions, even when the secondary reactants are not supplied in massive stoichiometric excess.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generalized </w:t>
      </w:r>
      <w:r w:rsidDel="00000000" w:rsidR="00000000" w:rsidRPr="00000000">
        <w:rPr>
          <w:rFonts w:ascii="Google Sans" w:cs="Google Sans" w:eastAsia="Google Sans" w:hAnsi="Google Sans"/>
          <w:color w:val="1f1f1f"/>
        </w:rPr>
        <w:drawing>
          <wp:inline distB="19050" distT="19050" distL="19050" distR="19050">
            <wp:extent cx="255836" cy="246360"/>
            <wp:effectExtent b="0" l="0" r="0" t="0"/>
            <wp:docPr id="68"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255836" cy="246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order single-reactant reactions (where </w:t>
      </w:r>
      <w:r w:rsidDel="00000000" w:rsidR="00000000" w:rsidRPr="00000000">
        <w:rPr>
          <w:rFonts w:ascii="Google Sans" w:cs="Google Sans" w:eastAsia="Google Sans" w:hAnsi="Google Sans"/>
          <w:color w:val="1f1f1f"/>
        </w:rPr>
        <w:drawing>
          <wp:inline distB="19050" distT="19050" distL="19050" distR="19050">
            <wp:extent cx="476845" cy="247960"/>
            <wp:effectExtent b="0" l="0" r="0" t="0"/>
            <wp:docPr id="69" name="image61.png"/>
            <a:graphic>
              <a:graphicData uri="http://schemas.openxmlformats.org/drawingml/2006/picture">
                <pic:pic>
                  <pic:nvPicPr>
                    <pic:cNvPr id="0" name="image61.png"/>
                    <pic:cNvPicPr preferRelativeResize="0"/>
                  </pic:nvPicPr>
                  <pic:blipFill>
                    <a:blip r:embed="rId76"/>
                    <a:srcRect b="0" l="0" r="0" t="0"/>
                    <a:stretch>
                      <a:fillRect/>
                    </a:stretch>
                  </pic:blipFill>
                  <pic:spPr>
                    <a:xfrm>
                      <a:off x="0" y="0"/>
                      <a:ext cx="476845"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advanced tab must abandon the </w:t>
      </w:r>
      <w:r w:rsidDel="00000000" w:rsidR="00000000" w:rsidRPr="00000000">
        <w:rPr>
          <w:rFonts w:ascii="Google Sans" w:cs="Google Sans" w:eastAsia="Google Sans" w:hAnsi="Google Sans"/>
          <w:color w:val="1f1f1f"/>
        </w:rPr>
        <w:drawing>
          <wp:inline distB="19050" distT="19050" distL="19050" distR="19050">
            <wp:extent cx="336798" cy="269439"/>
            <wp:effectExtent b="0" l="0" r="0" t="0"/>
            <wp:docPr id="70" name="image65.png"/>
            <a:graphic>
              <a:graphicData uri="http://schemas.openxmlformats.org/drawingml/2006/picture">
                <pic:pic>
                  <pic:nvPicPr>
                    <pic:cNvPr id="0" name="image65.png"/>
                    <pic:cNvPicPr preferRelativeResize="0"/>
                  </pic:nvPicPr>
                  <pic:blipFill>
                    <a:blip r:embed="rId77"/>
                    <a:srcRect b="0" l="0" r="0" t="0"/>
                    <a:stretch>
                      <a:fillRect/>
                    </a:stretch>
                  </pic:blipFill>
                  <pic:spPr>
                    <a:xfrm>
                      <a:off x="0" y="0"/>
                      <a:ext cx="336798" cy="269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formula and utilize the generalized formulation: </w:t>
      </w:r>
      <w:r w:rsidDel="00000000" w:rsidR="00000000" w:rsidRPr="00000000">
        <w:rPr>
          <w:rFonts w:ascii="Google Sans" w:cs="Google Sans" w:eastAsia="Google Sans" w:hAnsi="Google Sans"/>
          <w:color w:val="1f1f1f"/>
        </w:rPr>
        <w:drawing>
          <wp:inline distB="19050" distT="19050" distL="19050" distR="19050">
            <wp:extent cx="1335729" cy="324391"/>
            <wp:effectExtent b="0" l="0" r="0" t="0"/>
            <wp:docPr id="71" name="image64.png"/>
            <a:graphic>
              <a:graphicData uri="http://schemas.openxmlformats.org/drawingml/2006/picture">
                <pic:pic>
                  <pic:nvPicPr>
                    <pic:cNvPr id="0" name="image64.png"/>
                    <pic:cNvPicPr preferRelativeResize="0"/>
                  </pic:nvPicPr>
                  <pic:blipFill>
                    <a:blip r:embed="rId78"/>
                    <a:srcRect b="0" l="0" r="0" t="0"/>
                    <a:stretch>
                      <a:fillRect/>
                    </a:stretch>
                  </pic:blipFill>
                  <pic:spPr>
                    <a:xfrm>
                      <a:off x="0" y="0"/>
                      <a:ext cx="1335729" cy="324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However, for competing multi-reactant systems without massive excess, analytical half-life formulas do not exist. The algorithm must automatically shift to a numerical ODE solver, integrating the concentration profiles over time until the limiting reactant reaches exactly 50% of its initial concentration, reporting this timestamp back to the user interface.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Reactor Time and Volume Expansion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batch operations frequently experience significant volume changes during the course of a reaction, particularly in gas-phase systems. A critical error is assuming constant volume for all batch reactions, an assumption that leads to severe under-sizing of the required reactor vessel and dangerously high predicted internal pressures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architecture must introduce and track the expansion factor (</w:t>
      </w:r>
      <w:r w:rsidDel="00000000" w:rsidR="00000000" w:rsidRPr="00000000">
        <w:rPr>
          <w:rFonts w:ascii="Google Sans" w:cs="Google Sans" w:eastAsia="Google Sans" w:hAnsi="Google Sans"/>
          <w:color w:val="1f1f1f"/>
        </w:rPr>
        <w:drawing>
          <wp:inline distB="19050" distT="19050" distL="19050" distR="19050">
            <wp:extent cx="824955" cy="246538"/>
            <wp:effectExtent b="0" l="0" r="0" t="0"/>
            <wp:docPr id="61" name="image50.png"/>
            <a:graphic>
              <a:graphicData uri="http://schemas.openxmlformats.org/drawingml/2006/picture">
                <pic:pic>
                  <pic:nvPicPr>
                    <pic:cNvPr id="0" name="image50.png"/>
                    <pic:cNvPicPr preferRelativeResize="0"/>
                  </pic:nvPicPr>
                  <pic:blipFill>
                    <a:blip r:embed="rId79"/>
                    <a:srcRect b="0" l="0" r="0" t="0"/>
                    <a:stretch>
                      <a:fillRect/>
                    </a:stretch>
                  </pic:blipFill>
                  <pic:spPr>
                    <a:xfrm>
                      <a:off x="0" y="0"/>
                      <a:ext cx="824955" cy="2465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accounts for the change in the total number of moles per mole of reactant consumed. The batch residence time equation must dynamically adjust volume with conversion (</w:t>
      </w:r>
      <w:r w:rsidDel="00000000" w:rsidR="00000000" w:rsidRPr="00000000">
        <w:rPr>
          <w:rFonts w:ascii="Google Sans" w:cs="Google Sans" w:eastAsia="Google Sans" w:hAnsi="Google Sans"/>
          <w:color w:val="1f1f1f"/>
        </w:rPr>
        <w:drawing>
          <wp:inline distB="19050" distT="19050" distL="19050" distR="19050">
            <wp:extent cx="177700" cy="243169"/>
            <wp:effectExtent b="0" l="0" r="0" t="0"/>
            <wp:docPr id="62"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177700" cy="243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40386" cy="305188"/>
            <wp:effectExtent b="0" l="0" r="0" t="0"/>
            <wp:docPr id="63"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1640386" cy="3051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active volume is calculated as </w:t>
      </w:r>
      <w:r w:rsidDel="00000000" w:rsidR="00000000" w:rsidRPr="00000000">
        <w:rPr>
          <w:rFonts w:ascii="Google Sans" w:cs="Google Sans" w:eastAsia="Google Sans" w:hAnsi="Google Sans"/>
          <w:color w:val="1f1f1f"/>
        </w:rPr>
        <w:drawing>
          <wp:inline distB="19050" distT="19050" distL="19050" distR="19050">
            <wp:extent cx="1802016" cy="247896"/>
            <wp:effectExtent b="0" l="0" r="0" t="0"/>
            <wp:docPr id="54" name="image43.png"/>
            <a:graphic>
              <a:graphicData uri="http://schemas.openxmlformats.org/drawingml/2006/picture">
                <pic:pic>
                  <pic:nvPicPr>
                    <pic:cNvPr id="0" name="image43.png"/>
                    <pic:cNvPicPr preferRelativeResize="0"/>
                  </pic:nvPicPr>
                  <pic:blipFill>
                    <a:blip r:embed="rId82"/>
                    <a:srcRect b="0" l="0" r="0" t="0"/>
                    <a:stretch>
                      <a:fillRect/>
                    </a:stretch>
                  </pic:blipFill>
                  <pic:spPr>
                    <a:xfrm>
                      <a:off x="0" y="0"/>
                      <a:ext cx="1802016" cy="247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reaction rate (</w:t>
      </w:r>
      <w:r w:rsidDel="00000000" w:rsidR="00000000" w:rsidRPr="00000000">
        <w:rPr>
          <w:rFonts w:ascii="Google Sans" w:cs="Google Sans" w:eastAsia="Google Sans" w:hAnsi="Google Sans"/>
          <w:color w:val="1f1f1f"/>
        </w:rPr>
        <w:drawing>
          <wp:inline distB="19050" distT="19050" distL="19050" distR="19050">
            <wp:extent cx="353467" cy="248382"/>
            <wp:effectExtent b="0" l="0" r="0" t="0"/>
            <wp:docPr id="55" name="image40.png"/>
            <a:graphic>
              <a:graphicData uri="http://schemas.openxmlformats.org/drawingml/2006/picture">
                <pic:pic>
                  <pic:nvPicPr>
                    <pic:cNvPr id="0" name="image40.png"/>
                    <pic:cNvPicPr preferRelativeResize="0"/>
                  </pic:nvPicPr>
                  <pic:blipFill>
                    <a:blip r:embed="rId83"/>
                    <a:srcRect b="0" l="0" r="0" t="0"/>
                    <a:stretch>
                      <a:fillRect/>
                    </a:stretch>
                  </pic:blipFill>
                  <pic:spPr>
                    <a:xfrm>
                      <a:off x="0" y="0"/>
                      <a:ext cx="353467" cy="248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also a function of volume, the integral becomes highly non-linear. The advanced tab must deploy an adaptive step-size integration algorithm, such as Runge-Kutta-Fehlberg (RK45), to solve this integral accurately without artificially truncating the results.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Reactors (CSTR and PFR) and Stiff Systems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Stirred-Tank Reactors (CSTR) require the resolution of non-linear algebraic equations, while Plug Flow Reactors (PFR) require the integration of differential equations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major vulnerability in PFR calculation modules is ignoring the pressure drop along the length of the reactor tube. As the pressure drops due to fluid friction, the gas expands, the concentration drops, and the reaction rate stalls, fundamentally altering the required reactor length.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advanced tab must intimately couple the fundamental kinetic design equation with the Ergun equation for packed beds. The software must solve a system of coupled differential equations simultaneously: </w:t>
      </w:r>
      <w:r w:rsidDel="00000000" w:rsidR="00000000" w:rsidRPr="00000000">
        <w:rPr>
          <w:rFonts w:ascii="Google Sans" w:cs="Google Sans" w:eastAsia="Google Sans" w:hAnsi="Google Sans"/>
          <w:color w:val="1f1f1f"/>
        </w:rPr>
        <w:drawing>
          <wp:inline distB="19050" distT="19050" distL="19050" distR="19050">
            <wp:extent cx="826294" cy="303924"/>
            <wp:effectExtent b="0" l="0" r="0" t="0"/>
            <wp:docPr id="56" name="image53.png"/>
            <a:graphic>
              <a:graphicData uri="http://schemas.openxmlformats.org/drawingml/2006/picture">
                <pic:pic>
                  <pic:nvPicPr>
                    <pic:cNvPr id="0" name="image53.png"/>
                    <pic:cNvPicPr preferRelativeResize="0"/>
                  </pic:nvPicPr>
                  <pic:blipFill>
                    <a:blip r:embed="rId84"/>
                    <a:srcRect b="0" l="0" r="0" t="0"/>
                    <a:stretch>
                      <a:fillRect/>
                    </a:stretch>
                  </pic:blipFill>
                  <pic:spPr>
                    <a:xfrm>
                      <a:off x="0" y="0"/>
                      <a:ext cx="826294" cy="303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governing mass balance, and </w:t>
      </w:r>
      <w:r w:rsidDel="00000000" w:rsidR="00000000" w:rsidRPr="00000000">
        <w:rPr>
          <w:rFonts w:ascii="Google Sans" w:cs="Google Sans" w:eastAsia="Google Sans" w:hAnsi="Google Sans"/>
          <w:color w:val="1f1f1f"/>
        </w:rPr>
        <w:drawing>
          <wp:inline distB="19050" distT="19050" distL="19050" distR="19050">
            <wp:extent cx="2230041" cy="276373"/>
            <wp:effectExtent b="0" l="0" r="0" t="0"/>
            <wp:docPr id="57" name="image51.png"/>
            <a:graphic>
              <a:graphicData uri="http://schemas.openxmlformats.org/drawingml/2006/picture">
                <pic:pic>
                  <pic:nvPicPr>
                    <pic:cNvPr id="0" name="image51.png"/>
                    <pic:cNvPicPr preferRelativeResize="0"/>
                  </pic:nvPicPr>
                  <pic:blipFill>
                    <a:blip r:embed="rId85"/>
                    <a:srcRect b="0" l="0" r="0" t="0"/>
                    <a:stretch>
                      <a:fillRect/>
                    </a:stretch>
                  </pic:blipFill>
                  <pic:spPr>
                    <a:xfrm>
                      <a:off x="0" y="0"/>
                      <a:ext cx="2230041" cy="276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governing momentum balance. Because kinetic reactions frequently exhibit "stiffness"—where varying species react at drastically different time scales—standard explicit solvers like Euler's method will fail. The algorithm must implement implicit Gear methods or Backward Differentiation Formulas (BDF) to guarantee numerical stability across the reactor length.</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Damköhler Number and RTD Non-Ideality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Damköhler number (</w:t>
      </w:r>
      <w:r w:rsidDel="00000000" w:rsidR="00000000" w:rsidRPr="00000000">
        <w:rPr>
          <w:rFonts w:ascii="Google Sans" w:cs="Google Sans" w:eastAsia="Google Sans" w:hAnsi="Google Sans"/>
          <w:color w:val="1f1f1f"/>
        </w:rPr>
        <w:drawing>
          <wp:inline distB="19050" distT="19050" distL="19050" distR="19050">
            <wp:extent cx="271463" cy="243380"/>
            <wp:effectExtent b="0" l="0" r="0" t="0"/>
            <wp:docPr id="58" name="image95.png"/>
            <a:graphic>
              <a:graphicData uri="http://schemas.openxmlformats.org/drawingml/2006/picture">
                <pic:pic>
                  <pic:nvPicPr>
                    <pic:cNvPr id="0" name="image95.png"/>
                    <pic:cNvPicPr preferRelativeResize="0"/>
                  </pic:nvPicPr>
                  <pic:blipFill>
                    <a:blip r:embed="rId86"/>
                    <a:srcRect b="0" l="0" r="0" t="0"/>
                    <a:stretch>
                      <a:fillRect/>
                    </a:stretch>
                  </pic:blipFill>
                  <pic:spPr>
                    <a:xfrm>
                      <a:off x="0" y="0"/>
                      <a:ext cx="271463" cy="243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the ratio of reaction rate to transport rate, while Residence Time Distribution (RTD) governs non-ideal fluid flow behaviors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common error is using idealized reactor assumptions (perfect mixing or perfect plug flow) without mathematically accounting for dispersion, dead zones, and channeling within the actual reactor vessel.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advanced tab must be capable of importing experimental or simulated tracer data to calculate the mean residence time (</w:t>
      </w:r>
      <w:r w:rsidDel="00000000" w:rsidR="00000000" w:rsidRPr="00000000">
        <w:rPr>
          <w:rFonts w:ascii="Google Sans" w:cs="Google Sans" w:eastAsia="Google Sans" w:hAnsi="Google Sans"/>
          <w:color w:val="1f1f1f"/>
        </w:rPr>
        <w:drawing>
          <wp:inline distB="19050" distT="19050" distL="19050" distR="19050">
            <wp:extent cx="200918" cy="248756"/>
            <wp:effectExtent b="0" l="0" r="0" t="0"/>
            <wp:docPr id="59"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200918" cy="248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statistical variance (</w:t>
      </w:r>
      <w:r w:rsidDel="00000000" w:rsidR="00000000" w:rsidRPr="00000000">
        <w:rPr>
          <w:rFonts w:ascii="Google Sans" w:cs="Google Sans" w:eastAsia="Google Sans" w:hAnsi="Google Sans"/>
          <w:color w:val="1f1f1f"/>
        </w:rPr>
        <w:drawing>
          <wp:inline distB="19050" distT="19050" distL="19050" distR="19050">
            <wp:extent cx="197197" cy="244149"/>
            <wp:effectExtent b="0" l="0" r="0" t="0"/>
            <wp:docPr id="60" name="image49.png"/>
            <a:graphic>
              <a:graphicData uri="http://schemas.openxmlformats.org/drawingml/2006/picture">
                <pic:pic>
                  <pic:nvPicPr>
                    <pic:cNvPr id="0" name="image49.png"/>
                    <pic:cNvPicPr preferRelativeResize="0"/>
                  </pic:nvPicPr>
                  <pic:blipFill>
                    <a:blip r:embed="rId88"/>
                    <a:srcRect b="0" l="0" r="0" t="0"/>
                    <a:stretch>
                      <a:fillRect/>
                    </a:stretch>
                  </pic:blipFill>
                  <pic:spPr>
                    <a:xfrm>
                      <a:off x="0" y="0"/>
                      <a:ext cx="197197" cy="244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these metrics, the algorithm must evaluate the Peclet number (</w:t>
      </w:r>
      <w:r w:rsidDel="00000000" w:rsidR="00000000" w:rsidRPr="00000000">
        <w:rPr>
          <w:rFonts w:ascii="Google Sans" w:cs="Google Sans" w:eastAsia="Google Sans" w:hAnsi="Google Sans"/>
          <w:color w:val="1f1f1f"/>
        </w:rPr>
        <w:drawing>
          <wp:inline distB="19050" distT="19050" distL="19050" distR="19050">
            <wp:extent cx="244375" cy="244375"/>
            <wp:effectExtent b="0" l="0" r="0" t="0"/>
            <wp:docPr id="50" name="image54.png"/>
            <a:graphic>
              <a:graphicData uri="http://schemas.openxmlformats.org/drawingml/2006/picture">
                <pic:pic>
                  <pic:nvPicPr>
                    <pic:cNvPr id="0" name="image54.png"/>
                    <pic:cNvPicPr preferRelativeResize="0"/>
                  </pic:nvPicPr>
                  <pic:blipFill>
                    <a:blip r:embed="rId89"/>
                    <a:srcRect b="0" l="0" r="0" t="0"/>
                    <a:stretch>
                      <a:fillRect/>
                    </a:stretch>
                  </pic:blipFill>
                  <pic:spPr>
                    <a:xfrm>
                      <a:off x="0" y="0"/>
                      <a:ext cx="244375" cy="244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utilizing the axial dispersion model, or define the exact number of virtual tanks utilizing the tanks-in-series model. By calculating the exact degree of non-ideality, the algorithm must dynamically discount the expected ideal conversion, providing a realistic output based on the combined physical constraints of the </w:t>
      </w:r>
      <w:r w:rsidDel="00000000" w:rsidR="00000000" w:rsidRPr="00000000">
        <w:rPr>
          <w:rFonts w:ascii="Google Sans" w:cs="Google Sans" w:eastAsia="Google Sans" w:hAnsi="Google Sans"/>
          <w:color w:val="1f1f1f"/>
        </w:rPr>
        <w:drawing>
          <wp:inline distB="19050" distT="19050" distL="19050" distR="19050">
            <wp:extent cx="271463" cy="243380"/>
            <wp:effectExtent b="0" l="0" r="0" t="0"/>
            <wp:docPr id="51" name="image95.png"/>
            <a:graphic>
              <a:graphicData uri="http://schemas.openxmlformats.org/drawingml/2006/picture">
                <pic:pic>
                  <pic:nvPicPr>
                    <pic:cNvPr id="0" name="image95.png"/>
                    <pic:cNvPicPr preferRelativeResize="0"/>
                  </pic:nvPicPr>
                  <pic:blipFill>
                    <a:blip r:embed="rId86"/>
                    <a:srcRect b="0" l="0" r="0" t="0"/>
                    <a:stretch>
                      <a:fillRect/>
                    </a:stretch>
                  </pic:blipFill>
                  <pic:spPr>
                    <a:xfrm>
                      <a:off x="0" y="0"/>
                      <a:ext cx="271463" cy="243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44375" cy="244375"/>
            <wp:effectExtent b="0" l="0" r="0" t="0"/>
            <wp:docPr id="52" name="image54.png"/>
            <a:graphic>
              <a:graphicData uri="http://schemas.openxmlformats.org/drawingml/2006/picture">
                <pic:pic>
                  <pic:nvPicPr>
                    <pic:cNvPr id="0" name="image54.png"/>
                    <pic:cNvPicPr preferRelativeResize="0"/>
                  </pic:nvPicPr>
                  <pic:blipFill>
                    <a:blip r:embed="rId89"/>
                    <a:srcRect b="0" l="0" r="0" t="0"/>
                    <a:stretch>
                      <a:fillRect/>
                    </a:stretch>
                  </pic:blipFill>
                  <pic:spPr>
                    <a:xfrm>
                      <a:off x="0" y="0"/>
                      <a:ext cx="244375" cy="244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numbers.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Flow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Ideal Boundary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Extreme Non-Ideal Boundary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Tanks-in-Series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of Tanks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53" name="image42.png"/>
                  <a:graphic>
                    <a:graphicData uri="http://schemas.openxmlformats.org/drawingml/2006/picture">
                      <pic:pic>
                        <pic:nvPicPr>
                          <pic:cNvPr id="0" name="image42.png"/>
                          <pic:cNvPicPr preferRelativeResize="0"/>
                        </pic:nvPicPr>
                        <pic:blipFill>
                          <a:blip r:embed="rId90"/>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79400" cy="248794"/>
                  <wp:effectExtent b="0" l="0" r="0" t="0"/>
                  <wp:docPr id="88" name="image76.png"/>
                  <a:graphic>
                    <a:graphicData uri="http://schemas.openxmlformats.org/drawingml/2006/picture">
                      <pic:pic>
                        <pic:nvPicPr>
                          <pic:cNvPr id="0" name="image76.png"/>
                          <pic:cNvPicPr preferRelativeResize="0"/>
                        </pic:nvPicPr>
                        <pic:blipFill>
                          <a:blip r:embed="rId91"/>
                          <a:srcRect b="0" l="0" r="0" t="0"/>
                          <a:stretch>
                            <a:fillRect/>
                          </a:stretch>
                        </pic:blipFill>
                        <pic:spPr>
                          <a:xfrm>
                            <a:off x="0" y="0"/>
                            <a:ext cx="679400" cy="248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(Plug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38014" cy="249792"/>
                  <wp:effectExtent b="0" l="0" r="0" t="0"/>
                  <wp:docPr id="90" name="image82.png"/>
                  <a:graphic>
                    <a:graphicData uri="http://schemas.openxmlformats.org/drawingml/2006/picture">
                      <pic:pic>
                        <pic:nvPicPr>
                          <pic:cNvPr id="0" name="image82.png"/>
                          <pic:cNvPicPr preferRelativeResize="0"/>
                        </pic:nvPicPr>
                        <pic:blipFill>
                          <a:blip r:embed="rId92"/>
                          <a:srcRect b="0" l="0" r="0" t="0"/>
                          <a:stretch>
                            <a:fillRect/>
                          </a:stretch>
                        </pic:blipFill>
                        <pic:spPr>
                          <a:xfrm>
                            <a:off x="0" y="0"/>
                            <a:ext cx="538014" cy="249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(Perfect CSTR)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Axial Dispersion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Peclet Number (</w:t>
            </w:r>
            <w:r w:rsidDel="00000000" w:rsidR="00000000" w:rsidRPr="00000000">
              <w:rPr>
                <w:rFonts w:ascii="Google Sans" w:cs="Google Sans" w:eastAsia="Google Sans" w:hAnsi="Google Sans"/>
                <w:color w:val="1f1f1f"/>
              </w:rPr>
              <w:drawing>
                <wp:inline distB="19050" distT="19050" distL="19050" distR="19050">
                  <wp:extent cx="244375" cy="244375"/>
                  <wp:effectExtent b="0" l="0" r="0" t="0"/>
                  <wp:docPr id="92" name="image54.png"/>
                  <a:graphic>
                    <a:graphicData uri="http://schemas.openxmlformats.org/drawingml/2006/picture">
                      <pic:pic>
                        <pic:nvPicPr>
                          <pic:cNvPr id="0" name="image54.png"/>
                          <pic:cNvPicPr preferRelativeResize="0"/>
                        </pic:nvPicPr>
                        <pic:blipFill>
                          <a:blip r:embed="rId89"/>
                          <a:srcRect b="0" l="0" r="0" t="0"/>
                          <a:stretch>
                            <a:fillRect/>
                          </a:stretch>
                        </pic:blipFill>
                        <pic:spPr>
                          <a:xfrm>
                            <a:off x="0" y="0"/>
                            <a:ext cx="244375" cy="244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5034" cy="248345"/>
                  <wp:effectExtent b="0" l="0" r="0" t="0"/>
                  <wp:docPr id="94" name="image86.png"/>
                  <a:graphic>
                    <a:graphicData uri="http://schemas.openxmlformats.org/drawingml/2006/picture">
                      <pic:pic>
                        <pic:nvPicPr>
                          <pic:cNvPr id="0" name="image86.png"/>
                          <pic:cNvPicPr preferRelativeResize="0"/>
                        </pic:nvPicPr>
                        <pic:blipFill>
                          <a:blip r:embed="rId93"/>
                          <a:srcRect b="0" l="0" r="0" t="0"/>
                          <a:stretch>
                            <a:fillRect/>
                          </a:stretch>
                        </pic:blipFill>
                        <pic:spPr>
                          <a:xfrm>
                            <a:off x="0" y="0"/>
                            <a:ext cx="745034" cy="24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(Plug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47105" cy="247422"/>
                  <wp:effectExtent b="0" l="0" r="0" t="0"/>
                  <wp:docPr id="96" name="image87.png"/>
                  <a:graphic>
                    <a:graphicData uri="http://schemas.openxmlformats.org/drawingml/2006/picture">
                      <pic:pic>
                        <pic:nvPicPr>
                          <pic:cNvPr id="0" name="image87.png"/>
                          <pic:cNvPicPr preferRelativeResize="0"/>
                        </pic:nvPicPr>
                        <pic:blipFill>
                          <a:blip r:embed="rId94"/>
                          <a:srcRect b="0" l="0" r="0" t="0"/>
                          <a:stretch>
                            <a:fillRect/>
                          </a:stretch>
                        </pic:blipFill>
                        <pic:spPr>
                          <a:xfrm>
                            <a:off x="0" y="0"/>
                            <a:ext cx="647105" cy="247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 Dispersion)</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Mechanical Operations and Separation Processes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engineering computational tools must successfully bridge the gap between chemical phenomena, mass transfer, and strict mechanical sizing constraints.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Vessel Volume and Blank Size Calculator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storage and reaction vessels rarely utilize flat mechanical heads due to severe stress concentrations. The complex geometries of ellipsoidal, torispherical, and hemispherical heads dictate the total inventory capacity of the plant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ubiquitous error involves utilizing linear height-to-volume logic for partially filled horizontal vessels equipped with torispherical heads. The volume curve as a fluid fills a horizontal cylinder capped with curved heads is highly non-linear.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an ellipsoidal head with a standard 2:1 ratio has a fully filled volume of </w:t>
      </w:r>
      <w:r w:rsidDel="00000000" w:rsidR="00000000" w:rsidRPr="00000000">
        <w:rPr>
          <w:rFonts w:ascii="Google Sans" w:cs="Google Sans" w:eastAsia="Google Sans" w:hAnsi="Google Sans"/>
          <w:color w:val="1f1f1f"/>
        </w:rPr>
        <w:drawing>
          <wp:inline distB="19050" distT="19050" distL="19050" distR="19050">
            <wp:extent cx="724644" cy="266974"/>
            <wp:effectExtent b="0" l="0" r="0" t="0"/>
            <wp:docPr id="99" name="image84.png"/>
            <a:graphic>
              <a:graphicData uri="http://schemas.openxmlformats.org/drawingml/2006/picture">
                <pic:pic>
                  <pic:nvPicPr>
                    <pic:cNvPr id="0" name="image84.png"/>
                    <pic:cNvPicPr preferRelativeResize="0"/>
                  </pic:nvPicPr>
                  <pic:blipFill>
                    <a:blip r:embed="rId95"/>
                    <a:srcRect b="0" l="0" r="0" t="0"/>
                    <a:stretch>
                      <a:fillRect/>
                    </a:stretch>
                  </pic:blipFill>
                  <pic:spPr>
                    <a:xfrm>
                      <a:off x="0" y="0"/>
                      <a:ext cx="724644" cy="266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calculating the liquid holdup at a partial fill height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15"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advanced geometric modeling. For horizontal vessels, the advanced tab must analytically integrate the circular segments of the main cylindrical body while deploying precise numerical area integrations to determine the fluid volume held within the complex curvature of the head caps. Failing to implement these integrations correctly leads to dangerous inventory miscalculations, causing high-level alarms to trigger improperly in industrial control systems.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Ponchon-Savarit Binary Distillation Modeling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Distillation column sizing requires rigorous equilibrium stage assessments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pervasive computational shortcut is defaulting to the McCabe-Thiele method's Constant Molal Overflow (CMO) assumption for all binary mixtures. This assumption fails spectacularly for mixtures exhibiting vastly different latent heats of vaporization, leading to severe under-sizing of the required distillation trays and reboiler duty.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advanced distillation tool must employ the mathematically rigorous Ponchon-Savarit method, which does not rely on the CMO assumption. The algorithm must computationally construct precise enthalpy-concentration diagrams. The system must calculate the specific enthalpy of the vapor phase (</w:t>
      </w:r>
      <w:r w:rsidDel="00000000" w:rsidR="00000000" w:rsidRPr="00000000">
        <w:rPr>
          <w:rFonts w:ascii="Google Sans" w:cs="Google Sans" w:eastAsia="Google Sans" w:hAnsi="Google Sans"/>
          <w:color w:val="1f1f1f"/>
        </w:rPr>
        <w:drawing>
          <wp:inline distB="19050" distT="19050" distL="19050" distR="19050">
            <wp:extent cx="244673" cy="244673"/>
            <wp:effectExtent b="0" l="0" r="0" t="0"/>
            <wp:docPr id="14" name="image13.png"/>
            <a:graphic>
              <a:graphicData uri="http://schemas.openxmlformats.org/drawingml/2006/picture">
                <pic:pic>
                  <pic:nvPicPr>
                    <pic:cNvPr id="0" name="image13.png"/>
                    <pic:cNvPicPr preferRelativeResize="0"/>
                  </pic:nvPicPr>
                  <pic:blipFill>
                    <a:blip r:embed="rId96"/>
                    <a:srcRect b="0" l="0" r="0" t="0"/>
                    <a:stretch>
                      <a:fillRect/>
                    </a:stretch>
                  </pic:blipFill>
                  <pic:spPr>
                    <a:xfrm>
                      <a:off x="0" y="0"/>
                      <a:ext cx="244673" cy="244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liquid phase (</w:t>
      </w:r>
      <w:r w:rsidDel="00000000" w:rsidR="00000000" w:rsidRPr="00000000">
        <w:rPr>
          <w:rFonts w:ascii="Google Sans" w:cs="Google Sans" w:eastAsia="Google Sans" w:hAnsi="Google Sans"/>
          <w:color w:val="1f1f1f"/>
        </w:rPr>
        <w:drawing>
          <wp:inline distB="19050" distT="19050" distL="19050" distR="19050">
            <wp:extent cx="201067" cy="248940"/>
            <wp:effectExtent b="0" l="0" r="0" t="0"/>
            <wp:docPr id="18" name="image15.png"/>
            <a:graphic>
              <a:graphicData uri="http://schemas.openxmlformats.org/drawingml/2006/picture">
                <pic:pic>
                  <pic:nvPicPr>
                    <pic:cNvPr id="0" name="image15.png"/>
                    <pic:cNvPicPr preferRelativeResize="0"/>
                  </pic:nvPicPr>
                  <pic:blipFill>
                    <a:blip r:embed="rId97"/>
                    <a:srcRect b="0" l="0" r="0" t="0"/>
                    <a:stretch>
                      <a:fillRect/>
                    </a:stretch>
                  </pic:blipFill>
                  <pic:spPr>
                    <a:xfrm>
                      <a:off x="0" y="0"/>
                      <a:ext cx="201067" cy="248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every individual theoretical stage, explicitly plotting the operating lines through the mathematically defined enthalpy difference poles (</w:t>
      </w:r>
      <w:r w:rsidDel="00000000" w:rsidR="00000000" w:rsidRPr="00000000">
        <w:rPr>
          <w:rFonts w:ascii="Google Sans" w:cs="Google Sans" w:eastAsia="Google Sans" w:hAnsi="Google Sans"/>
          <w:color w:val="1f1f1f"/>
        </w:rPr>
        <w:drawing>
          <wp:inline distB="19050" distT="19050" distL="19050" distR="19050">
            <wp:extent cx="290215" cy="241846"/>
            <wp:effectExtent b="0" l="0" r="0" t="0"/>
            <wp:docPr id="16" name="image1.png"/>
            <a:graphic>
              <a:graphicData uri="http://schemas.openxmlformats.org/drawingml/2006/picture">
                <pic:pic>
                  <pic:nvPicPr>
                    <pic:cNvPr id="0" name="image1.png"/>
                    <pic:cNvPicPr preferRelativeResize="0"/>
                  </pic:nvPicPr>
                  <pic:blipFill>
                    <a:blip r:embed="rId98"/>
                    <a:srcRect b="0" l="0" r="0" t="0"/>
                    <a:stretch>
                      <a:fillRect/>
                    </a:stretch>
                  </pic:blipFill>
                  <pic:spPr>
                    <a:xfrm>
                      <a:off x="0" y="0"/>
                      <a:ext cx="290215" cy="24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rectifying section and </w:t>
      </w:r>
      <w:r w:rsidDel="00000000" w:rsidR="00000000" w:rsidRPr="00000000">
        <w:rPr>
          <w:rFonts w:ascii="Google Sans" w:cs="Google Sans" w:eastAsia="Google Sans" w:hAnsi="Google Sans"/>
          <w:color w:val="1f1f1f"/>
        </w:rPr>
        <w:drawing>
          <wp:inline distB="19050" distT="19050" distL="19050" distR="19050">
            <wp:extent cx="321469" cy="236374"/>
            <wp:effectExtent b="0" l="0" r="0" t="0"/>
            <wp:docPr id="12" name="image8.png"/>
            <a:graphic>
              <a:graphicData uri="http://schemas.openxmlformats.org/drawingml/2006/picture">
                <pic:pic>
                  <pic:nvPicPr>
                    <pic:cNvPr id="0" name="image8.png"/>
                    <pic:cNvPicPr preferRelativeResize="0"/>
                  </pic:nvPicPr>
                  <pic:blipFill>
                    <a:blip r:embed="rId99"/>
                    <a:srcRect b="0" l="0" r="0" t="0"/>
                    <a:stretch>
                      <a:fillRect/>
                    </a:stretch>
                  </pic:blipFill>
                  <pic:spPr>
                    <a:xfrm>
                      <a:off x="0" y="0"/>
                      <a:ext cx="321469" cy="2363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stripping section). This requires continuous interplay between the distillation module, the activity coefficient module (UNIQUAC/NRTL), and the thermodynamic enthalpy integration models.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Dew Point and Advanced Psychrometrics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Precise calculation of saturation vapor pressure is fundamental to predicting dew points, designing HVAC systems, and managing instrument air utility 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prevalent error is the use of the simplistic Magnus-Tetens formula below </w:t>
      </w:r>
      <w:r w:rsidDel="00000000" w:rsidR="00000000" w:rsidRPr="00000000">
        <w:rPr>
          <w:rFonts w:ascii="Google Sans" w:cs="Google Sans" w:eastAsia="Google Sans" w:hAnsi="Google Sans"/>
          <w:color w:val="1f1f1f"/>
        </w:rPr>
        <w:drawing>
          <wp:inline distB="19050" distT="19050" distL="19050" distR="19050">
            <wp:extent cx="317897" cy="240831"/>
            <wp:effectExtent b="0" l="0" r="0" t="0"/>
            <wp:docPr id="11" name="image3.png"/>
            <a:graphic>
              <a:graphicData uri="http://schemas.openxmlformats.org/drawingml/2006/picture">
                <pic:pic>
                  <pic:nvPicPr>
                    <pic:cNvPr id="0" name="image3.png"/>
                    <pic:cNvPicPr preferRelativeResize="0"/>
                  </pic:nvPicPr>
                  <pic:blipFill>
                    <a:blip r:embed="rId100"/>
                    <a:srcRect b="0" l="0" r="0" t="0"/>
                    <a:stretch>
                      <a:fillRect/>
                    </a:stretch>
                  </pic:blipFill>
                  <pic:spPr>
                    <a:xfrm>
                      <a:off x="0" y="0"/>
                      <a:ext cx="317897" cy="240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failing to account for the altered thermodynamics of ice formation versus supercooled liquid water.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codebase must be upgraded to utilize the Arden Buck equations, which provide superior precision across vast temperature spans. The algorithm must dynamically evaluate the input temperature and alter the empirical constants depending on whether the phase boundary is calculated over liquid water or over solid ice. Furthermore, for high-pressure compressed air systems, ideal gas psychrometrics fail entirely. The advanced tab must apply the appropriate enhancement factor (</w:t>
      </w:r>
      <w:r w:rsidDel="00000000" w:rsidR="00000000" w:rsidRPr="00000000">
        <w:rPr>
          <w:rFonts w:ascii="Google Sans" w:cs="Google Sans" w:eastAsia="Google Sans" w:hAnsi="Google Sans"/>
          <w:color w:val="1f1f1f"/>
        </w:rPr>
        <w:drawing>
          <wp:inline distB="19050" distT="19050" distL="19050" distR="19050">
            <wp:extent cx="207615" cy="245364"/>
            <wp:effectExtent b="0" l="0" r="0" t="0"/>
            <wp:docPr id="13" name="image5.png"/>
            <a:graphic>
              <a:graphicData uri="http://schemas.openxmlformats.org/drawingml/2006/picture">
                <pic:pic>
                  <pic:nvPicPr>
                    <pic:cNvPr id="0" name="image5.png"/>
                    <pic:cNvPicPr preferRelativeResize="0"/>
                  </pic:nvPicPr>
                  <pic:blipFill>
                    <a:blip r:embed="rId101"/>
                    <a:srcRect b="0" l="0" r="0" t="0"/>
                    <a:stretch>
                      <a:fillRect/>
                    </a:stretch>
                  </pic:blipFill>
                  <pic:spPr>
                    <a:xfrm>
                      <a:off x="0" y="0"/>
                      <a:ext cx="207615" cy="245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derived from exact pressure measurements, to mathematically correct for the non-ideal, high-pressure interaction between the dry air molecules and the water vapor phase, ensuring accurate condensation predictions in critical pneumatic control lines.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 comprehensive, 27-module chemical engineering computational suite requires meticulous attention to thermodynamic phase boundaries, rigorous numerical stability, and advanced geometric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Although primary access to isolated repositories may occasionally be restricted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 algorithmic audit of the underlying engineering mathematics proves that the prevalent errors across such software largely stem from a single overarching issue: the misapplication of explicit, generalized, and historically simplified equations in modern computational environments that require iterative, implicit, and highly nonlinear numerical solutions.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reliance on ideal gas laws, constant heat capacities, explicit friction factors, and perfectly mixed reactor assumptions introduces compounding truncation errors that render basic calculators completely unsuitable for industrial applications. To ensure true engineering fidelity within an "Advanced Tab" interface, the software codebase must systemically deprecate explicit analytical approximations in favor of robust numerical solvers—specifically deploying Newton-Raphson root-finding techniques, Runge-Kutta integration limits, Backward Differentiation Formulas for stiff kinetics, and multi-component fugacity derivatives. By systematically implementing the specific mathematical corrections, thermodynamic transitions, and algorithmic safety mechanisms detailed throughout this report, the computational platform will transition from a basic pedagogical interface into a mathematically defensible, process-safe engineering asset.</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Calculators Archives - Chemical Engineering Site, </w:t>
      </w:r>
      <w:hyperlink r:id="rId102">
        <w:r w:rsidDel="00000000" w:rsidR="00000000" w:rsidRPr="00000000">
          <w:rPr>
            <w:rFonts w:ascii="Google Sans" w:cs="Google Sans" w:eastAsia="Google Sans" w:hAnsi="Google Sans"/>
            <w:color w:val="0000ee"/>
            <w:sz w:val="24"/>
            <w:szCs w:val="24"/>
            <w:u w:val="single"/>
            <w:rtl w:val="0"/>
          </w:rPr>
          <w:t xml:space="preserve">https://chemicalengineeringsite.in/category/calculators/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ChemEnggCalc - Chemical Engineering Calculators &amp; Tools, </w:t>
      </w:r>
      <w:hyperlink r:id="rId103">
        <w:r w:rsidDel="00000000" w:rsidR="00000000" w:rsidRPr="00000000">
          <w:rPr>
            <w:rFonts w:ascii="Google Sans" w:cs="Google Sans" w:eastAsia="Google Sans" w:hAnsi="Google Sans"/>
            <w:color w:val="0000ee"/>
            <w:sz w:val="24"/>
            <w:szCs w:val="24"/>
            <w:u w:val="single"/>
            <w:rtl w:val="0"/>
          </w:rPr>
          <w:t xml:space="preserve">https://chemenggcalc.com/</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Chemical Engineering - Apps on Google Play, </w:t>
      </w:r>
      <w:hyperlink r:id="rId104">
        <w:r w:rsidDel="00000000" w:rsidR="00000000" w:rsidRPr="00000000">
          <w:rPr>
            <w:rFonts w:ascii="Google Sans" w:cs="Google Sans" w:eastAsia="Google Sans" w:hAnsi="Google Sans"/>
            <w:color w:val="0000ee"/>
            <w:sz w:val="24"/>
            <w:szCs w:val="24"/>
            <w:u w:val="single"/>
            <w:rtl w:val="0"/>
          </w:rPr>
          <w:t xml:space="preserve">https://play.google.com/store/apps/details?id=com.softecks.chemicalengineeringapp</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hyperlink r:id="rId105">
        <w:r w:rsidDel="00000000" w:rsidR="00000000" w:rsidRPr="00000000">
          <w:rPr>
            <w:rFonts w:ascii="Google Sans" w:cs="Google Sans" w:eastAsia="Google Sans" w:hAnsi="Google Sans"/>
            <w:color w:val="0000ee"/>
            <w:sz w:val="24"/>
            <w:szCs w:val="24"/>
            <w:u w:val="single"/>
            <w:rtl w:val="0"/>
          </w:rPr>
          <w:t xml:space="preserve">https://github.com/raz786786/Chembase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4.png"/><Relationship Id="rId41" Type="http://schemas.openxmlformats.org/officeDocument/2006/relationships/image" Target="media/image2.png"/><Relationship Id="rId44" Type="http://schemas.openxmlformats.org/officeDocument/2006/relationships/image" Target="media/image10.png"/><Relationship Id="rId43" Type="http://schemas.openxmlformats.org/officeDocument/2006/relationships/image" Target="media/image11.png"/><Relationship Id="rId46" Type="http://schemas.openxmlformats.org/officeDocument/2006/relationships/image" Target="media/image9.png"/><Relationship Id="rId45" Type="http://schemas.openxmlformats.org/officeDocument/2006/relationships/image" Target="media/image7.png"/><Relationship Id="rId105" Type="http://schemas.openxmlformats.org/officeDocument/2006/relationships/hyperlink" Target="https://github.com/raz786786/Chembase" TargetMode="External"/><Relationship Id="rId104" Type="http://schemas.openxmlformats.org/officeDocument/2006/relationships/hyperlink" Target="https://play.google.com/store/apps/details?id=com.softecks.chemicalengineeringapp" TargetMode="External"/><Relationship Id="rId48" Type="http://schemas.openxmlformats.org/officeDocument/2006/relationships/image" Target="media/image12.png"/><Relationship Id="rId47" Type="http://schemas.openxmlformats.org/officeDocument/2006/relationships/image" Target="media/image18.png"/><Relationship Id="rId49" Type="http://schemas.openxmlformats.org/officeDocument/2006/relationships/image" Target="media/image22.png"/><Relationship Id="rId103" Type="http://schemas.openxmlformats.org/officeDocument/2006/relationships/hyperlink" Target="https://chemenggcalc.com/" TargetMode="External"/><Relationship Id="rId102" Type="http://schemas.openxmlformats.org/officeDocument/2006/relationships/hyperlink" Target="https://chemicalengineeringsite.in/category/calculators/" TargetMode="External"/><Relationship Id="rId101" Type="http://schemas.openxmlformats.org/officeDocument/2006/relationships/image" Target="media/image5.png"/><Relationship Id="rId100" Type="http://schemas.openxmlformats.org/officeDocument/2006/relationships/image" Target="media/image3.png"/><Relationship Id="rId31" Type="http://schemas.openxmlformats.org/officeDocument/2006/relationships/image" Target="media/image68.png"/><Relationship Id="rId30" Type="http://schemas.openxmlformats.org/officeDocument/2006/relationships/image" Target="media/image62.png"/><Relationship Id="rId33" Type="http://schemas.openxmlformats.org/officeDocument/2006/relationships/image" Target="media/image63.png"/><Relationship Id="rId32" Type="http://schemas.openxmlformats.org/officeDocument/2006/relationships/image" Target="media/image60.png"/><Relationship Id="rId35" Type="http://schemas.openxmlformats.org/officeDocument/2006/relationships/image" Target="media/image16.png"/><Relationship Id="rId34" Type="http://schemas.openxmlformats.org/officeDocument/2006/relationships/image" Target="media/image41.png"/><Relationship Id="rId37" Type="http://schemas.openxmlformats.org/officeDocument/2006/relationships/image" Target="media/image14.png"/><Relationship Id="rId36" Type="http://schemas.openxmlformats.org/officeDocument/2006/relationships/image" Target="media/image29.png"/><Relationship Id="rId39" Type="http://schemas.openxmlformats.org/officeDocument/2006/relationships/image" Target="media/image26.png"/><Relationship Id="rId38" Type="http://schemas.openxmlformats.org/officeDocument/2006/relationships/image" Target="media/image19.png"/><Relationship Id="rId20" Type="http://schemas.openxmlformats.org/officeDocument/2006/relationships/image" Target="media/image79.png"/><Relationship Id="rId22" Type="http://schemas.openxmlformats.org/officeDocument/2006/relationships/image" Target="media/image93.png"/><Relationship Id="rId21" Type="http://schemas.openxmlformats.org/officeDocument/2006/relationships/image" Target="media/image85.png"/><Relationship Id="rId24" Type="http://schemas.openxmlformats.org/officeDocument/2006/relationships/image" Target="media/image88.png"/><Relationship Id="rId23" Type="http://schemas.openxmlformats.org/officeDocument/2006/relationships/image" Target="media/image91.png"/><Relationship Id="rId26" Type="http://schemas.openxmlformats.org/officeDocument/2006/relationships/image" Target="media/image67.png"/><Relationship Id="rId25" Type="http://schemas.openxmlformats.org/officeDocument/2006/relationships/image" Target="media/image70.png"/><Relationship Id="rId28" Type="http://schemas.openxmlformats.org/officeDocument/2006/relationships/image" Target="media/image57.png"/><Relationship Id="rId27" Type="http://schemas.openxmlformats.org/officeDocument/2006/relationships/image" Target="media/image69.png"/><Relationship Id="rId29" Type="http://schemas.openxmlformats.org/officeDocument/2006/relationships/image" Target="media/image59.png"/><Relationship Id="rId95" Type="http://schemas.openxmlformats.org/officeDocument/2006/relationships/image" Target="media/image84.png"/><Relationship Id="rId94" Type="http://schemas.openxmlformats.org/officeDocument/2006/relationships/image" Target="media/image87.png"/><Relationship Id="rId97" Type="http://schemas.openxmlformats.org/officeDocument/2006/relationships/image" Target="media/image15.png"/><Relationship Id="rId96" Type="http://schemas.openxmlformats.org/officeDocument/2006/relationships/image" Target="media/image13.png"/><Relationship Id="rId11" Type="http://schemas.openxmlformats.org/officeDocument/2006/relationships/image" Target="media/image77.png"/><Relationship Id="rId99" Type="http://schemas.openxmlformats.org/officeDocument/2006/relationships/image" Target="media/image8.png"/><Relationship Id="rId10" Type="http://schemas.openxmlformats.org/officeDocument/2006/relationships/image" Target="media/image73.png"/><Relationship Id="rId98" Type="http://schemas.openxmlformats.org/officeDocument/2006/relationships/image" Target="media/image1.png"/><Relationship Id="rId13" Type="http://schemas.openxmlformats.org/officeDocument/2006/relationships/image" Target="media/image80.png"/><Relationship Id="rId12" Type="http://schemas.openxmlformats.org/officeDocument/2006/relationships/image" Target="media/image74.png"/><Relationship Id="rId91" Type="http://schemas.openxmlformats.org/officeDocument/2006/relationships/image" Target="media/image76.png"/><Relationship Id="rId90" Type="http://schemas.openxmlformats.org/officeDocument/2006/relationships/image" Target="media/image42.png"/><Relationship Id="rId93" Type="http://schemas.openxmlformats.org/officeDocument/2006/relationships/image" Target="media/image86.png"/><Relationship Id="rId92" Type="http://schemas.openxmlformats.org/officeDocument/2006/relationships/image" Target="media/image82.png"/><Relationship Id="rId15" Type="http://schemas.openxmlformats.org/officeDocument/2006/relationships/image" Target="media/image78.png"/><Relationship Id="rId14" Type="http://schemas.openxmlformats.org/officeDocument/2006/relationships/image" Target="media/image90.png"/><Relationship Id="rId17" Type="http://schemas.openxmlformats.org/officeDocument/2006/relationships/image" Target="media/image83.png"/><Relationship Id="rId16" Type="http://schemas.openxmlformats.org/officeDocument/2006/relationships/image" Target="media/image89.png"/><Relationship Id="rId19" Type="http://schemas.openxmlformats.org/officeDocument/2006/relationships/image" Target="media/image92.png"/><Relationship Id="rId18" Type="http://schemas.openxmlformats.org/officeDocument/2006/relationships/image" Target="media/image96.png"/><Relationship Id="rId84" Type="http://schemas.openxmlformats.org/officeDocument/2006/relationships/image" Target="media/image53.png"/><Relationship Id="rId83" Type="http://schemas.openxmlformats.org/officeDocument/2006/relationships/image" Target="media/image40.png"/><Relationship Id="rId86" Type="http://schemas.openxmlformats.org/officeDocument/2006/relationships/image" Target="media/image95.png"/><Relationship Id="rId85" Type="http://schemas.openxmlformats.org/officeDocument/2006/relationships/image" Target="media/image51.png"/><Relationship Id="rId88" Type="http://schemas.openxmlformats.org/officeDocument/2006/relationships/image" Target="media/image49.png"/><Relationship Id="rId87" Type="http://schemas.openxmlformats.org/officeDocument/2006/relationships/image" Target="media/image55.png"/><Relationship Id="rId89" Type="http://schemas.openxmlformats.org/officeDocument/2006/relationships/image" Target="media/image54.png"/><Relationship Id="rId80" Type="http://schemas.openxmlformats.org/officeDocument/2006/relationships/image" Target="media/image46.png"/><Relationship Id="rId82" Type="http://schemas.openxmlformats.org/officeDocument/2006/relationships/image" Target="media/image43.png"/><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2.png"/><Relationship Id="rId5" Type="http://schemas.openxmlformats.org/officeDocument/2006/relationships/styles" Target="styles.xml"/><Relationship Id="rId6" Type="http://schemas.openxmlformats.org/officeDocument/2006/relationships/image" Target="media/image71.png"/><Relationship Id="rId7" Type="http://schemas.openxmlformats.org/officeDocument/2006/relationships/image" Target="media/image66.png"/><Relationship Id="rId8" Type="http://schemas.openxmlformats.org/officeDocument/2006/relationships/image" Target="media/image75.png"/><Relationship Id="rId73" Type="http://schemas.openxmlformats.org/officeDocument/2006/relationships/image" Target="media/image94.png"/><Relationship Id="rId72" Type="http://schemas.openxmlformats.org/officeDocument/2006/relationships/image" Target="media/image45.png"/><Relationship Id="rId75" Type="http://schemas.openxmlformats.org/officeDocument/2006/relationships/image" Target="media/image48.png"/><Relationship Id="rId74" Type="http://schemas.openxmlformats.org/officeDocument/2006/relationships/image" Target="media/image52.png"/><Relationship Id="rId77" Type="http://schemas.openxmlformats.org/officeDocument/2006/relationships/image" Target="media/image65.png"/><Relationship Id="rId76" Type="http://schemas.openxmlformats.org/officeDocument/2006/relationships/image" Target="media/image61.png"/><Relationship Id="rId79" Type="http://schemas.openxmlformats.org/officeDocument/2006/relationships/image" Target="media/image50.png"/><Relationship Id="rId78" Type="http://schemas.openxmlformats.org/officeDocument/2006/relationships/image" Target="media/image64.png"/><Relationship Id="rId71" Type="http://schemas.openxmlformats.org/officeDocument/2006/relationships/image" Target="media/image58.png"/><Relationship Id="rId70" Type="http://schemas.openxmlformats.org/officeDocument/2006/relationships/image" Target="media/image56.png"/><Relationship Id="rId62" Type="http://schemas.openxmlformats.org/officeDocument/2006/relationships/image" Target="media/image6.png"/><Relationship Id="rId61" Type="http://schemas.openxmlformats.org/officeDocument/2006/relationships/image" Target="media/image24.png"/><Relationship Id="rId64" Type="http://schemas.openxmlformats.org/officeDocument/2006/relationships/image" Target="media/image20.png"/><Relationship Id="rId63" Type="http://schemas.openxmlformats.org/officeDocument/2006/relationships/image" Target="media/image23.png"/><Relationship Id="rId66" Type="http://schemas.openxmlformats.org/officeDocument/2006/relationships/image" Target="media/image27.png"/><Relationship Id="rId65" Type="http://schemas.openxmlformats.org/officeDocument/2006/relationships/image" Target="media/image25.png"/><Relationship Id="rId68" Type="http://schemas.openxmlformats.org/officeDocument/2006/relationships/image" Target="media/image36.png"/><Relationship Id="rId67" Type="http://schemas.openxmlformats.org/officeDocument/2006/relationships/image" Target="media/image21.png"/><Relationship Id="rId60" Type="http://schemas.openxmlformats.org/officeDocument/2006/relationships/image" Target="media/image31.png"/><Relationship Id="rId69" Type="http://schemas.openxmlformats.org/officeDocument/2006/relationships/image" Target="media/image17.png"/><Relationship Id="rId51" Type="http://schemas.openxmlformats.org/officeDocument/2006/relationships/image" Target="media/image32.png"/><Relationship Id="rId50" Type="http://schemas.openxmlformats.org/officeDocument/2006/relationships/image" Target="media/image28.png"/><Relationship Id="rId53" Type="http://schemas.openxmlformats.org/officeDocument/2006/relationships/image" Target="media/image37.png"/><Relationship Id="rId52" Type="http://schemas.openxmlformats.org/officeDocument/2006/relationships/image" Target="media/image38.png"/><Relationship Id="rId55" Type="http://schemas.openxmlformats.org/officeDocument/2006/relationships/image" Target="media/image35.png"/><Relationship Id="rId54" Type="http://schemas.openxmlformats.org/officeDocument/2006/relationships/image" Target="media/image33.png"/><Relationship Id="rId57" Type="http://schemas.openxmlformats.org/officeDocument/2006/relationships/image" Target="media/image81.png"/><Relationship Id="rId56" Type="http://schemas.openxmlformats.org/officeDocument/2006/relationships/image" Target="media/image34.png"/><Relationship Id="rId59" Type="http://schemas.openxmlformats.org/officeDocument/2006/relationships/image" Target="media/image30.png"/><Relationship Id="rId5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