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60B18" w14:textId="77777777" w:rsidR="004464D8" w:rsidRDefault="004464D8" w:rsidP="004464D8">
      <w:pPr>
        <w:jc w:val="center"/>
        <w:rPr>
          <w:b/>
          <w:u w:val="single"/>
        </w:rPr>
      </w:pPr>
      <w:r w:rsidRPr="004464D8">
        <w:rPr>
          <w:b/>
          <w:u w:val="single"/>
        </w:rPr>
        <w:t>Работа в Атраксе через УТЛ</w:t>
      </w:r>
    </w:p>
    <w:p w14:paraId="4C2488EF" w14:textId="37A4602C" w:rsidR="004464D8" w:rsidRDefault="004464D8" w:rsidP="004464D8">
      <w:r>
        <w:t xml:space="preserve">  </w:t>
      </w:r>
      <w:r w:rsidR="00C60EE4">
        <w:t xml:space="preserve">     </w:t>
      </w:r>
      <w:r>
        <w:t>Для работы с платформой Атракс</w:t>
      </w:r>
      <w:r w:rsidR="00FF2F72">
        <w:t xml:space="preserve"> </w:t>
      </w:r>
      <w:r>
        <w:t>теперь достаточно</w:t>
      </w:r>
      <w:r w:rsidR="00715C2C">
        <w:t xml:space="preserve"> произвести</w:t>
      </w:r>
      <w:r>
        <w:t xml:space="preserve"> несколько простых действий в УТЛ для зарегистрированных в Атраксе пользователей программы. Заходить на саму платформу теперь не требуется. </w:t>
      </w:r>
    </w:p>
    <w:p w14:paraId="30A62446" w14:textId="080A4D68" w:rsidR="00C60EE4" w:rsidRPr="005004F0" w:rsidRDefault="00C60EE4" w:rsidP="004464D8">
      <w:pPr>
        <w:rPr>
          <w:b/>
        </w:rPr>
      </w:pPr>
      <w:r w:rsidRPr="00C60EE4">
        <w:rPr>
          <w:b/>
        </w:rPr>
        <w:t>- Подготовительный этап</w:t>
      </w:r>
      <w:r w:rsidR="005004F0" w:rsidRPr="005004F0">
        <w:rPr>
          <w:b/>
        </w:rPr>
        <w:t xml:space="preserve"> </w:t>
      </w:r>
      <w:r w:rsidR="005004F0">
        <w:rPr>
          <w:b/>
        </w:rPr>
        <w:t xml:space="preserve">проводит </w:t>
      </w:r>
      <w:r w:rsidR="005004F0" w:rsidRPr="005004F0">
        <w:rPr>
          <w:b/>
          <w:u w:val="single"/>
        </w:rPr>
        <w:t>один сотрудник</w:t>
      </w:r>
      <w:r w:rsidR="005004F0">
        <w:rPr>
          <w:b/>
        </w:rPr>
        <w:t xml:space="preserve"> из обособленного подразделения, наделенный </w:t>
      </w:r>
      <w:r w:rsidR="005004F0" w:rsidRPr="005004F0">
        <w:rPr>
          <w:b/>
          <w:u w:val="single"/>
        </w:rPr>
        <w:t>соответствующими правами</w:t>
      </w:r>
      <w:r w:rsidR="005004F0">
        <w:rPr>
          <w:b/>
        </w:rPr>
        <w:t>. Руководитель ОП должен назначить ответственного сотрудника и сообщить его ФИО в группу УТЛ, после</w:t>
      </w:r>
      <w:r w:rsidR="001075D3">
        <w:rPr>
          <w:b/>
        </w:rPr>
        <w:t xml:space="preserve"> чего ему дадут соответствующие права.</w:t>
      </w:r>
    </w:p>
    <w:p w14:paraId="70CA5709" w14:textId="77777777" w:rsidR="00C60EE4" w:rsidRDefault="00C60EE4" w:rsidP="004464D8">
      <w:r>
        <w:t xml:space="preserve">      Необходимо заполнить данные для Атракса во всех местных и региональных направлениях грузов. Открываем раздел Справочная информация/направления/ направления грузов и заходим для заполнения поочередно в каждое направление:</w:t>
      </w:r>
    </w:p>
    <w:p w14:paraId="3B5D2794" w14:textId="77777777" w:rsidR="00E7192B" w:rsidRDefault="00E7192B" w:rsidP="004464D8"/>
    <w:p w14:paraId="1D79EAA9" w14:textId="77777777" w:rsidR="00C60EE4" w:rsidRDefault="00C60EE4" w:rsidP="004464D8">
      <w:r>
        <w:rPr>
          <w:noProof/>
          <w:lang w:eastAsia="ru-RU"/>
        </w:rPr>
        <w:drawing>
          <wp:inline distT="0" distB="0" distL="0" distR="0" wp14:anchorId="382E4EB0" wp14:editId="638D861C">
            <wp:extent cx="6152515" cy="37642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3992" w14:textId="77777777" w:rsidR="00E7192B" w:rsidRDefault="00E7192B" w:rsidP="004464D8"/>
    <w:p w14:paraId="692C0892" w14:textId="3DFDEB97" w:rsidR="00650E3C" w:rsidRPr="00B75427" w:rsidRDefault="00650E3C" w:rsidP="004464D8">
      <w:pPr>
        <w:rPr>
          <w:b/>
          <w:color w:val="FF0000"/>
        </w:rPr>
      </w:pPr>
      <w:r>
        <w:t>В зависимости от требуемого полезного объёма ТС, аукцион автоматически будет з</w:t>
      </w:r>
      <w:r w:rsidR="00E94499">
        <w:t>апускаться с нужной стоимостью, если она разная. Можно установить общую начальную цену аукциона</w:t>
      </w:r>
      <w:r w:rsidR="00D04CA1">
        <w:t>, если</w:t>
      </w:r>
      <w:r w:rsidR="00230E27">
        <w:t xml:space="preserve"> она независимо</w:t>
      </w:r>
      <w:r w:rsidR="008B6098">
        <w:t xml:space="preserve"> ни от чего должна быть</w:t>
      </w:r>
      <w:r w:rsidR="00B75427">
        <w:t xml:space="preserve"> одинаковой. </w:t>
      </w:r>
      <w:r w:rsidR="00B75427" w:rsidRPr="00B75427">
        <w:rPr>
          <w:b/>
        </w:rPr>
        <w:t>ВАЖНО:</w:t>
      </w:r>
      <w:r w:rsidR="00B75427">
        <w:t xml:space="preserve"> </w:t>
      </w:r>
      <w:r w:rsidR="00B75427" w:rsidRPr="00B75427">
        <w:rPr>
          <w:b/>
          <w:color w:val="FF0000"/>
        </w:rPr>
        <w:t>в едином направлении Город устанавливать общую начальную цену ЗАПРЕЩЕНО, т.к. она установится для всех подразделений!!!</w:t>
      </w:r>
    </w:p>
    <w:p w14:paraId="61978EBD" w14:textId="7CAB5F72" w:rsidR="00E146BF" w:rsidRDefault="00E146BF" w:rsidP="004464D8">
      <w:r>
        <w:rPr>
          <w:noProof/>
          <w:lang w:eastAsia="ru-RU"/>
        </w:rPr>
        <w:drawing>
          <wp:inline distT="0" distB="0" distL="0" distR="0" wp14:anchorId="55799133" wp14:editId="33C423E0">
            <wp:extent cx="6152515" cy="184658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A533" w14:textId="2FDFC124" w:rsidR="00650E3C" w:rsidRDefault="00650E3C" w:rsidP="004464D8">
      <w:r>
        <w:lastRenderedPageBreak/>
        <w:t>Ниже заполняем точки доставки – те населенные пункты, в которых возможна выгру</w:t>
      </w:r>
      <w:r w:rsidR="00BB7B94">
        <w:t>зка в рамках данного направления</w:t>
      </w:r>
      <w:r>
        <w:t xml:space="preserve"> – это могут быть как города, так и села/станицы.</w:t>
      </w:r>
      <w:r w:rsidR="00D04CA1">
        <w:t xml:space="preserve"> </w:t>
      </w:r>
      <w:r w:rsidR="00E146BF" w:rsidRPr="00D04CA1">
        <w:rPr>
          <w:b/>
        </w:rPr>
        <w:t>ВАЖНО: населенные пункты за</w:t>
      </w:r>
      <w:r w:rsidR="00125D9A">
        <w:rPr>
          <w:b/>
        </w:rPr>
        <w:t xml:space="preserve">носятся </w:t>
      </w:r>
      <w:r w:rsidR="00D04CA1">
        <w:rPr>
          <w:b/>
        </w:rPr>
        <w:t>строго</w:t>
      </w:r>
      <w:r w:rsidR="00E146BF" w:rsidRPr="00D04CA1">
        <w:rPr>
          <w:b/>
        </w:rPr>
        <w:t xml:space="preserve"> по порядку</w:t>
      </w:r>
      <w:r w:rsidR="00D04CA1">
        <w:rPr>
          <w:b/>
        </w:rPr>
        <w:t xml:space="preserve"> следования ТС</w:t>
      </w:r>
      <w:r w:rsidR="00E146BF" w:rsidRPr="00D04CA1">
        <w:rPr>
          <w:b/>
        </w:rPr>
        <w:t xml:space="preserve"> – так как проходит через них маршрут</w:t>
      </w:r>
      <w:r w:rsidR="00E146BF">
        <w:t xml:space="preserve">. </w:t>
      </w:r>
      <w:r>
        <w:t xml:space="preserve"> При занесении мелких населенных пунктов (НП) впереди указываем регион, а через запятую НП. </w:t>
      </w:r>
      <w:r w:rsidRPr="00650E3C">
        <w:rPr>
          <w:i/>
        </w:rPr>
        <w:t>Пример: Став</w:t>
      </w:r>
      <w:r>
        <w:rPr>
          <w:i/>
        </w:rPr>
        <w:t>ропольский край, ст. Суворовская.</w:t>
      </w:r>
      <w:r>
        <w:t xml:space="preserve"> Если регион не указать, на Атраксе может запуститься аукцион в другой регион, в котором присутствует такой же НП.</w:t>
      </w:r>
    </w:p>
    <w:p w14:paraId="25E189F4" w14:textId="77777777" w:rsidR="00E7192B" w:rsidRPr="00650E3C" w:rsidRDefault="00E7192B" w:rsidP="004464D8"/>
    <w:p w14:paraId="2C3B7F67" w14:textId="77777777" w:rsidR="00650E3C" w:rsidRPr="00C60EE4" w:rsidRDefault="00650E3C" w:rsidP="004464D8">
      <w:r>
        <w:rPr>
          <w:noProof/>
          <w:lang w:eastAsia="ru-RU"/>
        </w:rPr>
        <w:drawing>
          <wp:inline distT="0" distB="0" distL="0" distR="0" wp14:anchorId="475EC7A6" wp14:editId="1A1DFF3A">
            <wp:extent cx="6590169" cy="2476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9489" cy="24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A372" w14:textId="77777777" w:rsidR="00E7192B" w:rsidRDefault="00E7192B" w:rsidP="004464D8">
      <w:pPr>
        <w:rPr>
          <w:b/>
        </w:rPr>
      </w:pPr>
    </w:p>
    <w:p w14:paraId="58762F7A" w14:textId="4908535B" w:rsidR="00E7192B" w:rsidRPr="00EC29EE" w:rsidRDefault="004464D8" w:rsidP="004464D8">
      <w:pPr>
        <w:rPr>
          <w:b/>
        </w:rPr>
      </w:pPr>
      <w:r w:rsidRPr="00EC29EE">
        <w:rPr>
          <w:b/>
        </w:rPr>
        <w:t>- Создание заявки</w:t>
      </w:r>
    </w:p>
    <w:p w14:paraId="0DB5E849" w14:textId="05070550" w:rsidR="00EC29EE" w:rsidRDefault="00EC29EE" w:rsidP="004464D8">
      <w:r>
        <w:t xml:space="preserve">Нажимаем </w:t>
      </w:r>
      <w:r w:rsidR="001A3E10">
        <w:t xml:space="preserve">в УТЛ </w:t>
      </w:r>
      <w:r>
        <w:t xml:space="preserve">на кнопку создания заявки и заполняем сначала дату и время подачи, а также объём груза и количество </w:t>
      </w:r>
      <w:r w:rsidRPr="00EC29EE">
        <w:t>точек – ВАЖНО (!),</w:t>
      </w:r>
      <w:r>
        <w:t xml:space="preserve"> после этого переходим к остальным данным:</w:t>
      </w:r>
    </w:p>
    <w:p w14:paraId="4BF54101" w14:textId="77777777" w:rsidR="00E7192B" w:rsidRDefault="00E7192B" w:rsidP="004464D8"/>
    <w:p w14:paraId="169CE3D5" w14:textId="77777777" w:rsidR="00EC29EE" w:rsidRDefault="00EC29EE" w:rsidP="004464D8">
      <w:r>
        <w:rPr>
          <w:noProof/>
          <w:lang w:eastAsia="ru-RU"/>
        </w:rPr>
        <w:drawing>
          <wp:inline distT="0" distB="0" distL="0" distR="0" wp14:anchorId="0BD51855" wp14:editId="09133A91">
            <wp:extent cx="6638925" cy="2424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379" cy="24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20E9" w14:textId="77777777" w:rsidR="003A2374" w:rsidRPr="00096544" w:rsidRDefault="003A2374" w:rsidP="004464D8">
      <w:pPr>
        <w:rPr>
          <w:b/>
        </w:rPr>
      </w:pPr>
      <w:r w:rsidRPr="00096544">
        <w:rPr>
          <w:b/>
        </w:rPr>
        <w:t>Если объём заполнить после того, как будет выбрано направление и склад отгрузки, то при разной стартовой стоимости полезного объёма будет запускаться аукцион по минимальному объёму груза</w:t>
      </w:r>
      <w:r w:rsidR="005A1F68" w:rsidRPr="00096544">
        <w:rPr>
          <w:b/>
        </w:rPr>
        <w:t xml:space="preserve"> из справочника цен по данному направлению в</w:t>
      </w:r>
      <w:r w:rsidRPr="00096544">
        <w:rPr>
          <w:b/>
        </w:rPr>
        <w:t xml:space="preserve"> программе.</w:t>
      </w:r>
    </w:p>
    <w:p w14:paraId="0D444129" w14:textId="77777777" w:rsidR="00EC29EE" w:rsidRDefault="003A2374" w:rsidP="004464D8">
      <w:r>
        <w:t xml:space="preserve">Вместо транспортной компании выбираем </w:t>
      </w:r>
      <w:r w:rsidR="0024773F">
        <w:t>«</w:t>
      </w:r>
      <w:r>
        <w:t>Атракс аукцион</w:t>
      </w:r>
      <w:r w:rsidR="0024773F">
        <w:t>».</w:t>
      </w:r>
    </w:p>
    <w:p w14:paraId="0E8467B3" w14:textId="77777777" w:rsidR="003A2374" w:rsidRDefault="003A2374" w:rsidP="004464D8">
      <w:r>
        <w:rPr>
          <w:noProof/>
          <w:lang w:eastAsia="ru-RU"/>
        </w:rPr>
        <w:lastRenderedPageBreak/>
        <w:drawing>
          <wp:inline distT="0" distB="0" distL="0" distR="0" wp14:anchorId="41BA7D4E" wp14:editId="22CC2E43">
            <wp:extent cx="6724650" cy="24270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5649" cy="24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F6CA" w14:textId="77777777" w:rsidR="00C05367" w:rsidRDefault="003A2374" w:rsidP="004464D8">
      <w:r>
        <w:t xml:space="preserve">Далее, как обычно, </w:t>
      </w:r>
      <w:r w:rsidR="00C05367">
        <w:t xml:space="preserve">заполняем </w:t>
      </w:r>
      <w:r>
        <w:t>направление и склад отгрузки</w:t>
      </w:r>
      <w:r w:rsidR="00C05367">
        <w:t>. Проводим заявку,</w:t>
      </w:r>
      <w:r w:rsidR="001A3E10">
        <w:t xml:space="preserve"> </w:t>
      </w:r>
      <w:r w:rsidR="00C05367">
        <w:t>п</w:t>
      </w:r>
      <w:r w:rsidR="001A3E10">
        <w:t>осл</w:t>
      </w:r>
      <w:r w:rsidR="00C05367">
        <w:t xml:space="preserve">е чего раскрываем раздел АТРАКС </w:t>
      </w:r>
    </w:p>
    <w:p w14:paraId="6EE1C85C" w14:textId="0CAF8CBC" w:rsidR="005815FE" w:rsidRDefault="001A3E10" w:rsidP="004464D8">
      <w:r>
        <w:rPr>
          <w:noProof/>
          <w:lang w:eastAsia="ru-RU"/>
        </w:rPr>
        <w:drawing>
          <wp:inline distT="0" distB="0" distL="0" distR="0" wp14:anchorId="23853EA7" wp14:editId="49C14CA8">
            <wp:extent cx="6152515" cy="216725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174" w14:textId="77777777" w:rsidR="00917ADB" w:rsidRDefault="00917ADB" w:rsidP="004464D8">
      <w:r>
        <w:rPr>
          <w:noProof/>
          <w:lang w:eastAsia="ru-RU"/>
        </w:rPr>
        <w:drawing>
          <wp:inline distT="0" distB="0" distL="0" distR="0" wp14:anchorId="17A6A785" wp14:editId="6F754EAA">
            <wp:extent cx="6686550" cy="308206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5860" cy="30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B34E" w14:textId="18FF91B7" w:rsidR="005815FE" w:rsidRDefault="005815FE" w:rsidP="004464D8">
      <w:r>
        <w:t xml:space="preserve">Добавлена возможность выбирать программу: </w:t>
      </w:r>
      <w:proofErr w:type="spellStart"/>
      <w:r>
        <w:t>малотоннаж</w:t>
      </w:r>
      <w:proofErr w:type="spellEnd"/>
      <w:r>
        <w:t xml:space="preserve"> (до 45 кубов), контейнер, фура, пополнение (пополнение  использовать только для Москвы и Ямкино, иначе аукционы обычным перевозчикам видны не будут) . Если не выбрать ни одну программу и время запуска, то по умолчанию для полезного объёма менее 45 кубов </w:t>
      </w:r>
      <w:proofErr w:type="spellStart"/>
      <w:r>
        <w:t>проставится</w:t>
      </w:r>
      <w:proofErr w:type="spellEnd"/>
      <w:r>
        <w:t xml:space="preserve"> «</w:t>
      </w:r>
      <w:proofErr w:type="spellStart"/>
      <w:r>
        <w:t>малотоннаж</w:t>
      </w:r>
      <w:proofErr w:type="spellEnd"/>
      <w:r>
        <w:t>» и 60 минут – время аукциона. Если объём груза более 45 кубов</w:t>
      </w:r>
      <w:r w:rsidR="00DB3E71">
        <w:t xml:space="preserve">, то без </w:t>
      </w:r>
      <w:r w:rsidR="00DB3E71">
        <w:lastRenderedPageBreak/>
        <w:t>выбора вручную программ «фура» или «контейнер» запуск аукциона в Атракс невозможен. Желательно при этом установить время аукциона – 240 минут.</w:t>
      </w:r>
    </w:p>
    <w:p w14:paraId="4F67D160" w14:textId="6818E7F4" w:rsidR="00917ADB" w:rsidRDefault="00917ADB" w:rsidP="004464D8">
      <w:r>
        <w:t xml:space="preserve">Стартовая стоимость заполняется автоматически, исходя из полезного объёма ТС и стартовых цен, занесенных ранее в направление. Плановая и итоговая </w:t>
      </w:r>
      <w:r w:rsidR="00F108BD">
        <w:t>стоимость на этапе запуска должны быть пустыми. П</w:t>
      </w:r>
      <w:r w:rsidR="00C71664">
        <w:t xml:space="preserve">ри запуске </w:t>
      </w:r>
      <w:r w:rsidR="00F108BD">
        <w:t>«приним</w:t>
      </w:r>
      <w:r w:rsidR="00096544">
        <w:t>аем встречные» можно отмечать по необходимости</w:t>
      </w:r>
      <w:r w:rsidR="00F108BD">
        <w:t>. Можно указать комментарий и присвоить ему ярлыки «важный» и/или приём наличных (отметить галочкой в соответствующей строке ярлыка).</w:t>
      </w:r>
      <w:r w:rsidR="00C71664">
        <w:t xml:space="preserve"> Далее нажимаем кнопку «отправить». И аукцион запускается в Атраксе.</w:t>
      </w:r>
    </w:p>
    <w:p w14:paraId="5CD83F97" w14:textId="77777777" w:rsidR="00C71664" w:rsidRDefault="00C71664" w:rsidP="004464D8">
      <w:r>
        <w:rPr>
          <w:noProof/>
          <w:lang w:eastAsia="ru-RU"/>
        </w:rPr>
        <w:drawing>
          <wp:inline distT="0" distB="0" distL="0" distR="0" wp14:anchorId="0257B630" wp14:editId="79F50E99">
            <wp:extent cx="6838950" cy="197637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8244" cy="19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7D63" w14:textId="5AD40F38" w:rsidR="00C71664" w:rsidRDefault="00C71664" w:rsidP="004464D8">
      <w:r>
        <w:t>Если после запуска</w:t>
      </w:r>
      <w:r w:rsidR="00277127">
        <w:t xml:space="preserve"> </w:t>
      </w:r>
      <w:r w:rsidR="007A593F">
        <w:t>есть необходимость</w:t>
      </w:r>
      <w:r>
        <w:t xml:space="preserve"> </w:t>
      </w:r>
      <w:r w:rsidR="00277127">
        <w:t>отредактировать</w:t>
      </w:r>
      <w:r>
        <w:t xml:space="preserve"> комментарий, либо изменить/добавить ярлык, можно воспользоваться кнопкой «перезаполнить ярлыки»</w:t>
      </w:r>
      <w:r w:rsidR="00143848">
        <w:t xml:space="preserve"> - сначала меняем, потом нажимаем. Настройками УТЛ предусмотрен автоматический процесс запуска встречных.  При экстренной необходимости запустить встречные проставляем соответствующую отметку и нажимаем кнопку «обновить». </w:t>
      </w:r>
      <w:r w:rsidR="00403CE2">
        <w:t xml:space="preserve"> </w:t>
      </w:r>
    </w:p>
    <w:p w14:paraId="2FD245E7" w14:textId="6D1BE743" w:rsidR="008A70F8" w:rsidRPr="008A70F8" w:rsidRDefault="008A70F8" w:rsidP="004464D8">
      <w:r w:rsidRPr="008A70F8">
        <w:rPr>
          <w:b/>
        </w:rPr>
        <w:t>ВАЖНО:</w:t>
      </w:r>
      <w:r>
        <w:rPr>
          <w:b/>
        </w:rPr>
        <w:t xml:space="preserve"> при наличии подходящего встречного предложения от ТК, выделяем его и нажимаем запуск по встречному предложению. </w:t>
      </w:r>
      <w:r>
        <w:t>Аукцион будет запущен с выбранной цены, при этом возможность делать встречные предложения будет недоступна, а ТК, с чьего предложения запущен аукцион, будет по умолчанию лидером аукциона, и если никто не откликнется за меньшую стоимость, выиграет аукцион. При этом аукцион на базе встречного запустится на тот же самый период</w:t>
      </w:r>
      <w:r w:rsidR="00DB3E71">
        <w:t xml:space="preserve"> времени</w:t>
      </w:r>
      <w:r>
        <w:t xml:space="preserve">, что и первоначально. Изменить это через УТЛ </w:t>
      </w:r>
      <w:r w:rsidR="00350A9D">
        <w:t xml:space="preserve"> без удаления заявки из Атракса </w:t>
      </w:r>
      <w:r>
        <w:t>невозможно.</w:t>
      </w:r>
    </w:p>
    <w:p w14:paraId="01753090" w14:textId="6D648742" w:rsidR="008A70F8" w:rsidRDefault="008A70F8" w:rsidP="004464D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4A5F0E7" wp14:editId="2D17A68F">
            <wp:extent cx="6152515" cy="28975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BC0D" w14:textId="48154D7F" w:rsidR="008A70F8" w:rsidRPr="008A70F8" w:rsidRDefault="008A70F8" w:rsidP="004464D8">
      <w:r w:rsidRPr="008A70F8">
        <w:t>Отслеживать состояние аукциона можно как в УТЛ, так и по уведомлениям на e-</w:t>
      </w:r>
      <w:proofErr w:type="spellStart"/>
      <w:r w:rsidRPr="008A70F8">
        <w:t>mail</w:t>
      </w:r>
      <w:proofErr w:type="spellEnd"/>
      <w:r w:rsidRPr="008A70F8">
        <w:t xml:space="preserve"> создателю аукциона.</w:t>
      </w:r>
    </w:p>
    <w:p w14:paraId="4D3330A1" w14:textId="77777777" w:rsidR="007E6B65" w:rsidRDefault="007E6B65" w:rsidP="004464D8">
      <w:r>
        <w:rPr>
          <w:noProof/>
          <w:lang w:eastAsia="ru-RU"/>
        </w:rPr>
        <w:lastRenderedPageBreak/>
        <w:drawing>
          <wp:inline distT="0" distB="0" distL="0" distR="0" wp14:anchorId="493E0882" wp14:editId="6BD9369F">
            <wp:extent cx="6448425" cy="19120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7760" cy="19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7F75" w14:textId="77777777" w:rsidR="00B51042" w:rsidRDefault="006750DE" w:rsidP="004464D8">
      <w:r>
        <w:t>При отказе выигравшей ТК можно перезапустить аукцион, а при необходимости удалить аукцион – удаляем</w:t>
      </w:r>
      <w:r w:rsidR="00271FD0">
        <w:t xml:space="preserve"> ТОЛЬКО</w:t>
      </w:r>
      <w:r>
        <w:t xml:space="preserve"> через УТЛ (при этом пустой рейс надо будет расформировать отдельно).</w:t>
      </w:r>
    </w:p>
    <w:p w14:paraId="2F6F85B8" w14:textId="77777777" w:rsidR="006750DE" w:rsidRDefault="006750DE" w:rsidP="004464D8">
      <w:r>
        <w:rPr>
          <w:noProof/>
          <w:lang w:eastAsia="ru-RU"/>
        </w:rPr>
        <w:drawing>
          <wp:inline distT="0" distB="0" distL="0" distR="0" wp14:anchorId="071151F9" wp14:editId="3E8279A0">
            <wp:extent cx="6152515" cy="19323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B1FE" w14:textId="77777777" w:rsidR="00A538F5" w:rsidRDefault="00A538F5" w:rsidP="004464D8">
      <w:r>
        <w:t xml:space="preserve">При первом отклике ТК на аукцион запускается отсчет - 60 минут до определения победителя, в этот период другие ТК могут снизить цену за перевозку, и каждый новый отклик на аукцион продлевает его автоматически ещё на 2 минуты. </w:t>
      </w:r>
    </w:p>
    <w:p w14:paraId="1ACB8F1E" w14:textId="77777777" w:rsidR="00E7192B" w:rsidRDefault="00A538F5" w:rsidP="004464D8">
      <w:r>
        <w:t xml:space="preserve">После </w:t>
      </w:r>
      <w:r w:rsidR="006C5032">
        <w:t>того как аукцион завершится,</w:t>
      </w:r>
      <w:r>
        <w:t xml:space="preserve"> ТК</w:t>
      </w:r>
      <w:r w:rsidR="006C5032">
        <w:t>-победитель</w:t>
      </w:r>
      <w:r>
        <w:t xml:space="preserve"> </w:t>
      </w:r>
      <w:r w:rsidR="00D60F40">
        <w:t>подтверждает</w:t>
      </w:r>
      <w:r>
        <w:t xml:space="preserve"> данные вод</w:t>
      </w:r>
      <w:r w:rsidR="00747E3B">
        <w:t>ителя и ТС на сайте в течение 3-</w:t>
      </w:r>
      <w:r>
        <w:t>х часов</w:t>
      </w:r>
      <w:r w:rsidR="002F78BB">
        <w:t>, и</w:t>
      </w:r>
      <w:r w:rsidR="00D60F40">
        <w:t xml:space="preserve"> в УТЛ</w:t>
      </w:r>
      <w:r>
        <w:t xml:space="preserve"> автоматически </w:t>
      </w:r>
      <w:r w:rsidR="002F78BB">
        <w:t>встает</w:t>
      </w:r>
      <w:r>
        <w:t xml:space="preserve"> ТК </w:t>
      </w:r>
      <w:r w:rsidR="002F78BB">
        <w:t>вместо «А</w:t>
      </w:r>
      <w:r w:rsidR="005C33D8">
        <w:t>тракс аукцион»</w:t>
      </w:r>
      <w:r w:rsidR="002F78BB">
        <w:t>.</w:t>
      </w:r>
      <w:r w:rsidR="00D60F40">
        <w:t xml:space="preserve"> </w:t>
      </w:r>
      <w:r w:rsidR="002F78BB">
        <w:t>С</w:t>
      </w:r>
      <w:r w:rsidR="00D60F40">
        <w:t xml:space="preserve">татус заявки </w:t>
      </w:r>
      <w:r w:rsidR="002F78BB">
        <w:t xml:space="preserve">при этом </w:t>
      </w:r>
      <w:r w:rsidR="00D60F40">
        <w:t>будет «Получены данные Атракс»</w:t>
      </w:r>
      <w:r w:rsidR="002F78BB">
        <w:t>, а загруженные данные – Водитель Атракс и ТС Атракс.</w:t>
      </w:r>
    </w:p>
    <w:p w14:paraId="45DE486C" w14:textId="0E3E3DE1" w:rsidR="002F78BB" w:rsidRDefault="002F78BB" w:rsidP="004464D8">
      <w:r>
        <w:t xml:space="preserve"> </w:t>
      </w:r>
      <w:r>
        <w:rPr>
          <w:noProof/>
          <w:lang w:eastAsia="ru-RU"/>
        </w:rPr>
        <w:drawing>
          <wp:inline distT="0" distB="0" distL="0" distR="0" wp14:anchorId="2E80C37F" wp14:editId="1CD8A6D8">
            <wp:extent cx="6152515" cy="30549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2754" w14:textId="77777777" w:rsidR="00957C15" w:rsidRDefault="002F78BB" w:rsidP="004464D8">
      <w:r w:rsidRPr="002F78BB">
        <w:lastRenderedPageBreak/>
        <w:t>Далее идет стандартная работа с заявками: отправка заявки в ТК, подгрузка данных из заявки, смена статуса на «Получены данные ТК» и т.д.</w:t>
      </w:r>
      <w:r w:rsidR="00957C15">
        <w:t xml:space="preserve"> </w:t>
      </w:r>
      <w:r w:rsidR="00C215FC" w:rsidRPr="001A4B3C">
        <w:rPr>
          <w:b/>
        </w:rPr>
        <w:t>ВАЖНО</w:t>
      </w:r>
      <w:r w:rsidR="00C215FC" w:rsidRPr="003530A3">
        <w:rPr>
          <w:b/>
        </w:rPr>
        <w:t xml:space="preserve">: отправлять заявки для заполнения в ТК можно только тогда, когда в заявке </w:t>
      </w:r>
      <w:r w:rsidR="001A4B3C" w:rsidRPr="003530A3">
        <w:rPr>
          <w:b/>
        </w:rPr>
        <w:t>встанет ТК вместо Атракс аукцион.</w:t>
      </w:r>
    </w:p>
    <w:p w14:paraId="712AC862" w14:textId="77777777" w:rsidR="00957C15" w:rsidRDefault="00957C15" w:rsidP="004464D8">
      <w:r>
        <w:t xml:space="preserve">После завершения рейсов завершать аукционы на Атракс вручную не нужно. Смена статусов происходит автоматически. </w:t>
      </w:r>
    </w:p>
    <w:p w14:paraId="11565602" w14:textId="485334FB" w:rsidR="00592BA9" w:rsidRDefault="00897AEE" w:rsidP="004464D8">
      <w:r>
        <w:t>Таким образом</w:t>
      </w:r>
      <w:r w:rsidR="00CB1AE4">
        <w:t xml:space="preserve">, </w:t>
      </w:r>
      <w:r>
        <w:t>мы избавляемся от необходимости вручную</w:t>
      </w:r>
      <w:r w:rsidR="002F78BB">
        <w:t xml:space="preserve"> создавать,</w:t>
      </w:r>
      <w:r>
        <w:t xml:space="preserve"> </w:t>
      </w:r>
      <w:r w:rsidR="00747E3B">
        <w:t xml:space="preserve">заполнять, </w:t>
      </w:r>
      <w:r>
        <w:t>запускать</w:t>
      </w:r>
      <w:r w:rsidR="00747E3B">
        <w:t>,</w:t>
      </w:r>
      <w:r w:rsidR="002F78BB">
        <w:t xml:space="preserve"> отслеживать и завершать</w:t>
      </w:r>
      <w:r>
        <w:t xml:space="preserve"> аукци</w:t>
      </w:r>
      <w:r w:rsidR="002C68F7">
        <w:t>оны на сайте Атракс</w:t>
      </w:r>
      <w:r w:rsidR="008A7C2C">
        <w:t>,</w:t>
      </w:r>
      <w:r w:rsidR="002F78BB">
        <w:t xml:space="preserve"> и</w:t>
      </w:r>
      <w:r>
        <w:t xml:space="preserve"> отдельно создавать заявки</w:t>
      </w:r>
      <w:r w:rsidR="0007603A">
        <w:t xml:space="preserve"> в УТЛ.</w:t>
      </w:r>
      <w:r w:rsidR="00A614DF">
        <w:t xml:space="preserve"> </w:t>
      </w:r>
      <w:r w:rsidR="0007603A">
        <w:t>В</w:t>
      </w:r>
      <w:r w:rsidR="00A614DF">
        <w:t xml:space="preserve">се данные объединены и связаны </w:t>
      </w:r>
      <w:r w:rsidR="002F78BB">
        <w:t>обменом</w:t>
      </w:r>
      <w:r w:rsidR="00A614DF">
        <w:t xml:space="preserve"> Атракс/УТЛ</w:t>
      </w:r>
      <w:r w:rsidR="00747E3B">
        <w:t xml:space="preserve"> при минимальном заполнении данных,</w:t>
      </w:r>
      <w:r w:rsidR="006C5032">
        <w:t xml:space="preserve"> что значительно</w:t>
      </w:r>
      <w:r w:rsidR="0090102C">
        <w:t xml:space="preserve"> ускоряет и упрощает работу с аукционами. </w:t>
      </w:r>
    </w:p>
    <w:p w14:paraId="569C99DF" w14:textId="50C7E158" w:rsidR="00982D9F" w:rsidRDefault="00982D9F" w:rsidP="00982D9F">
      <w:pPr>
        <w:jc w:val="center"/>
        <w:rPr>
          <w:b/>
          <w:sz w:val="72"/>
          <w:szCs w:val="72"/>
        </w:rPr>
      </w:pPr>
      <w:bookmarkStart w:id="0" w:name="_GoBack"/>
      <w:r w:rsidRPr="00982D9F">
        <w:rPr>
          <w:b/>
          <w:sz w:val="72"/>
          <w:szCs w:val="72"/>
        </w:rPr>
        <w:t>ВАЖНОЕ ДОПОЛНЕНИЕ К ИНСТРУКЦИИ</w:t>
      </w:r>
    </w:p>
    <w:p w14:paraId="4FAEDE99" w14:textId="5E88B41A" w:rsidR="00982D9F" w:rsidRDefault="00982D9F" w:rsidP="00982D9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Средняя стартовая стоимость – новый функционал</w:t>
      </w:r>
    </w:p>
    <w:p w14:paraId="783705E4" w14:textId="60A8E519" w:rsidR="00982D9F" w:rsidRDefault="00982D9F" w:rsidP="00982D9F">
      <w:r>
        <w:t>Еженедельно по воскресеньям происходит автоматический перерасчет средней стартовой стоимости в Атракс по всем направлениям и подразделениям в зависимости от объёма ТС на основании данных по разыгранным аукционам за последние 6 месяцев. За основу берется именно плановая стоимость из заявок со статусами «сформирована» и «загружена». Руками менять стартовую стоимост</w:t>
      </w:r>
      <w:r w:rsidR="00542129">
        <w:t>ь в направлениях теперь нельзя!</w:t>
      </w:r>
    </w:p>
    <w:p w14:paraId="2DF33021" w14:textId="2106AA67" w:rsidR="00982D9F" w:rsidRPr="00982D9F" w:rsidRDefault="00982D9F" w:rsidP="00982D9F">
      <w:r>
        <w:t xml:space="preserve">Если потребуется, можно завести ТС с другими объёмами и стартовой ценой в нужное направление. </w:t>
      </w:r>
      <w:bookmarkEnd w:id="0"/>
    </w:p>
    <w:sectPr w:rsidR="00982D9F" w:rsidRPr="00982D9F" w:rsidSect="00EC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D8"/>
    <w:rsid w:val="000522C2"/>
    <w:rsid w:val="0007603A"/>
    <w:rsid w:val="00096544"/>
    <w:rsid w:val="000B1B3F"/>
    <w:rsid w:val="001075D3"/>
    <w:rsid w:val="00125D9A"/>
    <w:rsid w:val="00143848"/>
    <w:rsid w:val="001A3E10"/>
    <w:rsid w:val="001A4B3C"/>
    <w:rsid w:val="001E2A92"/>
    <w:rsid w:val="00230E27"/>
    <w:rsid w:val="0024773F"/>
    <w:rsid w:val="00271FD0"/>
    <w:rsid w:val="00277127"/>
    <w:rsid w:val="0029307B"/>
    <w:rsid w:val="002B4B97"/>
    <w:rsid w:val="002C68F7"/>
    <w:rsid w:val="002F78BB"/>
    <w:rsid w:val="003457AC"/>
    <w:rsid w:val="00350A9D"/>
    <w:rsid w:val="003530A3"/>
    <w:rsid w:val="00377FDC"/>
    <w:rsid w:val="003A2374"/>
    <w:rsid w:val="00400352"/>
    <w:rsid w:val="00403CE2"/>
    <w:rsid w:val="004162A1"/>
    <w:rsid w:val="004464D8"/>
    <w:rsid w:val="004472D3"/>
    <w:rsid w:val="005004F0"/>
    <w:rsid w:val="00531091"/>
    <w:rsid w:val="00542129"/>
    <w:rsid w:val="005815FE"/>
    <w:rsid w:val="005916BA"/>
    <w:rsid w:val="005926E4"/>
    <w:rsid w:val="00592BA9"/>
    <w:rsid w:val="005A1F68"/>
    <w:rsid w:val="005C33D8"/>
    <w:rsid w:val="00650E3C"/>
    <w:rsid w:val="006750DE"/>
    <w:rsid w:val="006C5032"/>
    <w:rsid w:val="006E0683"/>
    <w:rsid w:val="00715C2C"/>
    <w:rsid w:val="00747E3B"/>
    <w:rsid w:val="007A593F"/>
    <w:rsid w:val="007B5E19"/>
    <w:rsid w:val="007E6B65"/>
    <w:rsid w:val="00802038"/>
    <w:rsid w:val="00854E94"/>
    <w:rsid w:val="008639E1"/>
    <w:rsid w:val="008809F4"/>
    <w:rsid w:val="008836AD"/>
    <w:rsid w:val="00897AEE"/>
    <w:rsid w:val="008A70F8"/>
    <w:rsid w:val="008A7C2C"/>
    <w:rsid w:val="008B6098"/>
    <w:rsid w:val="0090102C"/>
    <w:rsid w:val="00917ADB"/>
    <w:rsid w:val="00957C15"/>
    <w:rsid w:val="00982D9F"/>
    <w:rsid w:val="00A1105D"/>
    <w:rsid w:val="00A538F5"/>
    <w:rsid w:val="00A614DF"/>
    <w:rsid w:val="00A71A21"/>
    <w:rsid w:val="00B51042"/>
    <w:rsid w:val="00B75427"/>
    <w:rsid w:val="00BB30F3"/>
    <w:rsid w:val="00BB7B94"/>
    <w:rsid w:val="00C05367"/>
    <w:rsid w:val="00C215FC"/>
    <w:rsid w:val="00C26F3D"/>
    <w:rsid w:val="00C60EE4"/>
    <w:rsid w:val="00C71664"/>
    <w:rsid w:val="00CB1AE4"/>
    <w:rsid w:val="00CD2642"/>
    <w:rsid w:val="00CF6F52"/>
    <w:rsid w:val="00D04CA1"/>
    <w:rsid w:val="00D60F40"/>
    <w:rsid w:val="00DB3E71"/>
    <w:rsid w:val="00DC588E"/>
    <w:rsid w:val="00E146BF"/>
    <w:rsid w:val="00E7192B"/>
    <w:rsid w:val="00E94499"/>
    <w:rsid w:val="00EC29EE"/>
    <w:rsid w:val="00F108BD"/>
    <w:rsid w:val="00F5689A"/>
    <w:rsid w:val="00FD2C81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4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4EBB4-B93D-4762-BB67-3850836F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 International - tyres Ltd.</Company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Хартюнова Евгения Ивановна</dc:creator>
  <cp:lastModifiedBy>Хартюнова Евгения Ивановна</cp:lastModifiedBy>
  <cp:revision>66</cp:revision>
  <dcterms:created xsi:type="dcterms:W3CDTF">2021-06-06T18:15:00Z</dcterms:created>
  <dcterms:modified xsi:type="dcterms:W3CDTF">2023-02-14T11:09:00Z</dcterms:modified>
</cp:coreProperties>
</file>