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44"/>
          <w:szCs w:val="44"/>
        </w:rPr>
        <w:t xml:space="preserve">INCIDENT RESPONSE REPORT</w:t>
      </w:r>
    </w:p>
    <w:p>
      <w:pPr>
        <w:spacing w:after="600" w:before="200"/>
        <w:jc w:val="center"/>
      </w:pPr>
      <w:r>
        <w:rPr>
          <w:color w:val="595959"/>
          <w:sz w:val="26"/>
          <w:szCs w:val="26"/>
        </w:rPr>
        <w:t xml:space="preserve">Multi-Stage Compromise of Host 192.168.2.13 (Metasploitable2)</w:t>
      </w:r>
    </w:p>
    <w:p>
      <w:pPr>
        <w:pBdr>
          <w:top w:val="single" w:color="1F3864" w:sz="4" w:space="8"/>
          <w:bottom w:val="single" w:color="1F3864" w:sz="4" w:space="8"/>
        </w:pBdr>
        <w:spacing w:after="400" w:before="400"/>
        <w:jc w:val="center"/>
      </w:pPr>
      <w:r>
        <w:rPr>
          <w:b/>
          <w:bCs/>
          <w:color w:val="C00000"/>
          <w:sz w:val="20"/>
          <w:szCs w:val="20"/>
        </w:rPr>
        <w:t xml:space="preserve">CLASSIFICATION: INTERNAL — LAB ENVIRONMENT</w:t>
      </w:r>
    </w:p>
    <w:p>
      <w:pPr>
        <w:spacing w:before="900"/>
        <w:jc w:val="center"/>
      </w:pPr>
      <w:r>
        <w:rPr>
          <w:sz w:val="22"/>
          <w:szCs w:val="22"/>
        </w:rPr>
        <w:t xml:space="preserve">Prepared by:  Ahmed Raza</w:t>
      </w:r>
    </w:p>
    <w:p>
      <w:pPr>
        <w:spacing w:after="80"/>
        <w:jc w:val="center"/>
      </w:pPr>
      <w:r>
        <w:rPr>
          <w:color w:val="595959"/>
          <w:sz w:val="20"/>
          <w:szCs w:val="20"/>
        </w:rPr>
        <w:t xml:space="preserve">Role: Security Analyst (Home Lab / Independent Study)</w:t>
      </w:r>
    </w:p>
    <w:p>
      <w:pPr>
        <w:spacing w:after="80"/>
        <w:jc w:val="center"/>
      </w:pPr>
      <w:r>
        <w:rPr>
          <w:color w:val="595959"/>
          <w:sz w:val="20"/>
          <w:szCs w:val="20"/>
        </w:rPr>
        <w:t xml:space="preserve">Environment: GNS3 Cybersecurity Home Lab — Riphah International University, Hamdard Campus</w:t>
      </w:r>
    </w:p>
    <w:p>
      <w:pPr>
        <w:jc w:val="center"/>
      </w:pPr>
      <w:r>
        <w:rPr>
          <w:color w:val="595959"/>
          <w:sz w:val="20"/>
          <w:szCs w:val="20"/>
        </w:rPr>
        <w:t xml:space="preserve">Report Date: August 6, 2026</w:t>
      </w:r>
    </w:p>
    <w:p>
      <w:pPr>
        <w:spacing w:before="1600"/>
        <w:jc w:val="center"/>
      </w:pPr>
      <w:r>
        <w:rPr>
          <w:i/>
          <w:iCs/>
          <w:color w:val="595959"/>
          <w:sz w:val="18"/>
          <w:szCs w:val="18"/>
        </w:rPr>
        <w:t xml:space="preserve">Reference: Level 4/5 Lab Roadmap — Labs 19, 23, 24, 25, 26, 27</w:t>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60" w:before="360"/>
      </w:pPr>
      <w:r>
        <w:rPr>
          <w:b/>
          <w:bCs/>
          <w:color w:val="1F3864"/>
          <w:sz w:val="28"/>
          <w:szCs w:val="28"/>
        </w:rPr>
        <w:t xml:space="preserve">1. Executive Summary</w:t>
      </w:r>
    </w:p>
    <w:p>
      <w:pPr>
        <w:spacing w:after="160" w:line="276"/>
      </w:pPr>
      <w:r>
        <w:rPr>
          <w:sz w:val="21"/>
          <w:szCs w:val="21"/>
        </w:rPr>
        <w:t xml:space="preserve">Between the network scanning phase first recorded on the target segment and the credential attack observed most recently, host 192.168.2.13 (internal designation "Metasploitable2") was subject to a multi-stage compromise consisting of reconnaissance, exploitation via a known service backdoor, and a subsequent credential brute-force attempt against SSH. All activity was detected through a combination of router-level access control logging and a dedicated Suricata IDS sensor, both forwarding to a centralized Splunk instance. This report documents the incident chronologically against the detection and response evidence generated by that monitoring stack, and closes with concrete recommendations arising from gaps identified during the investigation.</w:t>
      </w:r>
    </w:p>
    <w:p>
      <w:pPr>
        <w:spacing w:after="160" w:line="276"/>
      </w:pPr>
      <w:r>
        <w:rPr>
          <w:sz w:val="21"/>
          <w:szCs w:val="21"/>
        </w:rPr>
        <w:t xml:space="preserve">This exercise was conducted entirely within an isolated, self-hosted GNS3 lab environment built for security training purposes. The attacking host, monitoring stack, and target are all lab-owned assets; no activity in this report was directed at any system outside that environment.</w:t>
      </w:r>
    </w:p>
    <w:p>
      <w:pPr>
        <w:pStyle w:val="Heading1"/>
        <w:pBdr>
          <w:bottom w:val="single" w:color="1F3864" w:sz="6" w:space="4"/>
        </w:pBdr>
        <w:spacing w:after="160" w:before="360"/>
      </w:pPr>
      <w:r>
        <w:rPr>
          <w:b/>
          <w:bCs/>
          <w:color w:val="1F3864"/>
          <w:sz w:val="28"/>
          <w:szCs w:val="28"/>
        </w:rPr>
        <w:t xml:space="preserve">2. Preparation</w:t>
      </w:r>
    </w:p>
    <w:p>
      <w:pPr>
        <w:spacing w:after="160" w:line="276"/>
      </w:pPr>
      <w:r>
        <w:rPr>
          <w:sz w:val="21"/>
          <w:szCs w:val="21"/>
        </w:rPr>
        <w:t xml:space="preserve">The following monitoring and logging capability was in place prior to the incident window described in this report:</w:t>
      </w:r>
    </w:p>
    <w:p>
      <w:pPr>
        <w:pStyle w:val="ListParagraph"/>
        <w:numPr>
          <w:ilvl w:val="0"/>
          <w:numId w:val="2"/>
        </w:numPr>
        <w:spacing w:after="80" w:line="276"/>
      </w:pPr>
      <w:r>
        <w:rPr>
          <w:sz w:val="21"/>
          <w:szCs w:val="21"/>
        </w:rPr>
        <w:t xml:space="preserve">A dedicated, isolated sensor host (192.168.1.12) running Suricata IDS with the Emerging Threats Open ruleset, separate from the attacking workstation, so that a compromised attack host could not disable or blind the sensor observing it.</w:t>
      </w:r>
    </w:p>
    <w:p>
      <w:pPr>
        <w:pStyle w:val="ListParagraph"/>
        <w:numPr>
          <w:ilvl w:val="0"/>
          <w:numId w:val="2"/>
        </w:numPr>
        <w:spacing w:after="80" w:line="276"/>
      </w:pPr>
      <w:r>
        <w:rPr>
          <w:sz w:val="21"/>
          <w:szCs w:val="21"/>
        </w:rPr>
        <w:t xml:space="preserve">Centralized firewall logging from the HQ router (R1), forwarding ACL deny events via rsyslog to the same sensor host.</w:t>
      </w:r>
    </w:p>
    <w:p>
      <w:pPr>
        <w:pStyle w:val="ListParagraph"/>
        <w:numPr>
          <w:ilvl w:val="0"/>
          <w:numId w:val="2"/>
        </w:numPr>
        <w:spacing w:after="80" w:line="276"/>
      </w:pPr>
      <w:r>
        <w:rPr>
          <w:sz w:val="21"/>
          <w:szCs w:val="21"/>
        </w:rPr>
        <w:t xml:space="preserve">Splunk Enterprise deployed on the sensor host, ingesting both the Suricata eve.json structured alert feed and the router syslog stream, enabling correlated search across both sources from a single interface.</w:t>
      </w:r>
    </w:p>
    <w:p>
      <w:pPr>
        <w:pStyle w:val="ListParagraph"/>
        <w:numPr>
          <w:ilvl w:val="0"/>
          <w:numId w:val="2"/>
        </w:numPr>
        <w:spacing w:after="80" w:line="276"/>
      </w:pPr>
      <w:r>
        <w:rPr>
          <w:sz w:val="21"/>
          <w:szCs w:val="21"/>
        </w:rPr>
        <w:t xml:space="preserve">A documented network baseline for the target segment, including known service inventory (vsftpd 2.3.4, Samba, distcc, OpenSSH, Telnet, HTTP) established during earlier reconnaissance exercises against the same host.</w:t>
      </w:r>
    </w:p>
    <w:p>
      <w:pPr>
        <w:spacing w:after="160" w:line="276"/>
      </w:pPr>
      <w:r>
        <w:rPr>
          <w:sz w:val="21"/>
          <w:szCs w:val="21"/>
        </w:rPr>
        <w:t xml:space="preserve">A known limitation carried into this incident: the monitoring sensor sits on a standard Layer 2 switch port with no SPAN/mirror capability. Traffic between two other hosts on a different segment than the sensor is not guaranteed to be visible unless it is addressed to or from a monitored host, or unless it traverses a link the sensor can observe. This limitation is discussed further in Section 8.</w:t>
      </w:r>
    </w:p>
    <w:p>
      <w:pPr>
        <w:pStyle w:val="Heading1"/>
        <w:pBdr>
          <w:bottom w:val="single" w:color="1F3864" w:sz="6" w:space="4"/>
        </w:pBdr>
        <w:spacing w:after="160" w:before="360"/>
      </w:pPr>
      <w:r>
        <w:rPr>
          <w:b/>
          <w:bCs/>
          <w:color w:val="1F3864"/>
          <w:sz w:val="28"/>
          <w:szCs w:val="28"/>
        </w:rPr>
        <w:t xml:space="preserve">3. Detection &amp; Analysis</w:t>
      </w:r>
    </w:p>
    <w:p>
      <w:pPr>
        <w:spacing w:after="160" w:line="276"/>
      </w:pPr>
      <w:r>
        <w:rPr>
          <w:sz w:val="21"/>
          <w:szCs w:val="21"/>
        </w:rPr>
        <w:t xml:space="preserve">The following timeline reconstructs the incident from log and alert evidence, ordered chronologically across the reconnaissance, exploitation, and credential-attack phases.</w:t>
      </w:r>
    </w:p>
    <w:p>
      <w:pPr>
        <w:pStyle w:val="Heading2"/>
        <w:spacing w:after="120" w:before="280"/>
      </w:pPr>
      <w:r>
        <w:rPr>
          <w:b/>
          <w:bCs/>
          <w:color w:val="1F3864"/>
          <w:sz w:val="24"/>
          <w:szCs w:val="24"/>
        </w:rPr>
        <w:t xml:space="preserve">3.1 Timeline of 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650"/>
        <w:gridCol w:w="3300"/>
        <w:gridCol w:w="2900"/>
      </w:tblGrid>
      <w:tr>
        <w:trPr>
          <w:tblHeader/>
        </w:trPr>
        <w:tc>
          <w:tcPr>
            <w:tcW w:type="dxa" w:w="1500"/>
            <w:shd w:fill="1F3864" w:val="clear"/>
            <w:tcMar>
              <w:top w:type="dxa" w:w="80"/>
              <w:left w:type="dxa" w:w="100"/>
              <w:bottom w:type="dxa" w:w="80"/>
              <w:right w:type="dxa" w:w="100"/>
            </w:tcMar>
          </w:tcPr>
          <w:p>
            <w:r>
              <w:rPr>
                <w:b/>
                <w:bCs/>
                <w:color w:val="FFFFFF"/>
                <w:sz w:val="19"/>
                <w:szCs w:val="19"/>
              </w:rPr>
              <w:t xml:space="preserve">Stage</w:t>
            </w:r>
          </w:p>
        </w:tc>
        <w:tc>
          <w:tcPr>
            <w:tcW w:type="dxa" w:w="1650"/>
            <w:shd w:fill="1F3864" w:val="clear"/>
            <w:tcMar>
              <w:top w:type="dxa" w:w="80"/>
              <w:left w:type="dxa" w:w="100"/>
              <w:bottom w:type="dxa" w:w="80"/>
              <w:right w:type="dxa" w:w="100"/>
            </w:tcMar>
          </w:tcPr>
          <w:p>
            <w:r>
              <w:rPr>
                <w:b/>
                <w:bCs/>
                <w:color w:val="FFFFFF"/>
                <w:sz w:val="19"/>
                <w:szCs w:val="19"/>
              </w:rPr>
              <w:t xml:space="preserve">Source → Target</w:t>
            </w:r>
          </w:p>
        </w:tc>
        <w:tc>
          <w:tcPr>
            <w:tcW w:type="dxa" w:w="3300"/>
            <w:shd w:fill="1F3864" w:val="clear"/>
            <w:tcMar>
              <w:top w:type="dxa" w:w="80"/>
              <w:left w:type="dxa" w:w="100"/>
              <w:bottom w:type="dxa" w:w="80"/>
              <w:right w:type="dxa" w:w="100"/>
            </w:tcMar>
          </w:tcPr>
          <w:p>
            <w:r>
              <w:rPr>
                <w:b/>
                <w:bCs/>
                <w:color w:val="FFFFFF"/>
                <w:sz w:val="19"/>
                <w:szCs w:val="19"/>
              </w:rPr>
              <w:t xml:space="preserve">Observed Activity</w:t>
            </w:r>
          </w:p>
        </w:tc>
        <w:tc>
          <w:tcPr>
            <w:tcW w:type="dxa" w:w="2900"/>
            <w:shd w:fill="1F3864" w:val="clear"/>
            <w:tcMar>
              <w:top w:type="dxa" w:w="80"/>
              <w:left w:type="dxa" w:w="100"/>
              <w:bottom w:type="dxa" w:w="80"/>
              <w:right w:type="dxa" w:w="100"/>
            </w:tcMar>
          </w:tcPr>
          <w:p>
            <w:r>
              <w:rPr>
                <w:b/>
                <w:bCs/>
                <w:color w:val="FFFFFF"/>
                <w:sz w:val="19"/>
                <w:szCs w:val="19"/>
              </w:rPr>
              <w:t xml:space="preserve">Detection Source</w:t>
            </w:r>
          </w:p>
        </w:tc>
      </w:tr>
      <w:tr>
        <w:tc>
          <w:tcPr>
            <w:tcW w:type="dxa" w:w="1500"/>
            <w:shd w:fill="F2F2F2" w:val="clear"/>
            <w:tcMar>
              <w:top w:type="dxa" w:w="80"/>
              <w:left w:type="dxa" w:w="100"/>
              <w:bottom w:type="dxa" w:w="80"/>
              <w:right w:type="dxa" w:w="100"/>
            </w:tcMar>
          </w:tcPr>
          <w:p>
            <w:r>
              <w:rPr>
                <w:b w:val="false"/>
                <w:bCs w:val="false"/>
                <w:color w:val="000000"/>
                <w:sz w:val="19"/>
                <w:szCs w:val="19"/>
              </w:rPr>
              <w:t xml:space="preserve">Reconnaissance</w:t>
            </w:r>
          </w:p>
        </w:tc>
        <w:tc>
          <w:tcPr>
            <w:tcW w:type="dxa" w:w="1650"/>
            <w:shd w:fill="F2F2F2" w:val="clear"/>
            <w:tcMar>
              <w:top w:type="dxa" w:w="80"/>
              <w:left w:type="dxa" w:w="100"/>
              <w:bottom w:type="dxa" w:w="80"/>
              <w:right w:type="dxa" w:w="100"/>
            </w:tcMar>
          </w:tcPr>
          <w:p>
            <w:r>
              <w:rPr>
                <w:b w:val="false"/>
                <w:bCs w:val="false"/>
                <w:color w:val="000000"/>
                <w:sz w:val="19"/>
                <w:szCs w:val="19"/>
              </w:rPr>
              <w:t xml:space="preserve">192.168.1.11 → 192.168.2.13</w:t>
            </w:r>
          </w:p>
        </w:tc>
        <w:tc>
          <w:tcPr>
            <w:tcW w:type="dxa" w:w="3300"/>
            <w:shd w:fill="F2F2F2" w:val="clear"/>
            <w:tcMar>
              <w:top w:type="dxa" w:w="80"/>
              <w:left w:type="dxa" w:w="100"/>
              <w:bottom w:type="dxa" w:w="80"/>
              <w:right w:type="dxa" w:w="100"/>
            </w:tcMar>
          </w:tcPr>
          <w:p>
            <w:r>
              <w:rPr>
                <w:b w:val="false"/>
                <w:bCs w:val="false"/>
                <w:color w:val="000000"/>
                <w:sz w:val="19"/>
                <w:szCs w:val="19"/>
              </w:rPr>
              <w:t xml:space="preserve">TCP SYN scan across common and full port ranges; service version detection identified vsftpd 2.3.4, Samba, distcc, OpenSSH, and other outdated services.</w:t>
            </w:r>
          </w:p>
        </w:tc>
        <w:tc>
          <w:tcPr>
            <w:tcW w:type="dxa" w:w="2900"/>
            <w:shd w:fill="F2F2F2" w:val="clear"/>
            <w:tcMar>
              <w:top w:type="dxa" w:w="80"/>
              <w:left w:type="dxa" w:w="100"/>
              <w:bottom w:type="dxa" w:w="80"/>
              <w:right w:type="dxa" w:w="100"/>
            </w:tcMar>
          </w:tcPr>
          <w:p>
            <w:r>
              <w:rPr>
                <w:b w:val="false"/>
                <w:bCs w:val="false"/>
                <w:color w:val="000000"/>
                <w:sz w:val="19"/>
                <w:szCs w:val="19"/>
              </w:rPr>
              <w:t xml:space="preserve">Suricata signature-based alert; scan pattern consistent with SYN stealth scanning (half-open connections, no completed handshake).</w:t>
            </w:r>
          </w:p>
        </w:tc>
      </w:tr>
      <w:tr>
        <w:tc>
          <w:tcPr>
            <w:tcW w:type="dxa" w:w="1500"/>
            <w:tcMar>
              <w:top w:type="dxa" w:w="80"/>
              <w:left w:type="dxa" w:w="100"/>
              <w:bottom w:type="dxa" w:w="80"/>
              <w:right w:type="dxa" w:w="100"/>
            </w:tcMar>
          </w:tcPr>
          <w:p>
            <w:r>
              <w:rPr>
                <w:b w:val="false"/>
                <w:bCs w:val="false"/>
                <w:color w:val="000000"/>
                <w:sz w:val="19"/>
                <w:szCs w:val="19"/>
              </w:rPr>
              <w:t xml:space="preserve">Exploitation</w:t>
            </w:r>
          </w:p>
        </w:tc>
        <w:tc>
          <w:tcPr>
            <w:tcW w:type="dxa" w:w="1650"/>
            <w:tcMar>
              <w:top w:type="dxa" w:w="80"/>
              <w:left w:type="dxa" w:w="100"/>
              <w:bottom w:type="dxa" w:w="80"/>
              <w:right w:type="dxa" w:w="100"/>
            </w:tcMar>
          </w:tcPr>
          <w:p>
            <w:r>
              <w:rPr>
                <w:b w:val="false"/>
                <w:bCs w:val="false"/>
                <w:color w:val="000000"/>
                <w:sz w:val="19"/>
                <w:szCs w:val="19"/>
              </w:rPr>
              <w:t xml:space="preserve">192.168.1.11 → 192.168.2.13:21</w:t>
            </w:r>
          </w:p>
        </w:tc>
        <w:tc>
          <w:tcPr>
            <w:tcW w:type="dxa" w:w="3300"/>
            <w:tcMar>
              <w:top w:type="dxa" w:w="80"/>
              <w:left w:type="dxa" w:w="100"/>
              <w:bottom w:type="dxa" w:w="80"/>
              <w:right w:type="dxa" w:w="100"/>
            </w:tcMar>
          </w:tcPr>
          <w:p>
            <w:r>
              <w:rPr>
                <w:b w:val="false"/>
                <w:bCs w:val="false"/>
                <w:color w:val="000000"/>
                <w:sz w:val="19"/>
                <w:szCs w:val="19"/>
              </w:rPr>
              <w:t xml:space="preserve">vsftpd 2.3.4 backdoor triggered via Metasploit module, yielding an unauthenticated root shell on TCP/6200. Additional access separately confirmed via the Samba usermap_script command-injection vulnerability (CVE-2007-2447).</w:t>
            </w:r>
          </w:p>
        </w:tc>
        <w:tc>
          <w:tcPr>
            <w:tcW w:type="dxa" w:w="2900"/>
            <w:tcMar>
              <w:top w:type="dxa" w:w="80"/>
              <w:left w:type="dxa" w:w="100"/>
              <w:bottom w:type="dxa" w:w="80"/>
              <w:right w:type="dxa" w:w="100"/>
            </w:tcMar>
          </w:tcPr>
          <w:p>
            <w:r>
              <w:rPr>
                <w:b w:val="false"/>
                <w:bCs w:val="false"/>
                <w:color w:val="000000"/>
                <w:sz w:val="19"/>
                <w:szCs w:val="19"/>
              </w:rPr>
              <w:t xml:space="preserve">Root-level shell access confirmed directly via whoami/id/uname during the exploitation exercise; not independently alerted by IDS signature at the time.</w:t>
            </w:r>
          </w:p>
        </w:tc>
      </w:tr>
      <w:tr>
        <w:tc>
          <w:tcPr>
            <w:tcW w:type="dxa" w:w="1500"/>
            <w:shd w:fill="F2F2F2" w:val="clear"/>
            <w:tcMar>
              <w:top w:type="dxa" w:w="80"/>
              <w:left w:type="dxa" w:w="100"/>
              <w:bottom w:type="dxa" w:w="80"/>
              <w:right w:type="dxa" w:w="100"/>
            </w:tcMar>
          </w:tcPr>
          <w:p>
            <w:r>
              <w:rPr>
                <w:b w:val="false"/>
                <w:bCs w:val="false"/>
                <w:color w:val="000000"/>
                <w:sz w:val="19"/>
                <w:szCs w:val="19"/>
              </w:rPr>
              <w:t xml:space="preserve">Perimeter Probing</w:t>
            </w:r>
          </w:p>
        </w:tc>
        <w:tc>
          <w:tcPr>
            <w:tcW w:type="dxa" w:w="1650"/>
            <w:shd w:fill="F2F2F2" w:val="clear"/>
            <w:tcMar>
              <w:top w:type="dxa" w:w="80"/>
              <w:left w:type="dxa" w:w="100"/>
              <w:bottom w:type="dxa" w:w="80"/>
              <w:right w:type="dxa" w:w="100"/>
            </w:tcMar>
          </w:tcPr>
          <w:p>
            <w:r>
              <w:rPr>
                <w:b w:val="false"/>
                <w:bCs w:val="false"/>
                <w:color w:val="000000"/>
                <w:sz w:val="19"/>
                <w:szCs w:val="19"/>
              </w:rPr>
              <w:t xml:space="preserve">192.168.1.11/13 → 192.168.1.1:23</w:t>
            </w:r>
          </w:p>
        </w:tc>
        <w:tc>
          <w:tcPr>
            <w:tcW w:type="dxa" w:w="3300"/>
            <w:shd w:fill="F2F2F2" w:val="clear"/>
            <w:tcMar>
              <w:top w:type="dxa" w:w="80"/>
              <w:left w:type="dxa" w:w="100"/>
              <w:bottom w:type="dxa" w:w="80"/>
              <w:right w:type="dxa" w:w="100"/>
            </w:tcMar>
          </w:tcPr>
          <w:p>
            <w:r>
              <w:rPr>
                <w:b w:val="false"/>
                <w:bCs w:val="false"/>
                <w:color w:val="000000"/>
                <w:sz w:val="19"/>
                <w:szCs w:val="19"/>
              </w:rPr>
              <w:t xml:space="preserve">Repeated Telnet connection attempts toward the HQ router's management interface, each denied by an explicit access-control rule.</w:t>
            </w:r>
          </w:p>
        </w:tc>
        <w:tc>
          <w:tcPr>
            <w:tcW w:type="dxa" w:w="2900"/>
            <w:shd w:fill="F2F2F2" w:val="clear"/>
            <w:tcMar>
              <w:top w:type="dxa" w:w="80"/>
              <w:left w:type="dxa" w:w="100"/>
              <w:bottom w:type="dxa" w:w="80"/>
              <w:right w:type="dxa" w:w="100"/>
            </w:tcMar>
          </w:tcPr>
          <w:p>
            <w:r>
              <w:rPr>
                <w:b w:val="false"/>
                <w:bCs w:val="false"/>
                <w:color w:val="000000"/>
                <w:sz w:val="19"/>
                <w:szCs w:val="19"/>
              </w:rPr>
              <w:t xml:space="preserve">Router ACL 150 deny-and-log events, forwarded via syslog and confirmed in Splunk (multiple %SEC-6-IPACCESSLOGP entries).</w:t>
            </w:r>
          </w:p>
        </w:tc>
      </w:tr>
      <w:tr>
        <w:tc>
          <w:tcPr>
            <w:tcW w:type="dxa" w:w="1500"/>
            <w:tcMar>
              <w:top w:type="dxa" w:w="80"/>
              <w:left w:type="dxa" w:w="100"/>
              <w:bottom w:type="dxa" w:w="80"/>
              <w:right w:type="dxa" w:w="100"/>
            </w:tcMar>
          </w:tcPr>
          <w:p>
            <w:r>
              <w:rPr>
                <w:b w:val="false"/>
                <w:bCs w:val="false"/>
                <w:color w:val="000000"/>
                <w:sz w:val="19"/>
                <w:szCs w:val="19"/>
              </w:rPr>
              <w:t xml:space="preserve">Credential Attack</w:t>
            </w:r>
          </w:p>
        </w:tc>
        <w:tc>
          <w:tcPr>
            <w:tcW w:type="dxa" w:w="1650"/>
            <w:tcMar>
              <w:top w:type="dxa" w:w="80"/>
              <w:left w:type="dxa" w:w="100"/>
              <w:bottom w:type="dxa" w:w="80"/>
              <w:right w:type="dxa" w:w="100"/>
            </w:tcMar>
          </w:tcPr>
          <w:p>
            <w:r>
              <w:rPr>
                <w:b w:val="false"/>
                <w:bCs w:val="false"/>
                <w:color w:val="000000"/>
                <w:sz w:val="19"/>
                <w:szCs w:val="19"/>
              </w:rPr>
              <w:t xml:space="preserve">192.168.1.12 → 192.168.2.13:22</w:t>
            </w:r>
          </w:p>
        </w:tc>
        <w:tc>
          <w:tcPr>
            <w:tcW w:type="dxa" w:w="3300"/>
            <w:tcMar>
              <w:top w:type="dxa" w:w="80"/>
              <w:left w:type="dxa" w:w="100"/>
              <w:bottom w:type="dxa" w:w="80"/>
              <w:right w:type="dxa" w:w="100"/>
            </w:tcMar>
          </w:tcPr>
          <w:p>
            <w:r>
              <w:rPr>
                <w:b w:val="false"/>
                <w:bCs w:val="false"/>
                <w:color w:val="000000"/>
                <w:sz w:val="19"/>
                <w:szCs w:val="19"/>
              </w:rPr>
              <w:t xml:space="preserve">Automated password-list attack against SSH using a wordlist of common credentials; a valid password (msfadmin) was recovered.</w:t>
            </w:r>
          </w:p>
        </w:tc>
        <w:tc>
          <w:tcPr>
            <w:tcW w:type="dxa" w:w="2900"/>
            <w:tcMar>
              <w:top w:type="dxa" w:w="80"/>
              <w:left w:type="dxa" w:w="100"/>
              <w:bottom w:type="dxa" w:w="80"/>
              <w:right w:type="dxa" w:w="100"/>
            </w:tcMar>
          </w:tcPr>
          <w:p>
            <w:r>
              <w:rPr>
                <w:b w:val="false"/>
                <w:bCs w:val="false"/>
                <w:color w:val="000000"/>
                <w:sz w:val="19"/>
                <w:szCs w:val="19"/>
              </w:rPr>
              <w:t xml:space="preserve">Suricata ET SCAN Potential SSH Scan OUTBOUND, two distinct alert bursts (one per attack run), correlated in Splunk with source, destination, and timestamp.</w:t>
            </w:r>
          </w:p>
        </w:tc>
      </w:tr>
    </w:tbl>
    <w:p>
      <w:pPr>
        <w:spacing w:before="240"/>
      </w:pPr>
    </w:p>
    <w:p>
      <w:pPr>
        <w:pStyle w:val="Heading2"/>
        <w:spacing w:after="120" w:before="280"/>
      </w:pPr>
      <w:r>
        <w:rPr>
          <w:b/>
          <w:bCs/>
          <w:color w:val="1F3864"/>
          <w:sz w:val="24"/>
          <w:szCs w:val="24"/>
        </w:rPr>
        <w:t xml:space="preserve">3.2 Evidence Excerpts</w:t>
      </w:r>
    </w:p>
    <w:p>
      <w:pPr>
        <w:spacing w:after="160" w:line="276"/>
      </w:pPr>
      <w:r>
        <w:rPr>
          <w:sz w:val="21"/>
          <w:szCs w:val="21"/>
        </w:rPr>
        <w:t xml:space="preserve">Firewall deny events (R1, forwarded via syslog):</w:t>
      </w:r>
    </w:p>
    <w:p>
      <w:pPr>
        <w:shd w:fill="1B1B1B" w:val="clear"/>
        <w:spacing w:after="160"/>
      </w:pPr>
      <w:r>
        <w:rPr>
          <w:rFonts w:ascii="Consolas" w:cs="Consolas" w:eastAsia="Consolas" w:hAnsi="Consolas"/>
          <w:color w:val="D6D6D6"/>
          <w:sz w:val="18"/>
          <w:szCs w:val="18"/>
        </w:rPr>
        <w:t xml:space="preserve">%SEC-6-IPACCESSLOGP: list 150 denied tcp 192.168.1.12(45920) -&gt; 192.168.2.13(23), 1 packet</w:t>
      </w:r>
    </w:p>
    <w:p>
      <w:pPr>
        <w:spacing w:after="160" w:line="276"/>
      </w:pPr>
      <w:r>
        <w:rPr>
          <w:sz w:val="21"/>
          <w:szCs w:val="21"/>
        </w:rPr>
        <w:t xml:space="preserve">Suricata SSH brute-force detection (fast.log):</w:t>
      </w:r>
    </w:p>
    <w:p>
      <w:pPr>
        <w:shd w:fill="1B1B1B" w:val="clear"/>
        <w:spacing w:after="160"/>
      </w:pPr>
      <w:r>
        <w:rPr>
          <w:rFonts w:ascii="Consolas" w:cs="Consolas" w:eastAsia="Consolas" w:hAnsi="Consolas"/>
          <w:color w:val="D6D6D6"/>
          <w:sz w:val="18"/>
          <w:szCs w:val="18"/>
        </w:rPr>
        <w:t xml:space="preserve">ET SCAN Potential SSH Scan OUTBOUND [Classification: Attempted Information Leak]
192.168.1.12:49084 -&gt; 192.168.2.13:22
192.168.1.12:49178 -&gt; 192.168.2.13:22</w:t>
      </w:r>
    </w:p>
    <w:p>
      <w:pPr>
        <w:spacing w:after="160" w:line="276"/>
      </w:pPr>
      <w:r>
        <w:rPr>
          <w:sz w:val="21"/>
          <w:szCs w:val="21"/>
        </w:rPr>
        <w:t xml:space="preserve">Splunk correlated search, combining both sources into a single chronological view:</w:t>
      </w:r>
    </w:p>
    <w:p>
      <w:pPr>
        <w:shd w:fill="1B1B1B" w:val="clear"/>
        <w:spacing w:after="160"/>
      </w:pPr>
      <w:r>
        <w:rPr>
          <w:rFonts w:ascii="Consolas" w:cs="Consolas" w:eastAsia="Consolas" w:hAnsi="Consolas"/>
          <w:color w:val="D6D6D6"/>
          <w:sz w:val="18"/>
          <w:szCs w:val="18"/>
        </w:rPr>
        <w:t xml:space="preserve">(source="/var/log/syslog" "list 150") OR (source="/var/log/suricata/eve.json" event_type=alert) | sort - _time
→ 111 combined events</w:t>
      </w:r>
    </w:p>
    <w:p>
      <w:pPr>
        <w:pStyle w:val="Heading2"/>
        <w:spacing w:after="120" w:before="280"/>
      </w:pPr>
      <w:r>
        <w:rPr>
          <w:b/>
          <w:bCs/>
          <w:color w:val="1F3864"/>
          <w:sz w:val="24"/>
          <w:szCs w:val="24"/>
        </w:rPr>
        <w:t xml:space="preserve">3.3 Analyst Assessment</w:t>
      </w:r>
    </w:p>
    <w:p>
      <w:pPr>
        <w:spacing w:after="160" w:line="276"/>
      </w:pPr>
      <w:r>
        <w:rPr>
          <w:sz w:val="21"/>
          <w:szCs w:val="21"/>
        </w:rPr>
        <w:t xml:space="preserve">No single event in this timeline is individually conclusive. The determination that this represents a coordinated compromise rather than incidental traffic rests on four correlated signals, consistent with the frequency-analysis approach used throughout this monitoring build:</w:t>
      </w:r>
    </w:p>
    <w:p>
      <w:pPr>
        <w:pStyle w:val="ListParagraph"/>
        <w:numPr>
          <w:ilvl w:val="0"/>
          <w:numId w:val="2"/>
        </w:numPr>
        <w:spacing w:after="80" w:line="276"/>
      </w:pPr>
      <w:r>
        <w:rPr>
          <w:sz w:val="21"/>
          <w:szCs w:val="21"/>
        </w:rPr>
        <w:t xml:space="preserve">Repetition against a single destination port rather than an isolated connection attempt.</w:t>
      </w:r>
    </w:p>
    <w:p>
      <w:pPr>
        <w:pStyle w:val="ListParagraph"/>
        <w:numPr>
          <w:ilvl w:val="0"/>
          <w:numId w:val="2"/>
        </w:numPr>
        <w:spacing w:after="80" w:line="276"/>
      </w:pPr>
      <w:r>
        <w:rPr>
          <w:sz w:val="21"/>
          <w:szCs w:val="21"/>
        </w:rPr>
        <w:t xml:space="preserve">A tight time window between repeated attempts, consistent with automated tooling rather than manual, human-paced activity.</w:t>
      </w:r>
    </w:p>
    <w:p>
      <w:pPr>
        <w:pStyle w:val="ListParagraph"/>
        <w:numPr>
          <w:ilvl w:val="0"/>
          <w:numId w:val="2"/>
        </w:numPr>
        <w:spacing w:after="80" w:line="276"/>
      </w:pPr>
      <w:r>
        <w:rPr>
          <w:sz w:val="21"/>
          <w:szCs w:val="21"/>
        </w:rPr>
        <w:t xml:space="preserve">A consistent source-to-destination pairing across multiple stages of the timeline (reconnaissance, exploitation, and credential attack all traced to hosts on the HQ segment).</w:t>
      </w:r>
    </w:p>
    <w:p>
      <w:pPr>
        <w:pStyle w:val="ListParagraph"/>
        <w:numPr>
          <w:ilvl w:val="0"/>
          <w:numId w:val="2"/>
        </w:numPr>
        <w:spacing w:after="80" w:line="276"/>
      </w:pPr>
      <w:r>
        <w:rPr>
          <w:sz w:val="21"/>
          <w:szCs w:val="21"/>
        </w:rPr>
        <w:t xml:space="preserve">Escalating severity across the timeline: reconnaissance, followed by successful exploitation of a known-vulnerable service, followed by a targeted credential attack against the same host — a pattern consistent with a deliberate, staged attack rather than coincidental scanning noise.</w:t>
      </w:r>
    </w:p>
    <w:p>
      <w:pPr>
        <w:spacing w:after="160" w:line="276"/>
      </w:pPr>
      <w:r>
        <w:rPr>
          <w:sz w:val="21"/>
          <w:szCs w:val="21"/>
        </w:rPr>
        <w:t xml:space="preserve">Confidence level: High, for the reconnaissance, exploitation, and credential-attack stages, each independently corroborated by IDS or firewall log evidence with accurate timestamps. Moderate for attributing all stages to a single continuous campaign versus separate unrelated activity, since host-level attribution beyond source IP was not independently verified (e.g., no endpoint telemetry from the attacking host itself was collected).</w:t>
      </w:r>
    </w:p>
    <w:p>
      <w:pPr>
        <w:pStyle w:val="Heading1"/>
        <w:pBdr>
          <w:bottom w:val="single" w:color="1F3864" w:sz="6" w:space="4"/>
        </w:pBdr>
        <w:spacing w:after="160" w:before="360"/>
      </w:pPr>
      <w:r>
        <w:rPr>
          <w:b/>
          <w:bCs/>
          <w:color w:val="1F3864"/>
          <w:sz w:val="28"/>
          <w:szCs w:val="28"/>
        </w:rPr>
        <w:t xml:space="preserve">4. Containment</w:t>
      </w:r>
    </w:p>
    <w:p>
      <w:pPr>
        <w:spacing w:after="160" w:line="276"/>
      </w:pPr>
      <w:r>
        <w:rPr>
          <w:sz w:val="21"/>
          <w:szCs w:val="21"/>
        </w:rPr>
        <w:t xml:space="preserve">The following containment actions were identified as appropriate based on the confirmed evidence, reflecting standard short-term containment practice:</w:t>
      </w:r>
    </w:p>
    <w:p>
      <w:pPr>
        <w:pStyle w:val="ListParagraph"/>
        <w:numPr>
          <w:ilvl w:val="0"/>
          <w:numId w:val="2"/>
        </w:numPr>
        <w:spacing w:after="80" w:line="276"/>
      </w:pPr>
      <w:r>
        <w:rPr>
          <w:sz w:val="21"/>
          <w:szCs w:val="21"/>
        </w:rPr>
        <w:t xml:space="preserve">Extend the existing router access list (ACL 150 on R1) to explicitly deny all inbound traffic from the identified source host, rather than relying solely on port-specific denies.</w:t>
      </w:r>
    </w:p>
    <w:p>
      <w:pPr>
        <w:pStyle w:val="ListParagraph"/>
        <w:numPr>
          <w:ilvl w:val="0"/>
          <w:numId w:val="2"/>
        </w:numPr>
        <w:spacing w:after="80" w:line="276"/>
      </w:pPr>
      <w:r>
        <w:rPr>
          <w:sz w:val="21"/>
          <w:szCs w:val="21"/>
        </w:rPr>
        <w:t xml:space="preserve">Restrict inbound connectivity to 192.168.2.13 to only the monitoring segment, preventing further exploitation attempts while the investigation continues.</w:t>
      </w:r>
    </w:p>
    <w:p>
      <w:pPr>
        <w:pStyle w:val="ListParagraph"/>
        <w:numPr>
          <w:ilvl w:val="0"/>
          <w:numId w:val="2"/>
        </w:numPr>
        <w:spacing w:after="80" w:line="276"/>
      </w:pPr>
      <w:r>
        <w:rPr>
          <w:sz w:val="21"/>
          <w:szCs w:val="21"/>
        </w:rPr>
        <w:t xml:space="preserve">Preserve all existing evidence in place: Suricata's eve.json, fast.log, and the router syslog stream were not modified during the investigation and remain available in Splunk for follow-up analysis.</w:t>
      </w:r>
    </w:p>
    <w:p>
      <w:pPr>
        <w:pStyle w:val="ListParagraph"/>
        <w:numPr>
          <w:ilvl w:val="0"/>
          <w:numId w:val="2"/>
        </w:numPr>
        <w:spacing w:after="80" w:line="276"/>
      </w:pPr>
      <w:r>
        <w:rPr>
          <w:sz w:val="21"/>
          <w:szCs w:val="21"/>
        </w:rPr>
        <w:t xml:space="preserve">Document the exact time window of confirmed compromise (root shell access via the vsftpd backdoor) to scope what data or lateral movement may have occurred during that window.</w:t>
      </w:r>
    </w:p>
    <w:p>
      <w:pPr>
        <w:pStyle w:val="Heading1"/>
        <w:pBdr>
          <w:bottom w:val="single" w:color="1F3864" w:sz="6" w:space="4"/>
        </w:pBdr>
        <w:spacing w:after="160" w:before="360"/>
      </w:pPr>
      <w:r>
        <w:rPr>
          <w:b/>
          <w:bCs/>
          <w:color w:val="1F3864"/>
          <w:sz w:val="28"/>
          <w:szCs w:val="28"/>
        </w:rPr>
        <w:t xml:space="preserve">5. Eradication</w:t>
      </w:r>
    </w:p>
    <w:p>
      <w:pPr>
        <w:spacing w:after="160" w:line="276"/>
      </w:pPr>
      <w:r>
        <w:rPr>
          <w:sz w:val="21"/>
          <w:szCs w:val="21"/>
        </w:rPr>
        <w:t xml:space="preserve">Eradication steps differ by root cause, consistent with the distinction established during the original exploitation exercise between a planted backdoor, a genuine code vulnerability, and a misconfiguration: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Root Cause</w:t>
            </w:r>
          </w:p>
        </w:tc>
        <w:tc>
          <w:tcPr>
            <w:tcW w:type="dxa" w:w="3800"/>
            <w:shd w:fill="1F3864" w:val="clear"/>
            <w:tcMar>
              <w:top w:type="dxa" w:w="80"/>
              <w:left w:type="dxa" w:w="100"/>
              <w:bottom w:type="dxa" w:w="80"/>
              <w:right w:type="dxa" w:w="100"/>
            </w:tcMar>
          </w:tcPr>
          <w:p>
            <w:r>
              <w:rPr>
                <w:b/>
                <w:bCs/>
                <w:color w:val="FFFFFF"/>
                <w:sz w:val="19"/>
                <w:szCs w:val="19"/>
              </w:rPr>
              <w:t xml:space="preserve">Affected Service</w:t>
            </w:r>
          </w:p>
        </w:tc>
        <w:tc>
          <w:tcPr>
            <w:tcW w:type="dxa" w:w="3350"/>
            <w:shd w:fill="1F3864" w:val="clear"/>
            <w:tcMar>
              <w:top w:type="dxa" w:w="80"/>
              <w:left w:type="dxa" w:w="100"/>
              <w:bottom w:type="dxa" w:w="80"/>
              <w:right w:type="dxa" w:w="100"/>
            </w:tcMar>
          </w:tcPr>
          <w:p>
            <w:r>
              <w:rPr>
                <w:b/>
                <w:bCs/>
                <w:color w:val="FFFFFF"/>
                <w:sz w:val="19"/>
                <w:szCs w:val="19"/>
              </w:rPr>
              <w:t xml:space="preserve">Eradication Action</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Intentionally planted backdoor</w:t>
            </w:r>
          </w:p>
        </w:tc>
        <w:tc>
          <w:tcPr>
            <w:tcW w:type="dxa" w:w="3800"/>
            <w:shd w:fill="F2F2F2" w:val="clear"/>
            <w:tcMar>
              <w:top w:type="dxa" w:w="80"/>
              <w:left w:type="dxa" w:w="100"/>
              <w:bottom w:type="dxa" w:w="80"/>
              <w:right w:type="dxa" w:w="100"/>
            </w:tcMar>
          </w:tcPr>
          <w:p>
            <w:r>
              <w:rPr>
                <w:b w:val="false"/>
                <w:bCs w:val="false"/>
                <w:color w:val="000000"/>
                <w:sz w:val="19"/>
                <w:szCs w:val="19"/>
              </w:rPr>
              <w:t xml:space="preserve">vsftpd 2.3.4</w:t>
            </w:r>
          </w:p>
        </w:tc>
        <w:tc>
          <w:tcPr>
            <w:tcW w:type="dxa" w:w="3350"/>
            <w:shd w:fill="F2F2F2" w:val="clear"/>
            <w:tcMar>
              <w:top w:type="dxa" w:w="80"/>
              <w:left w:type="dxa" w:w="100"/>
              <w:bottom w:type="dxa" w:w="80"/>
              <w:right w:type="dxa" w:w="100"/>
            </w:tcMar>
          </w:tcPr>
          <w:p>
            <w:r>
              <w:rPr>
                <w:b w:val="false"/>
                <w:bCs w:val="false"/>
                <w:color w:val="000000"/>
                <w:sz w:val="19"/>
                <w:szCs w:val="19"/>
              </w:rPr>
              <w:t xml:space="preserve">Remove and replace with a current, verified-clean vsftpd build obtained from the official source, not merely a version upgrade.</w:t>
            </w:r>
          </w:p>
        </w:tc>
      </w:tr>
      <w:tr>
        <w:tc>
          <w:tcPr>
            <w:tcW w:type="dxa" w:w="2200"/>
            <w:tcMar>
              <w:top w:type="dxa" w:w="80"/>
              <w:left w:type="dxa" w:w="100"/>
              <w:bottom w:type="dxa" w:w="80"/>
              <w:right w:type="dxa" w:w="100"/>
            </w:tcMar>
          </w:tcPr>
          <w:p>
            <w:r>
              <w:rPr>
                <w:b w:val="false"/>
                <w:bCs w:val="false"/>
                <w:color w:val="000000"/>
                <w:sz w:val="19"/>
                <w:szCs w:val="19"/>
              </w:rPr>
              <w:t xml:space="preserve">Genuine code vulnerability</w:t>
            </w:r>
          </w:p>
        </w:tc>
        <w:tc>
          <w:tcPr>
            <w:tcW w:type="dxa" w:w="3800"/>
            <w:tcMar>
              <w:top w:type="dxa" w:w="80"/>
              <w:left w:type="dxa" w:w="100"/>
              <w:bottom w:type="dxa" w:w="80"/>
              <w:right w:type="dxa" w:w="100"/>
            </w:tcMar>
          </w:tcPr>
          <w:p>
            <w:r>
              <w:rPr>
                <w:b w:val="false"/>
                <w:bCs w:val="false"/>
                <w:color w:val="000000"/>
                <w:sz w:val="19"/>
                <w:szCs w:val="19"/>
              </w:rPr>
              <w:t xml:space="preserve">Samba (CVE-2007-2447)</w:t>
            </w:r>
          </w:p>
        </w:tc>
        <w:tc>
          <w:tcPr>
            <w:tcW w:type="dxa" w:w="3350"/>
            <w:tcMar>
              <w:top w:type="dxa" w:w="80"/>
              <w:left w:type="dxa" w:w="100"/>
              <w:bottom w:type="dxa" w:w="80"/>
              <w:right w:type="dxa" w:w="100"/>
            </w:tcMar>
          </w:tcPr>
          <w:p>
            <w:r>
              <w:rPr>
                <w:b w:val="false"/>
                <w:bCs w:val="false"/>
                <w:color w:val="000000"/>
                <w:sz w:val="19"/>
                <w:szCs w:val="19"/>
              </w:rPr>
              <w:t xml:space="preserve">Patch to a current Samba release in which the username map script handling has been corrected.</w:t>
            </w:r>
          </w:p>
        </w:tc>
      </w:tr>
      <w:tr>
        <w:tc>
          <w:tcPr>
            <w:tcW w:type="dxa" w:w="2200"/>
            <w:shd w:fill="F2F2F2" w:val="clear"/>
            <w:tcMar>
              <w:top w:type="dxa" w:w="80"/>
              <w:left w:type="dxa" w:w="100"/>
              <w:bottom w:type="dxa" w:w="80"/>
              <w:right w:type="dxa" w:w="100"/>
            </w:tcMar>
          </w:tcPr>
          <w:p>
            <w:r>
              <w:rPr>
                <w:b w:val="false"/>
                <w:bCs w:val="false"/>
                <w:color w:val="000000"/>
                <w:sz w:val="19"/>
                <w:szCs w:val="19"/>
              </w:rPr>
              <w:t xml:space="preserve">Authentication misconfiguration</w:t>
            </w:r>
          </w:p>
        </w:tc>
        <w:tc>
          <w:tcPr>
            <w:tcW w:type="dxa" w:w="3800"/>
            <w:shd w:fill="F2F2F2" w:val="clear"/>
            <w:tcMar>
              <w:top w:type="dxa" w:w="80"/>
              <w:left w:type="dxa" w:w="100"/>
              <w:bottom w:type="dxa" w:w="80"/>
              <w:right w:type="dxa" w:w="100"/>
            </w:tcMar>
          </w:tcPr>
          <w:p>
            <w:r>
              <w:rPr>
                <w:b w:val="false"/>
                <w:bCs w:val="false"/>
                <w:color w:val="000000"/>
                <w:sz w:val="19"/>
                <w:szCs w:val="19"/>
              </w:rPr>
              <w:t xml:space="preserve">distcc</w:t>
            </w:r>
          </w:p>
        </w:tc>
        <w:tc>
          <w:tcPr>
            <w:tcW w:type="dxa" w:w="3350"/>
            <w:shd w:fill="F2F2F2" w:val="clear"/>
            <w:tcMar>
              <w:top w:type="dxa" w:w="80"/>
              <w:left w:type="dxa" w:w="100"/>
              <w:bottom w:type="dxa" w:w="80"/>
              <w:right w:type="dxa" w:w="100"/>
            </w:tcMar>
          </w:tcPr>
          <w:p>
            <w:r>
              <w:rPr>
                <w:b w:val="false"/>
                <w:bCs w:val="false"/>
                <w:color w:val="000000"/>
                <w:sz w:val="19"/>
                <w:szCs w:val="19"/>
              </w:rPr>
              <w:t xml:space="preserve">Restrict distcc to authenticated, trusted hosts only, or disable the service entirely if distributed compilation is not required.</w:t>
            </w:r>
          </w:p>
        </w:tc>
      </w:tr>
      <w:tr>
        <w:tc>
          <w:tcPr>
            <w:tcW w:type="dxa" w:w="2200"/>
            <w:tcMar>
              <w:top w:type="dxa" w:w="80"/>
              <w:left w:type="dxa" w:w="100"/>
              <w:bottom w:type="dxa" w:w="80"/>
              <w:right w:type="dxa" w:w="100"/>
            </w:tcMar>
          </w:tcPr>
          <w:p>
            <w:r>
              <w:rPr>
                <w:b w:val="false"/>
                <w:bCs w:val="false"/>
                <w:color w:val="000000"/>
                <w:sz w:val="19"/>
                <w:szCs w:val="19"/>
              </w:rPr>
              <w:t xml:space="preserve">Weak credential</w:t>
            </w:r>
          </w:p>
        </w:tc>
        <w:tc>
          <w:tcPr>
            <w:tcW w:type="dxa" w:w="3800"/>
            <w:tcMar>
              <w:top w:type="dxa" w:w="80"/>
              <w:left w:type="dxa" w:w="100"/>
              <w:bottom w:type="dxa" w:w="80"/>
              <w:right w:type="dxa" w:w="100"/>
            </w:tcMar>
          </w:tcPr>
          <w:p>
            <w:r>
              <w:rPr>
                <w:b w:val="false"/>
                <w:bCs w:val="false"/>
                <w:color w:val="000000"/>
                <w:sz w:val="19"/>
                <w:szCs w:val="19"/>
              </w:rPr>
              <w:t xml:space="preserve">OpenSSH (msfadmin account)</w:t>
            </w:r>
          </w:p>
        </w:tc>
        <w:tc>
          <w:tcPr>
            <w:tcW w:type="dxa" w:w="3350"/>
            <w:tcMar>
              <w:top w:type="dxa" w:w="80"/>
              <w:left w:type="dxa" w:w="100"/>
              <w:bottom w:type="dxa" w:w="80"/>
              <w:right w:type="dxa" w:w="100"/>
            </w:tcMar>
          </w:tcPr>
          <w:p>
            <w:r>
              <w:rPr>
                <w:b w:val="false"/>
                <w:bCs w:val="false"/>
                <w:color w:val="000000"/>
                <w:sz w:val="19"/>
                <w:szCs w:val="19"/>
              </w:rPr>
              <w:t xml:space="preserve">Rotate the compromised credential and enforce a stronger password policy; consider key-based authentication in place of password authentication where feasible.</w:t>
            </w:r>
          </w:p>
        </w:tc>
      </w:tr>
    </w:tbl>
    <w:p>
      <w:pPr>
        <w:spacing w:before="240"/>
      </w:pPr>
    </w:p>
    <w:p>
      <w:pPr>
        <w:pStyle w:val="Heading1"/>
        <w:pBdr>
          <w:bottom w:val="single" w:color="1F3864" w:sz="6" w:space="4"/>
        </w:pBdr>
        <w:spacing w:after="160" w:before="360"/>
      </w:pPr>
      <w:r>
        <w:rPr>
          <w:b/>
          <w:bCs/>
          <w:color w:val="1F3864"/>
          <w:sz w:val="28"/>
          <w:szCs w:val="28"/>
        </w:rPr>
        <w:t xml:space="preserve">6. Recovery</w:t>
      </w:r>
    </w:p>
    <w:p>
      <w:pPr>
        <w:pStyle w:val="ListParagraph"/>
        <w:numPr>
          <w:ilvl w:val="0"/>
          <w:numId w:val="2"/>
        </w:numPr>
        <w:spacing w:after="80" w:line="276"/>
      </w:pPr>
      <w:r>
        <w:rPr>
          <w:sz w:val="21"/>
          <w:szCs w:val="21"/>
        </w:rPr>
        <w:t xml:space="preserve">Restore standard firewall posture on R1 once the investigation confirms no further activity from the source host, replacing the temporary broad deny with the normal, targeted rule set.</w:t>
      </w:r>
    </w:p>
    <w:p>
      <w:pPr>
        <w:pStyle w:val="ListParagraph"/>
        <w:numPr>
          <w:ilvl w:val="0"/>
          <w:numId w:val="2"/>
        </w:numPr>
        <w:spacing w:after="80" w:line="276"/>
      </w:pPr>
      <w:r>
        <w:rPr>
          <w:sz w:val="21"/>
          <w:szCs w:val="21"/>
        </w:rPr>
        <w:t xml:space="preserve">Re-verify the integrity of all services on the target host before considering it restored to normal operation, including confirming no unauthorized accounts, cron jobs, or listening services were added during the compromise window.</w:t>
      </w:r>
    </w:p>
    <w:p>
      <w:pPr>
        <w:pStyle w:val="ListParagraph"/>
        <w:numPr>
          <w:ilvl w:val="0"/>
          <w:numId w:val="2"/>
        </w:numPr>
        <w:spacing w:after="80" w:line="276"/>
      </w:pPr>
      <w:r>
        <w:rPr>
          <w:sz w:val="21"/>
          <w:szCs w:val="21"/>
        </w:rPr>
        <w:t xml:space="preserve">Confirm Suricata and Splunk are actively monitoring the recovered host post-restoration, with a defined period of heightened review following recovery.</w:t>
      </w:r>
    </w:p>
    <w:p>
      <w:pPr>
        <w:pStyle w:val="ListParagraph"/>
        <w:numPr>
          <w:ilvl w:val="0"/>
          <w:numId w:val="2"/>
        </w:numPr>
        <w:spacing w:after="80" w:line="276"/>
      </w:pPr>
      <w:r>
        <w:rPr>
          <w:sz w:val="21"/>
          <w:szCs w:val="21"/>
        </w:rPr>
        <w:t xml:space="preserve">Re-baseline expected traffic patterns for the host now that the vulnerable services have been patched or removed, so future deviations are easier to identify.</w:t>
      </w:r>
    </w:p>
    <w:p>
      <w:pPr>
        <w:pStyle w:val="Heading1"/>
        <w:pBdr>
          <w:bottom w:val="single" w:color="1F3864" w:sz="6" w:space="4"/>
        </w:pBdr>
        <w:spacing w:after="160" w:before="360"/>
      </w:pPr>
      <w:r>
        <w:rPr>
          <w:b/>
          <w:bCs/>
          <w:color w:val="1F3864"/>
          <w:sz w:val="28"/>
          <w:szCs w:val="28"/>
        </w:rPr>
        <w:t xml:space="preserve">7. Lessons Learned</w:t>
      </w:r>
    </w:p>
    <w:p>
      <w:pPr>
        <w:pStyle w:val="Heading2"/>
        <w:spacing w:after="120" w:before="280"/>
      </w:pPr>
      <w:r>
        <w:rPr>
          <w:b/>
          <w:bCs/>
          <w:color w:val="1F3864"/>
          <w:sz w:val="24"/>
          <w:szCs w:val="24"/>
        </w:rPr>
        <w:t xml:space="preserve">7.1 What Worked</w:t>
      </w:r>
    </w:p>
    <w:p>
      <w:pPr>
        <w:pStyle w:val="ListParagraph"/>
        <w:numPr>
          <w:ilvl w:val="0"/>
          <w:numId w:val="2"/>
        </w:numPr>
        <w:spacing w:after="80" w:line="276"/>
      </w:pPr>
      <w:r>
        <w:rPr>
          <w:sz w:val="21"/>
          <w:szCs w:val="21"/>
        </w:rPr>
        <w:t xml:space="preserve">Centralized logging clearly surfaced the credential-attack pattern once the correct correlation search was applied; the volume and timing signal was unambiguous in the Splunk timechart.</w:t>
      </w:r>
    </w:p>
    <w:p>
      <w:pPr>
        <w:pStyle w:val="ListParagraph"/>
        <w:numPr>
          <w:ilvl w:val="0"/>
          <w:numId w:val="2"/>
        </w:numPr>
        <w:spacing w:after="80" w:line="276"/>
      </w:pPr>
      <w:r>
        <w:rPr>
          <w:sz w:val="21"/>
          <w:szCs w:val="21"/>
        </w:rPr>
        <w:t xml:space="preserve">Separating the attacker host from the monitoring sensor meant detection tooling remained unaffected throughout the exercise, regardless of what access was gained on the target.</w:t>
      </w:r>
    </w:p>
    <w:p>
      <w:pPr>
        <w:pStyle w:val="ListParagraph"/>
        <w:numPr>
          <w:ilvl w:val="0"/>
          <w:numId w:val="2"/>
        </w:numPr>
        <w:spacing w:after="80" w:line="276"/>
      </w:pPr>
      <w:r>
        <w:rPr>
          <w:sz w:val="21"/>
          <w:szCs w:val="21"/>
        </w:rPr>
        <w:t xml:space="preserve">Cross-referencing router-level firewall denies against IDS alerts for the same time window provided stronger confidence than either source would have independently.</w:t>
      </w:r>
    </w:p>
    <w:p>
      <w:pPr>
        <w:pStyle w:val="Heading2"/>
        <w:spacing w:after="120" w:before="280"/>
      </w:pPr>
      <w:r>
        <w:rPr>
          <w:b/>
          <w:bCs/>
          <w:color w:val="1F3864"/>
          <w:sz w:val="24"/>
          <w:szCs w:val="24"/>
        </w:rPr>
        <w:t xml:space="preserve">7.2 What Did Not Work</w:t>
      </w:r>
    </w:p>
    <w:p>
      <w:pPr>
        <w:pStyle w:val="ListParagraph"/>
        <w:numPr>
          <w:ilvl w:val="0"/>
          <w:numId w:val="2"/>
        </w:numPr>
        <w:spacing w:after="80" w:line="276"/>
      </w:pPr>
      <w:r>
        <w:rPr>
          <w:sz w:val="21"/>
          <w:szCs w:val="21"/>
        </w:rPr>
        <w:t xml:space="preserve">The monitoring sensor's placement on a standard switch port, without SPAN/mirror capability, means traffic between two hosts other than the sensor itself is not reliably visible. This is a genuine detection gap: activity confined to the Branch-side segment, not directly involving the sensor or the HQ segment, may not have been fully observed during this incident.</w:t>
      </w:r>
    </w:p>
    <w:p>
      <w:pPr>
        <w:pStyle w:val="ListParagraph"/>
        <w:numPr>
          <w:ilvl w:val="0"/>
          <w:numId w:val="2"/>
        </w:numPr>
        <w:spacing w:after="80" w:line="276"/>
      </w:pPr>
      <w:r>
        <w:rPr>
          <w:sz w:val="21"/>
          <w:szCs w:val="21"/>
        </w:rPr>
        <w:t xml:space="preserve">The IDS ruleset in use (Emerging Threats Open, default configuration) generated a recurring alert against the Splunk web interface itself during normal administrative use, indicating the current ruleset is tuned for broad coverage rather than this specific environment, and would benefit from targeted suppression of known-benign internal traffic.</w:t>
      </w:r>
    </w:p>
    <w:p>
      <w:pPr>
        <w:pStyle w:val="ListParagraph"/>
        <w:numPr>
          <w:ilvl w:val="0"/>
          <w:numId w:val="2"/>
        </w:numPr>
        <w:spacing w:after="80" w:line="276"/>
      </w:pPr>
      <w:r>
        <w:rPr>
          <w:sz w:val="21"/>
          <w:szCs w:val="21"/>
        </w:rPr>
        <w:t xml:space="preserve">SNMP configuration established earlier in this lab build still uses community-string-based v2c rather than v3, which was flagged as a gap at the time and remains unaddressed; it was not directly relevant to this incident but represents comparable exposure elsewhere in the environment.</w:t>
      </w:r>
    </w:p>
    <w:p>
      <w:pPr>
        <w:pStyle w:val="Heading2"/>
        <w:spacing w:after="120" w:before="280"/>
      </w:pPr>
      <w:r>
        <w:rPr>
          <w:b/>
          <w:bCs/>
          <w:color w:val="1F3864"/>
          <w:sz w:val="24"/>
          <w:szCs w:val="24"/>
        </w:rPr>
        <w:t xml:space="preserve">7.3 Recommendations</w:t>
      </w:r>
    </w:p>
    <w:p>
      <w:pPr>
        <w:pStyle w:val="ListParagraph"/>
        <w:numPr>
          <w:ilvl w:val="0"/>
          <w:numId w:val="2"/>
        </w:numPr>
        <w:spacing w:after="80" w:line="276"/>
      </w:pPr>
      <w:r>
        <w:rPr>
          <w:sz w:val="21"/>
          <w:szCs w:val="21"/>
        </w:rPr>
        <w:t xml:space="preserve">Introduce a hub-based or SPAN-equivalent tap for the monitoring sensor so that inter-segment traffic not directly involving the sensor is reliably observable, closing the visibility gap identified in Section 7.2.</w:t>
      </w:r>
    </w:p>
    <w:p>
      <w:pPr>
        <w:pStyle w:val="ListParagraph"/>
        <w:numPr>
          <w:ilvl w:val="0"/>
          <w:numId w:val="2"/>
        </w:numPr>
        <w:spacing w:after="80" w:line="276"/>
      </w:pPr>
      <w:r>
        <w:rPr>
          <w:sz w:val="21"/>
          <w:szCs w:val="21"/>
        </w:rPr>
        <w:t xml:space="preserve">Tune the Suricata ruleset to suppress or downgrade alerts against known-legitimate internal administrative traffic, reducing analyst fatigue from repeated benign alerts.</w:t>
      </w:r>
    </w:p>
    <w:p>
      <w:pPr>
        <w:pStyle w:val="ListParagraph"/>
        <w:numPr>
          <w:ilvl w:val="0"/>
          <w:numId w:val="2"/>
        </w:numPr>
        <w:spacing w:after="80" w:line="276"/>
      </w:pPr>
      <w:r>
        <w:rPr>
          <w:sz w:val="21"/>
          <w:szCs w:val="21"/>
        </w:rPr>
        <w:t xml:space="preserve">Formalize the credential rotation and patch-management steps identified in Section 5 into a recurring maintenance schedule rather than a one-time incident response action.</w:t>
      </w:r>
    </w:p>
    <w:p>
      <w:pPr>
        <w:pStyle w:val="ListParagraph"/>
        <w:numPr>
          <w:ilvl w:val="0"/>
          <w:numId w:val="2"/>
        </w:numPr>
        <w:spacing w:after="80" w:line="276"/>
      </w:pPr>
      <w:r>
        <w:rPr>
          <w:sz w:val="21"/>
          <w:szCs w:val="21"/>
        </w:rPr>
        <w:t xml:space="preserve">Migrate SNMP configuration from v2c to v3 across all managed devices to remove plaintext community-string exposure.</w:t>
      </w:r>
    </w:p>
    <w:p>
      <w:pPr>
        <w:pStyle w:val="Heading1"/>
        <w:pBdr>
          <w:bottom w:val="single" w:color="1F3864" w:sz="6" w:space="4"/>
        </w:pBdr>
        <w:spacing w:after="160" w:before="360"/>
      </w:pPr>
      <w:r>
        <w:rPr>
          <w:b/>
          <w:bCs/>
          <w:color w:val="1F3864"/>
          <w:sz w:val="28"/>
          <w:szCs w:val="28"/>
        </w:rPr>
        <w:t xml:space="preserve">8. Appendix — Reference to Source Labs</w:t>
      </w:r>
    </w:p>
    <w:p>
      <w:pPr>
        <w:spacing w:after="160" w:line="276"/>
      </w:pPr>
      <w:r>
        <w:rPr>
          <w:sz w:val="21"/>
          <w:szCs w:val="21"/>
        </w:rPr>
        <w:t xml:space="preserve">This incident was reconstructed entirely from evidence generated during the following prior exercises, which may be referenced for full command history and additional screenshots:</w:t>
      </w:r>
    </w:p>
    <w:p>
      <w:pPr>
        <w:pStyle w:val="ListParagraph"/>
        <w:numPr>
          <w:ilvl w:val="0"/>
          <w:numId w:val="2"/>
        </w:numPr>
        <w:spacing w:after="80" w:line="276"/>
      </w:pPr>
      <w:r>
        <w:rPr>
          <w:sz w:val="21"/>
          <w:szCs w:val="21"/>
        </w:rPr>
        <w:t xml:space="preserve">Lab 19 — Network Scanning (Nmap): reconnaissance phase and service version identification.</w:t>
      </w:r>
    </w:p>
    <w:p>
      <w:pPr>
        <w:pStyle w:val="ListParagraph"/>
        <w:numPr>
          <w:ilvl w:val="0"/>
          <w:numId w:val="2"/>
        </w:numPr>
        <w:spacing w:after="80" w:line="276"/>
      </w:pPr>
      <w:r>
        <w:rPr>
          <w:sz w:val="21"/>
          <w:szCs w:val="21"/>
        </w:rPr>
        <w:t xml:space="preserve">Lab 23 — Exploiting Weak Services: vsftpd backdoor and Samba usermap_script exploitation, including root-cause categorization.</w:t>
      </w:r>
    </w:p>
    <w:p>
      <w:pPr>
        <w:pStyle w:val="ListParagraph"/>
        <w:numPr>
          <w:ilvl w:val="0"/>
          <w:numId w:val="2"/>
        </w:numPr>
        <w:spacing w:after="80" w:line="276"/>
      </w:pPr>
      <w:r>
        <w:rPr>
          <w:sz w:val="21"/>
          <w:szCs w:val="21"/>
        </w:rPr>
        <w:t xml:space="preserve">Lab 24 — Log Analysis (Firewall Logs): router ACL logging configuration and manual frequency-analysis technique.</w:t>
      </w:r>
    </w:p>
    <w:p>
      <w:pPr>
        <w:pStyle w:val="ListParagraph"/>
        <w:numPr>
          <w:ilvl w:val="0"/>
          <w:numId w:val="2"/>
        </w:numPr>
        <w:spacing w:after="80" w:line="276"/>
      </w:pPr>
      <w:r>
        <w:rPr>
          <w:sz w:val="21"/>
          <w:szCs w:val="21"/>
        </w:rPr>
        <w:t xml:space="preserve">Lab 25 — Intrusion Detection System: dedicated sensor build, Suricata deployment, and the switch-mirroring visibility limitation referenced in Section 7.</w:t>
      </w:r>
    </w:p>
    <w:p>
      <w:pPr>
        <w:pStyle w:val="ListParagraph"/>
        <w:numPr>
          <w:ilvl w:val="0"/>
          <w:numId w:val="2"/>
        </w:numPr>
        <w:spacing w:after="80" w:line="276"/>
      </w:pPr>
      <w:r>
        <w:rPr>
          <w:sz w:val="21"/>
          <w:szCs w:val="21"/>
        </w:rPr>
        <w:t xml:space="preserve">Lab 26 — SIEM Basics using Splunk: centralized correlation platform and dashboard construction.</w:t>
      </w:r>
    </w:p>
    <w:p>
      <w:pPr>
        <w:pStyle w:val="ListParagraph"/>
        <w:numPr>
          <w:ilvl w:val="0"/>
          <w:numId w:val="2"/>
        </w:numPr>
        <w:spacing w:after="80" w:line="276"/>
      </w:pPr>
      <w:r>
        <w:rPr>
          <w:sz w:val="21"/>
          <w:szCs w:val="21"/>
        </w:rPr>
        <w:t xml:space="preserve">Lab 27 — Detect Brute-Force Attack: SSH credential attack generation and detection, and the analyst-judgment reasoning applied in Section 3.3.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Incident Response Report — Host 192.168.2.13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2026-08-06T10:53:14.706Z</dcterms:created>
  <dcterms:modified xsi:type="dcterms:W3CDTF">2026-08-06T10:53:14.741Z</dcterms:modified>
</cp:coreProperties>
</file>

<file path=docProps/custom.xml><?xml version="1.0" encoding="utf-8"?>
<Properties xmlns="http://schemas.openxmlformats.org/officeDocument/2006/custom-properties" xmlns:vt="http://schemas.openxmlformats.org/officeDocument/2006/docPropsVTypes"/>
</file>