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Arial" w:cs="Arial" w:eastAsia="Arial" w:hAnsi="Arial"/>
          <w:b/>
          <w:bCs/>
          <w:color w:val="1A1A2E"/>
          <w:sz w:val="48"/>
          <w:szCs w:val="48"/>
        </w:rPr>
        <w:t xml:space="preserve">AI Full-Stack Engineer</w:t>
      </w:r>
    </w:p>
    <w:p>
      <w:pPr>
        <w:spacing w:after="40"/>
        <w:jc w:val="center"/>
      </w:pPr>
      <w:r>
        <w:rPr>
          <w:rFonts w:ascii="Arial" w:cs="Arial" w:eastAsia="Arial" w:hAnsi="Arial"/>
          <w:b/>
          <w:bCs/>
          <w:color w:val="E94560"/>
          <w:sz w:val="48"/>
          <w:szCs w:val="48"/>
        </w:rPr>
        <w:t xml:space="preserve">Take-Home Assignment</w:t>
      </w:r>
    </w:p>
    <w:p>
      <w:pPr>
        <w:spacing w:after="80"/>
      </w:pPr>
    </w:p>
    <w:p>
      <w:pPr>
        <w:spacing w:after="40"/>
        <w:jc w:val="center"/>
      </w:pPr>
      <w:r>
        <w:rPr>
          <w:color w:val="555555"/>
          <w:sz w:val="24"/>
          <w:szCs w:val="24"/>
        </w:rPr>
        <w:t xml:space="preserve">Implementing a Codebase-Style Tax Agent Architecture</w:t>
      </w:r>
    </w:p>
    <w:p>
      <w:pPr>
        <w:spacing w:after="40"/>
        <w:jc w:val="center"/>
      </w:pPr>
      <w:r>
        <w:rPr>
          <w:i/>
          <w:iCs/>
          <w:color w:val="555555"/>
          <w:sz w:val="22"/>
          <w:szCs w:val="22"/>
        </w:rPr>
        <w:t xml:space="preserve">Based on: "Perfecting Tax Returns Like Code" (Jain &amp; Kumar, 2025)</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right w:val="single" w:color="E0E0E0" w:sz="1"/>
            </w:tcBorders>
            <w:shd w:fill="1A1A2E" w:val="clear"/>
            <w:tcMar>
              <w:top w:type="dxa" w:w="100"/>
              <w:left w:type="dxa" w:w="200"/>
              <w:bottom w:type="dxa" w:w="80"/>
              <w:right w:type="dxa" w:w="200"/>
            </w:tcMar>
          </w:tcPr>
          <w:p>
            <w:r>
              <w:rPr>
                <w:rFonts w:ascii="Arial" w:cs="Arial" w:eastAsia="Arial" w:hAnsi="Arial"/>
                <w:b/>
                <w:bCs/>
                <w:color w:val="FFFFFF"/>
                <w:sz w:val="24"/>
                <w:szCs w:val="24"/>
              </w:rPr>
              <w:t xml:space="preserve">Assignment Details</w:t>
            </w:r>
          </w:p>
        </w:tc>
      </w:tr>
      <w:tr>
        <w:tc>
          <w:tcPr>
            <w:tcW w:type="dxa" w:w="9360"/>
            <w:tcBorders>
              <w:top w:val="none"/>
              <w:left w:val="single" w:color="E0E0E0" w:sz="1"/>
              <w:bottom w:val="none"/>
              <w:right w:val="single" w:color="E0E0E0" w:sz="1"/>
            </w:tcBorders>
            <w:shd w:fill="F5F5F5" w:val="clear"/>
            <w:tcMar>
              <w:top w:type="dxa" w:w="60"/>
              <w:left w:type="dxa" w:w="200"/>
              <w:bottom w:type="dxa" w:w="60"/>
              <w:right w:type="dxa" w:w="200"/>
            </w:tcMar>
          </w:tcPr>
          <w:p>
            <w:r>
              <w:rPr>
                <w:b/>
                <w:bCs/>
                <w:color w:val="1A1A2E"/>
                <w:sz w:val="22"/>
                <w:szCs w:val="22"/>
              </w:rPr>
              <w:t xml:space="preserve">Company:  </w:t>
            </w:r>
            <w:r>
              <w:rPr>
                <w:color w:val="444444"/>
                <w:sz w:val="22"/>
                <w:szCs w:val="22"/>
              </w:rPr>
              <w:t xml:space="preserve">LightTaxes.com</w:t>
            </w:r>
          </w:p>
        </w:tc>
      </w:tr>
      <w:tr>
        <w:tc>
          <w:tcPr>
            <w:tcW w:type="dxa" w:w="9360"/>
            <w:tcBorders>
              <w:top w:val="none"/>
              <w:left w:val="single" w:color="E0E0E0" w:sz="1"/>
              <w:bottom w:val="none"/>
              <w:right w:val="single" w:color="E0E0E0" w:sz="1"/>
            </w:tcBorders>
            <w:shd w:fill="F5F5F5" w:val="clear"/>
            <w:tcMar>
              <w:top w:type="dxa" w:w="60"/>
              <w:left w:type="dxa" w:w="200"/>
              <w:bottom w:type="dxa" w:w="60"/>
              <w:right w:type="dxa" w:w="200"/>
            </w:tcMar>
          </w:tcPr>
          <w:p>
            <w:r>
              <w:rPr>
                <w:b/>
                <w:bCs/>
                <w:color w:val="1A1A2E"/>
                <w:sz w:val="22"/>
                <w:szCs w:val="22"/>
              </w:rPr>
              <w:t xml:space="preserve">Role:  </w:t>
            </w:r>
            <w:r>
              <w:rPr>
                <w:color w:val="444444"/>
                <w:sz w:val="22"/>
                <w:szCs w:val="22"/>
              </w:rPr>
              <w:t xml:space="preserve">AI Full-Stack Engineer</w:t>
            </w:r>
          </w:p>
        </w:tc>
      </w:tr>
      <w:tr>
        <w:tc>
          <w:tcPr>
            <w:tcW w:type="dxa" w:w="9360"/>
            <w:tcBorders>
              <w:top w:val="none"/>
              <w:left w:val="single" w:color="E0E0E0" w:sz="1"/>
              <w:bottom w:val="none"/>
              <w:right w:val="single" w:color="E0E0E0" w:sz="1"/>
            </w:tcBorders>
            <w:shd w:fill="F5F5F5" w:val="clear"/>
            <w:tcMar>
              <w:top w:type="dxa" w:w="60"/>
              <w:left w:type="dxa" w:w="200"/>
              <w:bottom w:type="dxa" w:w="60"/>
              <w:right w:type="dxa" w:w="200"/>
            </w:tcMar>
          </w:tcPr>
          <w:p>
            <w:r>
              <w:rPr>
                <w:b/>
                <w:bCs/>
                <w:color w:val="1A1A2E"/>
                <w:sz w:val="22"/>
                <w:szCs w:val="22"/>
              </w:rPr>
              <w:t xml:space="preserve">Time Budget:  </w:t>
            </w:r>
            <w:r>
              <w:rPr>
                <w:color w:val="444444"/>
                <w:sz w:val="22"/>
                <w:szCs w:val="22"/>
              </w:rPr>
              <w:t xml:space="preserve">2–3 days (flexible)</w:t>
            </w:r>
          </w:p>
        </w:tc>
      </w:tr>
      <w:tr>
        <w:tc>
          <w:tcPr>
            <w:tcW w:type="dxa" w:w="9360"/>
            <w:tcBorders>
              <w:top w:val="none"/>
              <w:left w:val="single" w:color="E0E0E0" w:sz="1"/>
              <w:bottom w:val="none"/>
              <w:right w:val="single" w:color="E0E0E0" w:sz="1"/>
            </w:tcBorders>
            <w:shd w:fill="F5F5F5" w:val="clear"/>
            <w:tcMar>
              <w:top w:type="dxa" w:w="60"/>
              <w:left w:type="dxa" w:w="200"/>
              <w:bottom w:type="dxa" w:w="60"/>
              <w:right w:type="dxa" w:w="200"/>
            </w:tcMar>
          </w:tcPr>
          <w:p>
            <w:r>
              <w:rPr>
                <w:b/>
                <w:bCs/>
                <w:color w:val="1A1A2E"/>
                <w:sz w:val="22"/>
                <w:szCs w:val="22"/>
              </w:rPr>
              <w:t xml:space="preserve">Deliverable:  </w:t>
            </w:r>
            <w:r>
              <w:rPr>
                <w:color w:val="444444"/>
                <w:sz w:val="22"/>
                <w:szCs w:val="22"/>
              </w:rPr>
              <w:t xml:space="preserve">Working code + brief write-up</w:t>
            </w:r>
          </w:p>
        </w:tc>
      </w:tr>
      <w:tr>
        <w:tc>
          <w:tcPr>
            <w:tcW w:type="dxa" w:w="9360"/>
            <w:tcBorders>
              <w:top w:val="none"/>
              <w:left w:val="single" w:color="E0E0E0" w:sz="1"/>
              <w:bottom w:val="none"/>
              <w:right w:val="single" w:color="E0E0E0" w:sz="1"/>
            </w:tcBorders>
            <w:shd w:fill="F5F5F5" w:val="clear"/>
            <w:tcMar>
              <w:top w:type="dxa" w:w="60"/>
              <w:left w:type="dxa" w:w="200"/>
              <w:bottom w:type="dxa" w:w="60"/>
              <w:right w:type="dxa" w:w="200"/>
            </w:tcMar>
          </w:tcPr>
          <w:p>
            <w:r>
              <w:rPr>
                <w:b/>
                <w:bCs/>
                <w:color w:val="1A1A2E"/>
                <w:sz w:val="22"/>
                <w:szCs w:val="22"/>
              </w:rPr>
              <w:t xml:space="preserve">Tech Stack:  </w:t>
            </w:r>
            <w:r>
              <w:rPr>
                <w:color w:val="444444"/>
                <w:sz w:val="22"/>
                <w:szCs w:val="22"/>
              </w:rPr>
              <w:t xml:space="preserve">Python preferred; any LLM API (Claude, GPT, Gemini, etc.)</w:t>
            </w:r>
          </w:p>
        </w:tc>
      </w:tr>
      <w:tr>
        <w:tc>
          <w:tcPr>
            <w:tcW w:type="dxa" w:w="9360"/>
            <w:tcBorders>
              <w:top w:val="none"/>
              <w:left w:val="single" w:color="E0E0E0" w:sz="1"/>
              <w:bottom w:val="single" w:color="E0E0E0" w:sz="1"/>
              <w:right w:val="single" w:color="E0E0E0" w:sz="1"/>
            </w:tcBorders>
            <w:shd w:fill="F5F5F5" w:val="clear"/>
          </w:tcPr>
          <w:p>
            <w:pPr>
              <w:spacing w:after="20"/>
            </w:pPr>
          </w:p>
        </w:tc>
      </w:tr>
    </w:tbl>
    <w:p>
      <w:pPr>
        <w:spacing w:after="200"/>
      </w:pPr>
    </w:p>
    <w:p>
      <w:pPr>
        <w:spacing w:after="140"/>
      </w:pPr>
      <w:r>
        <w:rPr>
          <w:color w:val="333333"/>
          <w:sz w:val="22"/>
          <w:szCs w:val="22"/>
        </w:rPr>
        <w:t xml:space="preserve">Please read this document in full before starting. If you have questions, don't hesitate to reach out.</w:t>
      </w:r>
    </w:p>
    <w:p>
      <w:r>
        <w:br w:type="page"/>
      </w:r>
    </w:p>
    <w:p>
      <w:pPr>
        <w:pStyle w:val="Heading1"/>
      </w:pPr>
      <w:r>
        <w:t xml:space="preserve">1. Background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spacing w:after="140"/>
      </w:pPr>
      <w:r>
        <w:rPr>
          <w:color w:val="333333"/>
          <w:sz w:val="22"/>
          <w:szCs w:val="22"/>
        </w:rPr>
        <w:t xml:space="preserve">We are building LightTaxes.com — a tax automation platform that uses LLM-based agents to prepare US federal tax returns. Our architecture is inspired by the paper "Perfecting Tax Returns Like Code" which introduces a codebase-style approach to tax preparation, achieving 100% accuracy on the TaxCalcBench benchmark (51/51 cases).</w:t>
      </w:r>
    </w:p>
    <w:p>
      <w:pPr>
        <w:spacing w:after="140"/>
      </w:pPr>
      <w:r>
        <w:rPr>
          <w:color w:val="333333"/>
          <w:sz w:val="22"/>
          <w:szCs w:val="22"/>
        </w:rPr>
        <w:t xml:space="preserve">The core insight of the paper is: treat the US tax code like a monorepo. Each IRS form or schedule becomes a typed module with explicit inputs/outputs, form-specific agents navigate IRS PDF instructions for grounded reasoning, and a verifier swarm catches errors through cross-form consistency checks.</w:t>
      </w:r>
    </w:p>
    <w:p>
      <w:pPr>
        <w:spacing w:after="140"/>
      </w:pPr>
      <w:r>
        <w:rPr>
          <w:color w:val="333333"/>
          <w:sz w:val="22"/>
          <w:szCs w:val="22"/>
        </w:rPr>
        <w:t xml:space="preserve">Your task is to implement a simplified but functional version of this architecture. This is not about building production software in 3 days — it's about demonstrating that you can read a paper, internalize its ideas, make intelligent scoping decisions, and build something that works.</w:t>
      </w:r>
    </w:p>
    <w:p>
      <w:pPr>
        <w:pStyle w:val="Heading1"/>
      </w:pPr>
      <w:r>
        <w:t xml:space="preserve">2. The Paper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spacing w:after="140"/>
      </w:pPr>
      <w:r>
        <w:rPr>
          <w:color w:val="333333"/>
          <w:sz w:val="22"/>
          <w:szCs w:val="22"/>
        </w:rPr>
        <w:t xml:space="preserve">Read this paper carefully before starting:</w:t>
      </w:r>
    </w:p>
    <w:p>
      <w:pPr>
        <w:pStyle w:val="ListParagraph"/>
        <w:numPr>
          <w:ilvl w:val="0"/>
          <w:numId w:val="2"/>
        </w:numPr>
        <w:spacing w:after="80"/>
      </w:pPr>
      <w:r>
        <w:rPr>
          <w:color w:val="333333"/>
          <w:sz w:val="22"/>
          <w:szCs w:val="22"/>
        </w:rPr>
        <w:t xml:space="preserve">Paper PDF: </w:t>
      </w:r>
      <w:hyperlink w:history="1" r:id="rIdvyob2r_hxfxlnsnemrg7c">
        <w:r>
          <w:rPr>
            <w:color w:val="0F3460"/>
            <w:sz w:val="22"/>
            <w:szCs w:val="22"/>
            <w:u w:val="single"/>
          </w:rPr>
          <w:t xml:space="preserve">https://prime-meridian-papers.s3.us-west-2.amazonaws.com/solving_taxes_like_code.pdf</w:t>
        </w:r>
      </w:hyperlink>
    </w:p>
    <w:p>
      <w:pPr>
        <w:spacing w:after="100"/>
      </w:pPr>
    </w:p>
    <w:p>
      <w:pPr>
        <w:spacing w:after="160"/>
      </w:pPr>
      <w:r>
        <w:rPr>
          <w:b/>
          <w:bCs/>
          <w:color w:val="1A1A2E"/>
          <w:sz w:val="22"/>
          <w:szCs w:val="22"/>
        </w:rPr>
        <w:t xml:space="preserve">Key architectural components described in the paper:</w:t>
      </w:r>
    </w:p>
    <w:p>
      <w:pPr>
        <w:pStyle w:val="ListParagraph"/>
        <w:numPr>
          <w:ilvl w:val="0"/>
          <w:numId w:val="3"/>
        </w:numPr>
        <w:spacing w:after="80"/>
      </w:pPr>
      <w:r>
        <w:rPr>
          <w:color w:val="333333"/>
          <w:sz w:val="22"/>
          <w:szCs w:val="22"/>
        </w:rPr>
        <w:t xml:space="preserve">Codebase-style modularity — Each IRS form/schedule is treated as a typed module with explicit upstream/downstream dependencies (e.g., Schedule C → Schedule SE → Form 1040 Line 23).</w:t>
      </w:r>
    </w:p>
    <w:p>
      <w:pPr>
        <w:pStyle w:val="ListParagraph"/>
        <w:numPr>
          <w:ilvl w:val="0"/>
          <w:numId w:val="3"/>
        </w:numPr>
        <w:spacing w:after="80"/>
      </w:pPr>
      <w:r>
        <w:rPr>
          <w:color w:val="333333"/>
          <w:sz w:val="22"/>
          <w:szCs w:val="22"/>
        </w:rPr>
        <w:t xml:space="preserve">Dedicated form agents — Each agent receives role instructions keyed to the official IRS PDF instructions, a minimal local context (only relevant facts and upstream lines), and follows a multi-agent coordination protocol.</w:t>
      </w:r>
    </w:p>
    <w:p>
      <w:pPr>
        <w:pStyle w:val="ListParagraph"/>
        <w:numPr>
          <w:ilvl w:val="0"/>
          <w:numId w:val="3"/>
        </w:numPr>
        <w:spacing w:after="80"/>
      </w:pPr>
      <w:r>
        <w:rPr>
          <w:color w:val="333333"/>
          <w:sz w:val="22"/>
          <w:szCs w:val="22"/>
        </w:rPr>
        <w:t xml:space="preserve">PDF-native tooling — Agents have a CLI-based PDF navigator with tools like open(), find(regex), goto(page, line), and worksheet(name) to cite IRS instructions and ground their reasoning.</w:t>
      </w:r>
    </w:p>
    <w:p>
      <w:pPr>
        <w:pStyle w:val="ListParagraph"/>
        <w:numPr>
          <w:ilvl w:val="0"/>
          <w:numId w:val="3"/>
        </w:numPr>
        <w:spacing w:after="80"/>
      </w:pPr>
      <w:r>
        <w:rPr>
          <w:color w:val="333333"/>
          <w:sz w:val="22"/>
          <w:szCs w:val="22"/>
        </w:rPr>
        <w:t xml:space="preserve">Deterministic helper tools — Small, pure functions for tax-table lookup, capital-gains worksheet calculation, and EIC table lookup.</w:t>
      </w:r>
    </w:p>
    <w:p>
      <w:pPr>
        <w:pStyle w:val="ListParagraph"/>
        <w:numPr>
          <w:ilvl w:val="0"/>
          <w:numId w:val="3"/>
        </w:numPr>
        <w:spacing w:after="80"/>
      </w:pPr>
      <w:r>
        <w:rPr>
          <w:color w:val="333333"/>
          <w:sz w:val="22"/>
          <w:szCs w:val="22"/>
        </w:rPr>
        <w:t xml:space="preserve">Verifier swarm — Multiple independent verifiers test each component of the tax return, with a judge that coordinates and corrects errors.</w:t>
      </w:r>
    </w:p>
    <w:p>
      <w:pPr>
        <w:pStyle w:val="Heading1"/>
      </w:pPr>
      <w:r>
        <w:t xml:space="preserve">3. Your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spacing w:after="140"/>
      </w:pPr>
      <w:r>
        <w:rPr>
          <w:color w:val="333333"/>
          <w:sz w:val="22"/>
          <w:szCs w:val="22"/>
        </w:rPr>
        <w:t xml:space="preserve">Build a working implementation that covers the following. You do NOT need to handle all 51 TaxCalcBench cases. Focus on getting a clean, extensible architecture right for a handful of cases.</w:t>
      </w:r>
    </w:p>
    <w:p>
      <w:pPr>
        <w:spacing w:after="100"/>
      </w:pPr>
    </w:p>
    <w:p>
      <w:pPr>
        <w:pStyle w:val="Heading2"/>
      </w:pPr>
      <w:r>
        <w:t xml:space="preserve">3a. Core: Form Agent System</w:t>
      </w:r>
    </w:p>
    <w:p>
      <w:pPr>
        <w:spacing w:after="140"/>
      </w:pPr>
      <w:r>
        <w:rPr>
          <w:color w:val="333333"/>
          <w:sz w:val="22"/>
          <w:szCs w:val="22"/>
        </w:rPr>
        <w:t xml:space="preserve">Implement at least 3 form agents from the following set. Each agent should be a modular component that can compute the lines of its assigned form/schedule:</w:t>
      </w:r>
    </w:p>
    <w:p>
      <w:pPr>
        <w:pStyle w:val="ListParagraph"/>
        <w:numPr>
          <w:ilvl w:val="0"/>
          <w:numId w:val="2"/>
        </w:numPr>
        <w:spacing w:after="80"/>
      </w:pPr>
      <w:r>
        <w:rPr>
          <w:color w:val="333333"/>
          <w:sz w:val="22"/>
          <w:szCs w:val="22"/>
        </w:rPr>
        <w:t xml:space="preserve">Form 1040 (the main return — required)</w:t>
      </w:r>
    </w:p>
    <w:p>
      <w:pPr>
        <w:pStyle w:val="ListParagraph"/>
        <w:numPr>
          <w:ilvl w:val="0"/>
          <w:numId w:val="2"/>
        </w:numPr>
        <w:spacing w:after="80"/>
      </w:pPr>
      <w:r>
        <w:rPr>
          <w:color w:val="333333"/>
          <w:sz w:val="22"/>
          <w:szCs w:val="22"/>
        </w:rPr>
        <w:t xml:space="preserve">Schedule 1 (Additional Income and Adjustments)</w:t>
      </w:r>
    </w:p>
    <w:p>
      <w:pPr>
        <w:pStyle w:val="ListParagraph"/>
        <w:numPr>
          <w:ilvl w:val="0"/>
          <w:numId w:val="2"/>
        </w:numPr>
        <w:spacing w:after="80"/>
      </w:pPr>
      <w:r>
        <w:rPr>
          <w:color w:val="333333"/>
          <w:sz w:val="22"/>
          <w:szCs w:val="22"/>
        </w:rPr>
        <w:t xml:space="preserve">Schedule B (Interest and Ordinary Dividends)</w:t>
      </w:r>
    </w:p>
    <w:p>
      <w:pPr>
        <w:pStyle w:val="ListParagraph"/>
        <w:numPr>
          <w:ilvl w:val="0"/>
          <w:numId w:val="2"/>
        </w:numPr>
        <w:spacing w:after="80"/>
      </w:pPr>
      <w:r>
        <w:rPr>
          <w:color w:val="333333"/>
          <w:sz w:val="22"/>
          <w:szCs w:val="22"/>
        </w:rPr>
        <w:t xml:space="preserve">Schedule C (Profit or Loss from Business)</w:t>
      </w:r>
    </w:p>
    <w:p>
      <w:pPr>
        <w:pStyle w:val="ListParagraph"/>
        <w:numPr>
          <w:ilvl w:val="0"/>
          <w:numId w:val="2"/>
        </w:numPr>
        <w:spacing w:after="80"/>
      </w:pPr>
      <w:r>
        <w:rPr>
          <w:color w:val="333333"/>
          <w:sz w:val="22"/>
          <w:szCs w:val="22"/>
        </w:rPr>
        <w:t xml:space="preserve">Schedule SE (Self-Employment Tax)</w:t>
      </w:r>
    </w:p>
    <w:p>
      <w:pPr>
        <w:pStyle w:val="ListParagraph"/>
        <w:numPr>
          <w:ilvl w:val="0"/>
          <w:numId w:val="2"/>
        </w:numPr>
        <w:spacing w:after="80"/>
      </w:pPr>
      <w:r>
        <w:rPr>
          <w:color w:val="333333"/>
          <w:sz w:val="22"/>
          <w:szCs w:val="22"/>
        </w:rPr>
        <w:t xml:space="preserve">Schedule 8812 (Child Tax Credit)</w:t>
      </w:r>
    </w:p>
    <w:p>
      <w:pPr>
        <w:spacing w:after="80"/>
      </w:pPr>
    </w:p>
    <w:p>
      <w:pPr>
        <w:spacing w:after="140"/>
      </w:pPr>
      <w:r>
        <w:rPr>
          <w:color w:val="333333"/>
          <w:sz w:val="22"/>
          <w:szCs w:val="22"/>
        </w:rPr>
        <w:t xml:space="preserve">Each form agent should:</w:t>
      </w:r>
    </w:p>
    <w:p>
      <w:pPr>
        <w:pStyle w:val="ListParagraph"/>
        <w:numPr>
          <w:ilvl w:val="0"/>
          <w:numId w:val="2"/>
        </w:numPr>
        <w:spacing w:after="80"/>
      </w:pPr>
      <w:r>
        <w:rPr>
          <w:color w:val="333333"/>
          <w:sz w:val="22"/>
          <w:szCs w:val="22"/>
        </w:rPr>
        <w:t xml:space="preserve">Accept typed inputs (upstream form outputs + taxpayer data from input.json)</w:t>
      </w:r>
    </w:p>
    <w:p>
      <w:pPr>
        <w:pStyle w:val="ListParagraph"/>
        <w:numPr>
          <w:ilvl w:val="0"/>
          <w:numId w:val="2"/>
        </w:numPr>
        <w:spacing w:after="80"/>
      </w:pPr>
      <w:r>
        <w:rPr>
          <w:color w:val="333333"/>
          <w:sz w:val="22"/>
          <w:szCs w:val="22"/>
        </w:rPr>
        <w:t xml:space="preserve">Use an LLM to reason through line-by-line calculations, grounded in IRS instructions</w:t>
      </w:r>
    </w:p>
    <w:p>
      <w:pPr>
        <w:pStyle w:val="ListParagraph"/>
        <w:numPr>
          <w:ilvl w:val="0"/>
          <w:numId w:val="2"/>
        </w:numPr>
        <w:spacing w:after="80"/>
      </w:pPr>
      <w:r>
        <w:rPr>
          <w:color w:val="333333"/>
          <w:sz w:val="22"/>
          <w:szCs w:val="22"/>
        </w:rPr>
        <w:t xml:space="preserve">Produce typed outputs that downstream agents can consume</w:t>
      </w:r>
    </w:p>
    <w:p>
      <w:pPr>
        <w:pStyle w:val="ListParagraph"/>
        <w:numPr>
          <w:ilvl w:val="0"/>
          <w:numId w:val="2"/>
        </w:numPr>
        <w:spacing w:after="80"/>
      </w:pPr>
      <w:r>
        <w:rPr>
          <w:color w:val="333333"/>
          <w:sz w:val="22"/>
          <w:szCs w:val="22"/>
        </w:rPr>
        <w:t xml:space="preserve">Include citations or references to IRS instructions where nontrivial logic is applied</w:t>
      </w:r>
    </w:p>
    <w:p>
      <w:pPr>
        <w:spacing w:after="100"/>
      </w:pPr>
    </w:p>
    <w:p>
      <w:pPr>
        <w:pStyle w:val="Heading2"/>
      </w:pPr>
      <w:r>
        <w:t xml:space="preserve">3b. PDF-Native Tooling</w:t>
      </w:r>
    </w:p>
    <w:p>
      <w:pPr>
        <w:spacing w:after="140"/>
      </w:pPr>
      <w:r>
        <w:rPr>
          <w:color w:val="333333"/>
          <w:sz w:val="22"/>
          <w:szCs w:val="22"/>
        </w:rPr>
        <w:t xml:space="preserve">Implement a basic PDF navigator that agents can use. This doesn't need to be the full CLI described in the paper, but it should demonstrate the concept of grounding LLM reasoning in source documents. At minimum:</w:t>
      </w:r>
    </w:p>
    <w:p>
      <w:pPr>
        <w:pStyle w:val="ListParagraph"/>
        <w:numPr>
          <w:ilvl w:val="0"/>
          <w:numId w:val="2"/>
        </w:numPr>
        <w:spacing w:after="80"/>
      </w:pPr>
      <w:r>
        <w:rPr>
          <w:color w:val="333333"/>
          <w:sz w:val="22"/>
          <w:szCs w:val="22"/>
        </w:rPr>
        <w:t xml:space="preserve">Load and parse IRS instruction PDFs</w:t>
      </w:r>
    </w:p>
    <w:p>
      <w:pPr>
        <w:pStyle w:val="ListParagraph"/>
        <w:numPr>
          <w:ilvl w:val="0"/>
          <w:numId w:val="2"/>
        </w:numPr>
        <w:spacing w:after="80"/>
      </w:pPr>
      <w:r>
        <w:rPr>
          <w:color w:val="333333"/>
          <w:sz w:val="22"/>
          <w:szCs w:val="22"/>
        </w:rPr>
        <w:t xml:space="preserve">Search/retrieve relevant sections by keyword or page reference</w:t>
      </w:r>
    </w:p>
    <w:p>
      <w:pPr>
        <w:pStyle w:val="ListParagraph"/>
        <w:numPr>
          <w:ilvl w:val="0"/>
          <w:numId w:val="2"/>
        </w:numPr>
        <w:spacing w:after="80"/>
      </w:pPr>
      <w:r>
        <w:rPr>
          <w:color w:val="333333"/>
          <w:sz w:val="22"/>
          <w:szCs w:val="22"/>
        </w:rPr>
        <w:t xml:space="preserve">Provide retrieved context to the LLM as part of the agent's prompt</w:t>
      </w:r>
    </w:p>
    <w:p>
      <w:pPr>
        <w:spacing w:after="100"/>
      </w:pPr>
    </w:p>
    <w:p>
      <w:pPr>
        <w:pStyle w:val="Heading2"/>
      </w:pPr>
      <w:r>
        <w:t xml:space="preserve">3c. Deterministic Tools</w:t>
      </w:r>
    </w:p>
    <w:p>
      <w:pPr>
        <w:spacing w:after="140"/>
      </w:pPr>
      <w:r>
        <w:rPr>
          <w:color w:val="333333"/>
          <w:sz w:val="22"/>
          <w:szCs w:val="22"/>
        </w:rPr>
        <w:t xml:space="preserve">Implement at least one deterministic helper tool:</w:t>
      </w:r>
    </w:p>
    <w:p>
      <w:pPr>
        <w:pStyle w:val="ListParagraph"/>
        <w:numPr>
          <w:ilvl w:val="0"/>
          <w:numId w:val="2"/>
        </w:numPr>
        <w:spacing w:after="80"/>
      </w:pPr>
      <w:r>
        <w:rPr>
          <w:color w:val="333333"/>
          <w:sz w:val="22"/>
          <w:szCs w:val="22"/>
        </w:rPr>
        <w:t xml:space="preserve">TY24 tax table lookup (given taxable income + filing status, return the tax amount)</w:t>
      </w:r>
    </w:p>
    <w:p>
      <w:pPr>
        <w:pStyle w:val="ListParagraph"/>
        <w:numPr>
          <w:ilvl w:val="0"/>
          <w:numId w:val="2"/>
        </w:numPr>
        <w:spacing w:after="80"/>
      </w:pPr>
      <w:r>
        <w:rPr>
          <w:color w:val="333333"/>
          <w:sz w:val="22"/>
          <w:szCs w:val="22"/>
        </w:rPr>
        <w:t xml:space="preserve">Standard deduction lookup (given filing status, return the standard deduction amount)</w:t>
      </w:r>
    </w:p>
    <w:p>
      <w:pPr>
        <w:spacing w:after="140"/>
      </w:pPr>
      <w:r>
        <w:rPr>
          <w:color w:val="333333"/>
          <w:sz w:val="22"/>
          <w:szCs w:val="22"/>
        </w:rPr>
        <w:t xml:space="preserve">These should be pure functions — no LLM involved. The paper specifically calls out that these computations should never be left to the LLM.</w:t>
      </w:r>
    </w:p>
    <w:p>
      <w:pPr>
        <w:spacing w:after="100"/>
      </w:pPr>
    </w:p>
    <w:p>
      <w:pPr>
        <w:pStyle w:val="Heading2"/>
      </w:pPr>
      <w:r>
        <w:t xml:space="preserve">3d. Verifier (Stretch Goal)</w:t>
      </w:r>
    </w:p>
    <w:p>
      <w:pPr>
        <w:spacing w:after="140"/>
      </w:pPr>
      <w:r>
        <w:rPr>
          <w:color w:val="333333"/>
          <w:sz w:val="22"/>
          <w:szCs w:val="22"/>
        </w:rPr>
        <w:t xml:space="preserve">If time permits, implement a basic verifier that checks the completed return for consistency. For example:</w:t>
      </w:r>
    </w:p>
    <w:p>
      <w:pPr>
        <w:pStyle w:val="ListParagraph"/>
        <w:numPr>
          <w:ilvl w:val="0"/>
          <w:numId w:val="2"/>
        </w:numPr>
        <w:spacing w:after="80"/>
      </w:pPr>
      <w:r>
        <w:rPr>
          <w:color w:val="333333"/>
          <w:sz w:val="22"/>
          <w:szCs w:val="22"/>
        </w:rPr>
        <w:t xml:space="preserve">Cross-form arithmetic checks (e.g., Schedule 1 totals flow correctly into 1040)</w:t>
      </w:r>
    </w:p>
    <w:p>
      <w:pPr>
        <w:pStyle w:val="ListParagraph"/>
        <w:numPr>
          <w:ilvl w:val="0"/>
          <w:numId w:val="2"/>
        </w:numPr>
        <w:spacing w:after="80"/>
      </w:pPr>
      <w:r>
        <w:rPr>
          <w:color w:val="333333"/>
          <w:sz w:val="22"/>
          <w:szCs w:val="22"/>
        </w:rPr>
        <w:t xml:space="preserve">A second LLM pass that reviews the completed return and flags potential errors</w:t>
      </w:r>
    </w:p>
    <w:p>
      <w:pPr>
        <w:pStyle w:val="ListParagraph"/>
        <w:numPr>
          <w:ilvl w:val="0"/>
          <w:numId w:val="2"/>
        </w:numPr>
        <w:spacing w:after="80"/>
      </w:pPr>
      <w:r>
        <w:rPr>
          <w:color w:val="333333"/>
          <w:sz w:val="22"/>
          <w:szCs w:val="22"/>
        </w:rPr>
        <w:t xml:space="preserve">Comparison of the output against the expected output.xml from TaxCalcBench</w:t>
      </w:r>
    </w:p>
    <w:p>
      <w:r>
        <w:br w:type="page"/>
      </w:r>
    </w:p>
    <w:p>
      <w:pPr>
        <w:pStyle w:val="Heading1"/>
      </w:pPr>
      <w:r>
        <w:t xml:space="preserve">4. Test Data &amp;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pStyle w:val="Heading2"/>
      </w:pPr>
      <w:r>
        <w:t xml:space="preserve">4a. TaxCalcBench Dataset</w:t>
      </w:r>
    </w:p>
    <w:p>
      <w:pPr>
        <w:spacing w:after="140"/>
      </w:pPr>
      <w:r>
        <w:rPr>
          <w:color w:val="333333"/>
          <w:sz w:val="22"/>
          <w:szCs w:val="22"/>
        </w:rPr>
        <w:t xml:space="preserve">The benchmark dataset is open-source and contains 51 test cases with input JSON and expected output XML for each.</w:t>
      </w:r>
    </w:p>
    <w:p>
      <w:pPr>
        <w:pStyle w:val="ListParagraph"/>
        <w:numPr>
          <w:ilvl w:val="0"/>
          <w:numId w:val="2"/>
        </w:numPr>
        <w:spacing w:after="80"/>
      </w:pPr>
      <w:r>
        <w:rPr>
          <w:color w:val="333333"/>
          <w:sz w:val="22"/>
          <w:szCs w:val="22"/>
        </w:rPr>
        <w:t xml:space="preserve">GitHub Repository: </w:t>
      </w:r>
      <w:hyperlink w:history="1" r:id="rIdpvf8er0ab-uqspnm4mb2p">
        <w:r>
          <w:rPr>
            <w:color w:val="0F3460"/>
            <w:sz w:val="22"/>
            <w:szCs w:val="22"/>
            <w:u w:val="single"/>
          </w:rPr>
          <w:t xml:space="preserve">https://github.com/column-tax/tax-calc-bench</w:t>
        </w:r>
      </w:hyperlink>
    </w:p>
    <w:p>
      <w:pPr>
        <w:spacing w:after="40"/>
      </w:pPr>
    </w:p>
    <w:p>
      <w:pPr>
        <w:spacing w:after="140"/>
      </w:pPr>
      <w:r>
        <w:rPr>
          <w:color w:val="333333"/>
          <w:sz w:val="22"/>
          <w:szCs w:val="22"/>
        </w:rPr>
        <w:t xml:space="preserve">Each test case directory contains an input.json (taxpayer data like W-2s, dependents, filing status) and an output.xml (the correctly computed Form 1040 in IRS XML format). We recommend starting with simpler cases, for example:</w:t>
      </w:r>
    </w:p>
    <w:p>
      <w:pPr>
        <w:pStyle w:val="ListParagraph"/>
        <w:numPr>
          <w:ilvl w:val="0"/>
          <w:numId w:val="2"/>
        </w:numPr>
        <w:spacing w:after="80"/>
      </w:pPr>
      <w:r>
        <w:rPr>
          <w:color w:val="333333"/>
          <w:sz w:val="22"/>
          <w:szCs w:val="22"/>
        </w:rPr>
        <w:t xml:space="preserve">single-w2 — A basic single filer with one W-2</w:t>
      </w:r>
    </w:p>
    <w:p>
      <w:pPr>
        <w:pStyle w:val="ListParagraph"/>
        <w:numPr>
          <w:ilvl w:val="0"/>
          <w:numId w:val="2"/>
        </w:numPr>
        <w:spacing w:after="80"/>
      </w:pPr>
      <w:r>
        <w:rPr>
          <w:color w:val="333333"/>
          <w:sz w:val="22"/>
          <w:szCs w:val="22"/>
        </w:rPr>
        <w:t xml:space="preserve">mfj-w2 — Married filing jointly with W-2 income</w:t>
      </w:r>
    </w:p>
    <w:p>
      <w:pPr>
        <w:pStyle w:val="ListParagraph"/>
        <w:numPr>
          <w:ilvl w:val="0"/>
          <w:numId w:val="2"/>
        </w:numPr>
        <w:spacing w:after="80"/>
      </w:pPr>
      <w:r>
        <w:rPr>
          <w:color w:val="333333"/>
          <w:sz w:val="22"/>
          <w:szCs w:val="22"/>
        </w:rPr>
        <w:t xml:space="preserve">single-w2-1099int — Single filer with W-2 and interest income</w:t>
      </w:r>
    </w:p>
    <w:p>
      <w:pPr>
        <w:spacing w:after="100"/>
      </w:pPr>
    </w:p>
    <w:p>
      <w:pPr>
        <w:pStyle w:val="Heading2"/>
      </w:pPr>
      <w:r>
        <w:t xml:space="preserve">4b. IRS Forms &amp; Instructions (TY 2024)</w:t>
      </w:r>
    </w:p>
    <w:p>
      <w:pPr>
        <w:spacing w:after="140"/>
      </w:pPr>
      <w:r>
        <w:rPr>
          <w:color w:val="333333"/>
          <w:sz w:val="22"/>
          <w:szCs w:val="22"/>
        </w:rPr>
        <w:t xml:space="preserve">You will need the official IRS instruction PDFs for the forms you implement. These are what your PDF navigator should be able to search through. Key resources:</w:t>
      </w:r>
    </w:p>
    <w:p>
      <w:pPr>
        <w:spacing w:after="40"/>
      </w:pPr>
    </w:p>
    <w:p>
      <w:pPr>
        <w:pStyle w:val="ListParagraph"/>
        <w:numPr>
          <w:ilvl w:val="0"/>
          <w:numId w:val="2"/>
        </w:numPr>
        <w:spacing w:after="80"/>
      </w:pPr>
      <w:r>
        <w:rPr>
          <w:color w:val="333333"/>
          <w:sz w:val="22"/>
          <w:szCs w:val="22"/>
        </w:rPr>
        <w:t xml:space="preserve">Form 1040 (blank form): </w:t>
      </w:r>
      <w:hyperlink w:history="1" r:id="rIdixsbyhstcom2k879_kcbs">
        <w:r>
          <w:rPr>
            <w:color w:val="0F3460"/>
            <w:sz w:val="22"/>
            <w:szCs w:val="22"/>
            <w:u w:val="single"/>
          </w:rPr>
          <w:t xml:space="preserve">https://www.irs.gov/pub/irs-prior/f1040--2024.pdf</w:t>
        </w:r>
      </w:hyperlink>
    </w:p>
    <w:p>
      <w:pPr>
        <w:pStyle w:val="ListParagraph"/>
        <w:numPr>
          <w:ilvl w:val="0"/>
          <w:numId w:val="2"/>
        </w:numPr>
        <w:spacing w:after="80"/>
      </w:pPr>
      <w:r>
        <w:rPr>
          <w:color w:val="333333"/>
          <w:sz w:val="22"/>
          <w:szCs w:val="22"/>
        </w:rPr>
        <w:t xml:space="preserve">Form 1040 Instructions: </w:t>
      </w:r>
      <w:hyperlink w:history="1" r:id="rIdgmjgq03wwl-rxn-rngxco">
        <w:r>
          <w:rPr>
            <w:color w:val="0F3460"/>
            <w:sz w:val="22"/>
            <w:szCs w:val="22"/>
            <w:u w:val="single"/>
          </w:rPr>
          <w:t xml:space="preserve">https://www.irs.gov/pub/irs-prior/i1040gi--2024.pdf</w:t>
        </w:r>
      </w:hyperlink>
    </w:p>
    <w:p>
      <w:pPr>
        <w:pStyle w:val="ListParagraph"/>
        <w:numPr>
          <w:ilvl w:val="0"/>
          <w:numId w:val="2"/>
        </w:numPr>
        <w:spacing w:after="80"/>
      </w:pPr>
      <w:r>
        <w:rPr>
          <w:color w:val="333333"/>
          <w:sz w:val="22"/>
          <w:szCs w:val="22"/>
        </w:rPr>
        <w:t xml:space="preserve">Tax Tables (TY 2024): </w:t>
      </w:r>
      <w:hyperlink w:history="1" r:id="rIdx9nmej-p58sohzry3bixq">
        <w:r>
          <w:rPr>
            <w:color w:val="0F3460"/>
            <w:sz w:val="22"/>
            <w:szCs w:val="22"/>
            <w:u w:val="single"/>
          </w:rPr>
          <w:t xml:space="preserve">https://www.irs.gov/pub/irs-pdf/i1040tt.pdf</w:t>
        </w:r>
      </w:hyperlink>
    </w:p>
    <w:p>
      <w:pPr>
        <w:pStyle w:val="ListParagraph"/>
        <w:numPr>
          <w:ilvl w:val="0"/>
          <w:numId w:val="2"/>
        </w:numPr>
        <w:spacing w:after="80"/>
      </w:pPr>
      <w:r>
        <w:rPr>
          <w:color w:val="333333"/>
          <w:sz w:val="22"/>
          <w:szCs w:val="22"/>
        </w:rPr>
        <w:t xml:space="preserve">Schedule 1: </w:t>
      </w:r>
      <w:hyperlink w:history="1" r:id="rId2y4aunk8lwutou7p_r3ur">
        <w:r>
          <w:rPr>
            <w:color w:val="0F3460"/>
            <w:sz w:val="22"/>
            <w:szCs w:val="22"/>
            <w:u w:val="single"/>
          </w:rPr>
          <w:t xml:space="preserve">https://www.irs.gov/pub/irs-prior/f1040s1--2024.pdf</w:t>
        </w:r>
      </w:hyperlink>
    </w:p>
    <w:p>
      <w:pPr>
        <w:pStyle w:val="ListParagraph"/>
        <w:numPr>
          <w:ilvl w:val="0"/>
          <w:numId w:val="2"/>
        </w:numPr>
        <w:spacing w:after="80"/>
      </w:pPr>
      <w:r>
        <w:rPr>
          <w:color w:val="333333"/>
          <w:sz w:val="22"/>
          <w:szCs w:val="22"/>
        </w:rPr>
        <w:t xml:space="preserve">Schedule B: </w:t>
      </w:r>
      <w:hyperlink w:history="1" r:id="rIdvagfc6up8q-dyamc3pkwj">
        <w:r>
          <w:rPr>
            <w:color w:val="0F3460"/>
            <w:sz w:val="22"/>
            <w:szCs w:val="22"/>
            <w:u w:val="single"/>
          </w:rPr>
          <w:t xml:space="preserve">https://www.irs.gov/pub/irs-prior/f1040sb--2024.pdf</w:t>
        </w:r>
      </w:hyperlink>
    </w:p>
    <w:p>
      <w:pPr>
        <w:pStyle w:val="ListParagraph"/>
        <w:numPr>
          <w:ilvl w:val="0"/>
          <w:numId w:val="2"/>
        </w:numPr>
        <w:spacing w:after="80"/>
      </w:pPr>
      <w:r>
        <w:rPr>
          <w:color w:val="333333"/>
          <w:sz w:val="22"/>
          <w:szCs w:val="22"/>
        </w:rPr>
        <w:t xml:space="preserve">Schedule C: </w:t>
      </w:r>
      <w:hyperlink w:history="1" r:id="rIdt8hnzgul0z5eoz4j63vvg">
        <w:r>
          <w:rPr>
            <w:color w:val="0F3460"/>
            <w:sz w:val="22"/>
            <w:szCs w:val="22"/>
            <w:u w:val="single"/>
          </w:rPr>
          <w:t xml:space="preserve">https://www.irs.gov/pub/irs-prior/f1040sc--2024.pdf</w:t>
        </w:r>
      </w:hyperlink>
    </w:p>
    <w:p>
      <w:pPr>
        <w:pStyle w:val="ListParagraph"/>
        <w:numPr>
          <w:ilvl w:val="0"/>
          <w:numId w:val="2"/>
        </w:numPr>
        <w:spacing w:after="80"/>
      </w:pPr>
      <w:r>
        <w:rPr>
          <w:color w:val="333333"/>
          <w:sz w:val="22"/>
          <w:szCs w:val="22"/>
        </w:rPr>
        <w:t xml:space="preserve">Schedule SE: </w:t>
      </w:r>
      <w:hyperlink w:history="1" r:id="rIdfrgt4rh84_ktafcvsij7d">
        <w:r>
          <w:rPr>
            <w:color w:val="0F3460"/>
            <w:sz w:val="22"/>
            <w:szCs w:val="22"/>
            <w:u w:val="single"/>
          </w:rPr>
          <w:t xml:space="preserve">https://www.irs.gov/pub/irs-prior/f1040sse--2024.pdf</w:t>
        </w:r>
      </w:hyperlink>
    </w:p>
    <w:p>
      <w:pPr>
        <w:pStyle w:val="ListParagraph"/>
        <w:numPr>
          <w:ilvl w:val="0"/>
          <w:numId w:val="2"/>
        </w:numPr>
        <w:spacing w:after="80"/>
      </w:pPr>
      <w:r>
        <w:rPr>
          <w:color w:val="333333"/>
          <w:sz w:val="22"/>
          <w:szCs w:val="22"/>
        </w:rPr>
        <w:t xml:space="preserve">Schedule 8812: </w:t>
      </w:r>
      <w:hyperlink w:history="1" r:id="rIdlx6ce9p4xb253twa5gzrh">
        <w:r>
          <w:rPr>
            <w:color w:val="0F3460"/>
            <w:sz w:val="22"/>
            <w:szCs w:val="22"/>
            <w:u w:val="single"/>
          </w:rPr>
          <w:t xml:space="preserve">https://www.irs.gov/pub/irs-prior/f1040s8--2024.pdf</w:t>
        </w:r>
      </w:hyperlink>
    </w:p>
    <w:p>
      <w:pPr>
        <w:pStyle w:val="ListParagraph"/>
        <w:numPr>
          <w:ilvl w:val="0"/>
          <w:numId w:val="2"/>
        </w:numPr>
        <w:spacing w:after="80"/>
      </w:pPr>
      <w:r>
        <w:rPr>
          <w:color w:val="333333"/>
          <w:sz w:val="22"/>
          <w:szCs w:val="22"/>
        </w:rPr>
        <w:t xml:space="preserve">All IRS Forms &amp; Instructions: </w:t>
      </w:r>
      <w:hyperlink w:history="1" r:id="rIdy3j7h_m2g65gtlpvigldw">
        <w:r>
          <w:rPr>
            <w:color w:val="0F3460"/>
            <w:sz w:val="22"/>
            <w:szCs w:val="22"/>
            <w:u w:val="single"/>
          </w:rPr>
          <w:t xml:space="preserve">https://www.irs.gov/forms-instructions-and-publications</w:t>
        </w:r>
      </w:hyperlink>
    </w:p>
    <w:p>
      <w:pPr>
        <w:spacing w:after="100"/>
      </w:pPr>
    </w:p>
    <w:p>
      <w:pPr>
        <w:pStyle w:val="Heading2"/>
      </w:pPr>
      <w:r>
        <w:t xml:space="preserve">4c. Reference Paper &amp; Benchmark Paper</w:t>
      </w:r>
    </w:p>
    <w:p>
      <w:pPr>
        <w:pStyle w:val="ListParagraph"/>
        <w:numPr>
          <w:ilvl w:val="0"/>
          <w:numId w:val="2"/>
        </w:numPr>
        <w:spacing w:after="80"/>
      </w:pPr>
      <w:r>
        <w:rPr>
          <w:color w:val="333333"/>
          <w:sz w:val="22"/>
          <w:szCs w:val="22"/>
        </w:rPr>
        <w:t xml:space="preserve">Architecture Paper (Jain &amp; Kumar, 2025): </w:t>
      </w:r>
      <w:hyperlink w:history="1" r:id="rId2pckyci7vmvuy9z5vcaa1">
        <w:r>
          <w:rPr>
            <w:color w:val="0F3460"/>
            <w:sz w:val="22"/>
            <w:szCs w:val="22"/>
            <w:u w:val="single"/>
          </w:rPr>
          <w:t xml:space="preserve">https://prime-meridian-papers.s3.us-west-2.amazonaws.com/solving_taxes_like_code.pdf</w:t>
        </w:r>
      </w:hyperlink>
    </w:p>
    <w:p>
      <w:pPr>
        <w:pStyle w:val="ListParagraph"/>
        <w:numPr>
          <w:ilvl w:val="0"/>
          <w:numId w:val="2"/>
        </w:numPr>
        <w:spacing w:after="80"/>
      </w:pPr>
      <w:r>
        <w:rPr>
          <w:color w:val="333333"/>
          <w:sz w:val="22"/>
          <w:szCs w:val="22"/>
        </w:rPr>
        <w:t xml:space="preserve">TaxCalcBench Paper (Column Tax): </w:t>
      </w:r>
      <w:hyperlink w:history="1" r:id="rIduytre1zxr9o8zpckcp-kb">
        <w:r>
          <w:rPr>
            <w:color w:val="0F3460"/>
            <w:sz w:val="22"/>
            <w:szCs w:val="22"/>
            <w:u w:val="single"/>
          </w:rPr>
          <w:t xml:space="preserve">https://arxiv.org/abs/2507.16126</w:t>
        </w:r>
      </w:hyperlink>
    </w:p>
    <w:p>
      <w:r>
        <w:br w:type="page"/>
      </w:r>
    </w:p>
    <w:p>
      <w:pPr>
        <w:pStyle w:val="Heading1"/>
      </w:pPr>
      <w:r>
        <w:t xml:space="preserve">5. What We're Looking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spacing w:after="140"/>
      </w:pPr>
      <w:r>
        <w:rPr>
          <w:color w:val="333333"/>
          <w:sz w:val="22"/>
          <w:szCs w:val="22"/>
        </w:rPr>
        <w:t xml:space="preserve">We believe coding is becoming increasingly commoditized with AI tools. What matters to us is how you think, how you break down a complex problem, and the decisions you make along the way. Your write-up matters as much as (or more than) your code.</w:t>
      </w:r>
    </w:p>
    <w:p>
      <w:pPr>
        <w:spacing w:after="80"/>
      </w:pPr>
    </w:p>
    <w:p>
      <w:pPr>
        <w:pStyle w:val="Heading3"/>
      </w:pPr>
      <w:r>
        <w:t xml:space="preserve">Approach &amp; Problem Decomposition (Most Important)</w:t>
      </w:r>
    </w:p>
    <w:p>
      <w:pPr>
        <w:pStyle w:val="ListParagraph"/>
        <w:numPr>
          <w:ilvl w:val="0"/>
          <w:numId w:val="2"/>
        </w:numPr>
        <w:spacing w:after="80"/>
      </w:pPr>
      <w:r>
        <w:rPr>
          <w:color w:val="333333"/>
          <w:sz w:val="22"/>
          <w:szCs w:val="22"/>
        </w:rPr>
        <w:t xml:space="preserve">How did you break down the paper into implementable pieces? What was your plan before you started coding?</w:t>
      </w:r>
    </w:p>
    <w:p>
      <w:pPr>
        <w:pStyle w:val="ListParagraph"/>
        <w:numPr>
          <w:ilvl w:val="0"/>
          <w:numId w:val="2"/>
        </w:numPr>
        <w:spacing w:after="80"/>
      </w:pPr>
      <w:r>
        <w:rPr>
          <w:color w:val="333333"/>
          <w:sz w:val="22"/>
          <w:szCs w:val="22"/>
        </w:rPr>
        <w:t xml:space="preserve">How did you model the dependency graph between forms? Did you think in terms of a DAG, a pipeline, message passing?</w:t>
      </w:r>
    </w:p>
    <w:p>
      <w:pPr>
        <w:pStyle w:val="ListParagraph"/>
        <w:numPr>
          <w:ilvl w:val="0"/>
          <w:numId w:val="2"/>
        </w:numPr>
        <w:spacing w:after="80"/>
      </w:pPr>
      <w:r>
        <w:rPr>
          <w:color w:val="333333"/>
          <w:sz w:val="22"/>
          <w:szCs w:val="22"/>
        </w:rPr>
        <w:t xml:space="preserve">What was your strategy for grounding LLM reasoning in IRS instructions? How did you decide what context to feed the model?</w:t>
      </w:r>
    </w:p>
    <w:p>
      <w:pPr>
        <w:pStyle w:val="ListParagraph"/>
        <w:numPr>
          <w:ilvl w:val="0"/>
          <w:numId w:val="2"/>
        </w:numPr>
        <w:spacing w:after="80"/>
      </w:pPr>
      <w:r>
        <w:rPr>
          <w:color w:val="333333"/>
          <w:sz w:val="22"/>
          <w:szCs w:val="22"/>
        </w:rPr>
        <w:t xml:space="preserve">How did you decide which parts should be LLM-driven vs. deterministic?</w:t>
      </w:r>
    </w:p>
    <w:p>
      <w:pPr>
        <w:spacing w:after="80"/>
      </w:pPr>
    </w:p>
    <w:p>
      <w:pPr>
        <w:pStyle w:val="Heading3"/>
      </w:pPr>
      <w:r>
        <w:t xml:space="preserve">Scoping &amp; Tradeoff Reasoning</w:t>
      </w:r>
    </w:p>
    <w:p>
      <w:pPr>
        <w:pStyle w:val="ListParagraph"/>
        <w:numPr>
          <w:ilvl w:val="0"/>
          <w:numId w:val="2"/>
        </w:numPr>
        <w:spacing w:after="80"/>
      </w:pPr>
      <w:r>
        <w:rPr>
          <w:color w:val="333333"/>
          <w:sz w:val="22"/>
          <w:szCs w:val="22"/>
        </w:rPr>
        <w:t xml:space="preserve">Did you make smart decisions about what to build vs. what to skip? Can you articulate why?</w:t>
      </w:r>
    </w:p>
    <w:p>
      <w:pPr>
        <w:pStyle w:val="ListParagraph"/>
        <w:numPr>
          <w:ilvl w:val="0"/>
          <w:numId w:val="2"/>
        </w:numPr>
        <w:spacing w:after="80"/>
      </w:pPr>
      <w:r>
        <w:rPr>
          <w:color w:val="333333"/>
          <w:sz w:val="22"/>
          <w:szCs w:val="22"/>
        </w:rPr>
        <w:t xml:space="preserve">Did you start with something working end-to-end before going deep on any one component?</w:t>
      </w:r>
    </w:p>
    <w:p>
      <w:pPr>
        <w:pStyle w:val="ListParagraph"/>
        <w:numPr>
          <w:ilvl w:val="0"/>
          <w:numId w:val="2"/>
        </w:numPr>
        <w:spacing w:after="80"/>
      </w:pPr>
      <w:r>
        <w:rPr>
          <w:color w:val="333333"/>
          <w:sz w:val="22"/>
          <w:szCs w:val="22"/>
        </w:rPr>
        <w:t xml:space="preserve">What would you do differently with 2 more weeks? What about 2 more months?</w:t>
      </w:r>
    </w:p>
    <w:p>
      <w:pPr>
        <w:spacing w:after="80"/>
      </w:pPr>
    </w:p>
    <w:p>
      <w:pPr>
        <w:pStyle w:val="Heading3"/>
      </w:pPr>
      <w:r>
        <w:t xml:space="preserve">Write-Up Quality</w:t>
      </w:r>
    </w:p>
    <w:p>
      <w:pPr>
        <w:pStyle w:val="ListParagraph"/>
        <w:numPr>
          <w:ilvl w:val="0"/>
          <w:numId w:val="2"/>
        </w:numPr>
        <w:spacing w:after="80"/>
      </w:pPr>
      <w:r>
        <w:rPr>
          <w:color w:val="333333"/>
          <w:sz w:val="22"/>
          <w:szCs w:val="22"/>
        </w:rPr>
        <w:t xml:space="preserve">Is your README a clear window into how you think? Architecture diagram, decision log, and honest reflection on what worked and what didn't.</w:t>
      </w:r>
    </w:p>
    <w:p>
      <w:pPr>
        <w:pStyle w:val="ListParagraph"/>
        <w:numPr>
          <w:ilvl w:val="0"/>
          <w:numId w:val="2"/>
        </w:numPr>
        <w:spacing w:after="80"/>
      </w:pPr>
      <w:r>
        <w:rPr>
          <w:color w:val="333333"/>
          <w:sz w:val="22"/>
          <w:szCs w:val="22"/>
        </w:rPr>
        <w:t xml:space="preserve">Can you explain the paper's core ideas in your own words and how your implementation maps to them?</w:t>
      </w:r>
    </w:p>
    <w:p>
      <w:pPr>
        <w:pStyle w:val="ListParagraph"/>
        <w:numPr>
          <w:ilvl w:val="0"/>
          <w:numId w:val="2"/>
        </w:numPr>
        <w:spacing w:after="80"/>
      </w:pPr>
      <w:r>
        <w:rPr>
          <w:color w:val="333333"/>
          <w:sz w:val="22"/>
          <w:szCs w:val="22"/>
        </w:rPr>
        <w:t xml:space="preserve">Did you identify limitations or failure modes in your approach?</w:t>
      </w:r>
    </w:p>
    <w:p>
      <w:pPr>
        <w:spacing w:after="80"/>
      </w:pPr>
    </w:p>
    <w:p>
      <w:pPr>
        <w:pStyle w:val="Heading3"/>
      </w:pPr>
      <w:r>
        <w:t xml:space="preserve">System Design &amp; Extensibility</w:t>
      </w:r>
    </w:p>
    <w:p>
      <w:pPr>
        <w:pStyle w:val="ListParagraph"/>
        <w:numPr>
          <w:ilvl w:val="0"/>
          <w:numId w:val="2"/>
        </w:numPr>
        <w:spacing w:after="80"/>
      </w:pPr>
      <w:r>
        <w:rPr>
          <w:color w:val="333333"/>
          <w:sz w:val="22"/>
          <w:szCs w:val="22"/>
        </w:rPr>
        <w:t xml:space="preserve">Is your form-agent abstraction clean? Could we add Schedule D tomorrow without rewriting everything?</w:t>
      </w:r>
    </w:p>
    <w:p>
      <w:pPr>
        <w:pStyle w:val="ListParagraph"/>
        <w:numPr>
          <w:ilvl w:val="0"/>
          <w:numId w:val="2"/>
        </w:numPr>
        <w:spacing w:after="80"/>
      </w:pPr>
      <w:r>
        <w:rPr>
          <w:color w:val="333333"/>
          <w:sz w:val="22"/>
          <w:szCs w:val="22"/>
        </w:rPr>
        <w:t xml:space="preserve">Are the boundaries between components clear (agents, tools, orchestration, verification)?</w:t>
      </w:r>
    </w:p>
    <w:p>
      <w:pPr>
        <w:pStyle w:val="ListParagraph"/>
        <w:numPr>
          <w:ilvl w:val="0"/>
          <w:numId w:val="2"/>
        </w:numPr>
        <w:spacing w:after="80"/>
      </w:pPr>
      <w:r>
        <w:rPr>
          <w:color w:val="333333"/>
          <w:sz w:val="22"/>
          <w:szCs w:val="22"/>
        </w:rPr>
        <w:t xml:space="preserve">Does your system produce correct results for the cases you tested?</w:t>
      </w:r>
    </w:p>
    <w:p>
      <w:pPr>
        <w:spacing w:after="80"/>
      </w:pPr>
    </w:p>
    <w:p>
      <w:pPr>
        <w:pStyle w:val="Heading3"/>
      </w:pPr>
      <w:r>
        <w:t xml:space="preserve">Bonus Points</w:t>
      </w:r>
    </w:p>
    <w:p>
      <w:pPr>
        <w:pStyle w:val="ListParagraph"/>
        <w:numPr>
          <w:ilvl w:val="0"/>
          <w:numId w:val="2"/>
        </w:numPr>
        <w:spacing w:after="80"/>
      </w:pPr>
      <w:r>
        <w:rPr>
          <w:color w:val="333333"/>
          <w:sz w:val="22"/>
          <w:szCs w:val="22"/>
        </w:rPr>
        <w:t xml:space="preserve">Handling edge cases the paper identifies (excess business loss, educator expenses, SLI deductions)</w:t>
      </w:r>
    </w:p>
    <w:p>
      <w:pPr>
        <w:pStyle w:val="ListParagraph"/>
        <w:numPr>
          <w:ilvl w:val="0"/>
          <w:numId w:val="2"/>
        </w:numPr>
        <w:spacing w:after="80"/>
      </w:pPr>
      <w:r>
        <w:rPr>
          <w:color w:val="333333"/>
          <w:sz w:val="22"/>
          <w:szCs w:val="22"/>
        </w:rPr>
        <w:t xml:space="preserve">Creative approaches to verification or error detection</w:t>
      </w:r>
    </w:p>
    <w:p>
      <w:pPr>
        <w:pStyle w:val="ListParagraph"/>
        <w:numPr>
          <w:ilvl w:val="0"/>
          <w:numId w:val="2"/>
        </w:numPr>
        <w:spacing w:after="80"/>
      </w:pPr>
      <w:r>
        <w:rPr>
          <w:color w:val="333333"/>
          <w:sz w:val="22"/>
          <w:szCs w:val="22"/>
        </w:rPr>
        <w:t xml:space="preserve">Performance analysis: how does your system's accuracy vary across case complexities?</w:t>
      </w:r>
    </w:p>
    <w:p>
      <w:pPr>
        <w:pStyle w:val="ListParagraph"/>
        <w:numPr>
          <w:ilvl w:val="0"/>
          <w:numId w:val="2"/>
        </w:numPr>
        <w:spacing w:after="80"/>
      </w:pPr>
      <w:r>
        <w:rPr>
          <w:color w:val="333333"/>
          <w:sz w:val="22"/>
          <w:szCs w:val="22"/>
        </w:rPr>
        <w:t xml:space="preserve">A short Loom/video walkthrough of your system in action</w:t>
      </w:r>
    </w:p>
    <w:p>
      <w:pPr>
        <w:pStyle w:val="Heading1"/>
      </w:pPr>
      <w:r>
        <w:t xml:space="preserve">6.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spacing w:after="140"/>
      </w:pPr>
      <w:r>
        <w:rPr>
          <w:color w:val="333333"/>
          <w:sz w:val="22"/>
          <w:szCs w:val="22"/>
        </w:rPr>
        <w:t xml:space="preserve">Please submit the following:</w:t>
      </w:r>
    </w:p>
    <w:p>
      <w:pPr>
        <w:spacing w:after="60"/>
      </w:pPr>
    </w:p>
    <w:p>
      <w:pPr>
        <w:pStyle w:val="ListParagraph"/>
        <w:numPr>
          <w:ilvl w:val="0"/>
          <w:numId w:val="4"/>
        </w:numPr>
        <w:spacing w:after="80"/>
      </w:pPr>
      <w:r>
        <w:rPr>
          <w:color w:val="333333"/>
          <w:sz w:val="22"/>
          <w:szCs w:val="22"/>
        </w:rPr>
        <w:t xml:space="preserve">A GitHub repository (private is fine — invite us) or a zip file containing your code.</w:t>
      </w:r>
    </w:p>
    <w:p>
      <w:pPr>
        <w:pStyle w:val="ListParagraph"/>
        <w:numPr>
          <w:ilvl w:val="0"/>
          <w:numId w:val="4"/>
        </w:numPr>
        <w:spacing w:after="80"/>
      </w:pPr>
      <w:r>
        <w:rPr>
          <w:color w:val="333333"/>
          <w:sz w:val="22"/>
          <w:szCs w:val="22"/>
        </w:rPr>
        <w:t xml:space="preserve">A README.md (this is the most important deliverable) that includes: your approach and how you broke down the problem, architecture overview with a diagram showing form dependencies and data flow, key design decisions and tradeoffs — what you chose and why, what worked and what didn't — be honest, what you would build next with more time (1 week, 1 month, 3 months), and how to set up and run your solution.</w:t>
      </w:r>
    </w:p>
    <w:p>
      <w:pPr>
        <w:pStyle w:val="ListParagraph"/>
        <w:numPr>
          <w:ilvl w:val="0"/>
          <w:numId w:val="4"/>
        </w:numPr>
        <w:spacing w:after="80"/>
      </w:pPr>
      <w:r>
        <w:rPr>
          <w:color w:val="333333"/>
          <w:sz w:val="22"/>
          <w:szCs w:val="22"/>
        </w:rPr>
        <w:t xml:space="preserve">At least one working end-to-end run: input.json → your system → computed Form 1040 output that can be compared against the expected output.xml.</w:t>
      </w:r>
    </w:p>
    <w:p>
      <w:pPr>
        <w:spacing w:after="100"/>
      </w:pPr>
    </w:p>
    <w:p>
      <w:pPr>
        <w:spacing w:after="140"/>
      </w:pPr>
      <w:r>
        <w:rPr>
          <w:color w:val="333333"/>
          <w:sz w:val="22"/>
          <w:szCs w:val="22"/>
        </w:rPr>
        <w:t xml:space="preserve">We'd rather see a thoughtful approach with a clean write-up that handles 3–5 cases than a brute-force attempt at all 51. Your README should convince us you deeply understood the problem, not just that you shipped code.</w:t>
      </w:r>
    </w:p>
    <w:p>
      <w:pPr>
        <w:pStyle w:val="Heading1"/>
      </w:pPr>
      <w:r>
        <w:t xml:space="preserve">7. Logistics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spacing w:after="140"/>
      </w:pPr>
      <w:r>
        <w:rPr>
          <w:b/>
          <w:bCs/>
          <w:color w:val="333333"/>
          <w:sz w:val="22"/>
          <w:szCs w:val="22"/>
        </w:rPr>
        <w:t xml:space="preserve">Timeline: </w:t>
      </w:r>
      <w:r>
        <w:rPr>
          <w:color w:val="333333"/>
          <w:sz w:val="22"/>
          <w:szCs w:val="22"/>
        </w:rPr>
        <w:t xml:space="preserve">You have 3 days from receiving this assignment. If you need more time, just let us know — we're flexible.</w:t>
      </w:r>
    </w:p>
    <w:p>
      <w:pPr>
        <w:spacing w:after="140"/>
      </w:pPr>
      <w:r>
        <w:rPr>
          <w:b/>
          <w:bCs/>
          <w:color w:val="333333"/>
          <w:sz w:val="22"/>
          <w:szCs w:val="22"/>
        </w:rPr>
        <w:t xml:space="preserve">LLM API costs: </w:t>
      </w:r>
      <w:r>
        <w:rPr>
          <w:color w:val="333333"/>
          <w:sz w:val="22"/>
          <w:szCs w:val="22"/>
        </w:rPr>
        <w:t xml:space="preserve">Use whichever LLM API you prefer (Claude, GPT-4, Gemini, etc.). If API costs are a concern, let us know and we can provide credits.</w:t>
      </w:r>
    </w:p>
    <w:p>
      <w:pPr>
        <w:spacing w:after="140"/>
      </w:pPr>
      <w:r>
        <w:rPr>
          <w:b/>
          <w:bCs/>
          <w:color w:val="333333"/>
          <w:sz w:val="22"/>
          <w:szCs w:val="22"/>
        </w:rPr>
        <w:t xml:space="preserve">Coding agents: </w:t>
      </w:r>
      <w:r>
        <w:rPr>
          <w:color w:val="333333"/>
          <w:sz w:val="22"/>
          <w:szCs w:val="22"/>
        </w:rPr>
        <w:t xml:space="preserve">You are free (and encouraged) to use coding agents like Cursor, Claude Code, Windsurf, Copilot, or any other AI-assisted development tools. We care about the end result and your design decisions, not whether you typed every line yourself.</w:t>
      </w:r>
    </w:p>
    <w:p>
      <w:pPr>
        <w:spacing w:after="140"/>
      </w:pPr>
      <w:r>
        <w:rPr>
          <w:b/>
          <w:bCs/>
          <w:color w:val="333333"/>
          <w:sz w:val="22"/>
          <w:szCs w:val="22"/>
        </w:rPr>
        <w:t xml:space="preserve">Questions: </w:t>
      </w:r>
      <w:r>
        <w:rPr>
          <w:color w:val="333333"/>
          <w:sz w:val="22"/>
          <w:szCs w:val="22"/>
        </w:rPr>
        <w:t xml:space="preserve">If anything is unclear, please ask. We'd rather you spend time building than guessing at requirements.</w:t>
      </w:r>
    </w:p>
    <w:p>
      <w:pPr>
        <w:spacing w:after="140"/>
      </w:pPr>
      <w:r>
        <w:rPr>
          <w:b/>
          <w:bCs/>
          <w:color w:val="333333"/>
          <w:sz w:val="22"/>
          <w:szCs w:val="22"/>
        </w:rPr>
        <w:t xml:space="preserve">Original thinking: </w:t>
      </w:r>
      <w:r>
        <w:rPr>
          <w:color w:val="333333"/>
          <w:sz w:val="22"/>
          <w:szCs w:val="22"/>
        </w:rPr>
        <w:t xml:space="preserve">While using AI coding tools is encouraged, the architecture and design decisions should reflect your own understanding of the paper. In your write-up, explain why you made the choices you did.</w:t>
      </w:r>
    </w:p>
    <w:p>
      <w:r>
        <w:br w:type="page"/>
      </w:r>
    </w:p>
    <w:p>
      <w:pPr>
        <w:pStyle w:val="Heading1"/>
      </w:pPr>
      <w:r>
        <w:t xml:space="preserve">8. Tax Crash Course (No Tax Background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spacing w:after="140"/>
      </w:pPr>
      <w:r>
        <w:rPr>
          <w:color w:val="333333"/>
          <w:sz w:val="22"/>
          <w:szCs w:val="22"/>
        </w:rPr>
        <w:t xml:space="preserve">You do not need a tax background for this assignment. Here's a quick primer on how US federal income tax returns work, specifically for the forms you'll be implementing.</w:t>
      </w:r>
    </w:p>
    <w:p>
      <w:pPr>
        <w:spacing w:after="80"/>
      </w:pPr>
    </w:p>
    <w:p>
      <w:pPr>
        <w:pStyle w:val="Heading3"/>
      </w:pPr>
      <w:r>
        <w:t xml:space="preserve">How Form 1040 Works</w:t>
      </w:r>
    </w:p>
    <w:p>
      <w:pPr>
        <w:spacing w:after="140"/>
      </w:pPr>
      <w:r>
        <w:rPr>
          <w:color w:val="333333"/>
          <w:sz w:val="22"/>
          <w:szCs w:val="22"/>
        </w:rPr>
        <w:t xml:space="preserve">Form 1040 is the main US federal tax return. Think of it as the "main()" function. It computes: Total Income − Adjustments = Adjusted Gross Income (AGI) → AGI − Deductions = Taxable Income → Tax on Taxable Income → Tax − Credits → Tax Owed or Refund.</w:t>
      </w:r>
    </w:p>
    <w:p>
      <w:pPr>
        <w:spacing w:after="80"/>
      </w:pPr>
    </w:p>
    <w:p>
      <w:pPr>
        <w:pStyle w:val="Heading3"/>
      </w:pPr>
      <w:r>
        <w:t xml:space="preserve">The Form Dependency Graph</w:t>
      </w:r>
    </w:p>
    <w:p>
      <w:pPr>
        <w:spacing w:after="140"/>
      </w:pPr>
      <w:r>
        <w:rPr>
          <w:color w:val="333333"/>
          <w:sz w:val="22"/>
          <w:szCs w:val="22"/>
        </w:rPr>
        <w:t xml:space="preserve">Forms feed into each other like modules in a codebase. Here's the simplified dependency graph for the forms you'll work with:</w:t>
      </w:r>
    </w:p>
    <w:p>
      <w:pPr>
        <w:spacing w:after="40"/>
      </w:pPr>
    </w:p>
    <w:p>
      <w:pPr>
        <w:pStyle w:val="ListParagraph"/>
        <w:numPr>
          <w:ilvl w:val="0"/>
          <w:numId w:val="2"/>
        </w:numPr>
        <w:spacing w:after="80"/>
      </w:pPr>
      <w:r>
        <w:rPr>
          <w:color w:val="333333"/>
          <w:sz w:val="22"/>
          <w:szCs w:val="22"/>
        </w:rPr>
        <w:t xml:space="preserve">Schedule B (interest/dividends) → feeds into 1040 Lines 2b, 3b</w:t>
      </w:r>
    </w:p>
    <w:p>
      <w:pPr>
        <w:pStyle w:val="ListParagraph"/>
        <w:numPr>
          <w:ilvl w:val="0"/>
          <w:numId w:val="2"/>
        </w:numPr>
        <w:spacing w:after="80"/>
      </w:pPr>
      <w:r>
        <w:rPr>
          <w:color w:val="333333"/>
          <w:sz w:val="22"/>
          <w:szCs w:val="22"/>
        </w:rPr>
        <w:t xml:space="preserve">Schedule C (business profit/loss) → feeds into Schedule 1 Line 3, and also triggers Schedule SE</w:t>
      </w:r>
    </w:p>
    <w:p>
      <w:pPr>
        <w:pStyle w:val="ListParagraph"/>
        <w:numPr>
          <w:ilvl w:val="0"/>
          <w:numId w:val="2"/>
        </w:numPr>
        <w:spacing w:after="80"/>
      </w:pPr>
      <w:r>
        <w:rPr>
          <w:color w:val="333333"/>
          <w:sz w:val="22"/>
          <w:szCs w:val="22"/>
        </w:rPr>
        <w:t xml:space="preserve">Schedule SE (self-employment tax) → feeds into Schedule 1 (adjustment) + 1040 Line 23</w:t>
      </w:r>
    </w:p>
    <w:p>
      <w:pPr>
        <w:pStyle w:val="ListParagraph"/>
        <w:numPr>
          <w:ilvl w:val="0"/>
          <w:numId w:val="2"/>
        </w:numPr>
        <w:spacing w:after="80"/>
      </w:pPr>
      <w:r>
        <w:rPr>
          <w:color w:val="333333"/>
          <w:sz w:val="22"/>
          <w:szCs w:val="22"/>
        </w:rPr>
        <w:t xml:space="preserve">Schedule 1 (additional income &amp; adjustments) → feeds into 1040 Lines 8 and 10</w:t>
      </w:r>
    </w:p>
    <w:p>
      <w:pPr>
        <w:pStyle w:val="ListParagraph"/>
        <w:numPr>
          <w:ilvl w:val="0"/>
          <w:numId w:val="2"/>
        </w:numPr>
        <w:spacing w:after="80"/>
      </w:pPr>
      <w:r>
        <w:rPr>
          <w:color w:val="333333"/>
          <w:sz w:val="22"/>
          <w:szCs w:val="22"/>
        </w:rPr>
        <w:t xml:space="preserve">Schedule 8812 (child tax credit) → feeds into 1040 Line 19</w:t>
      </w:r>
    </w:p>
    <w:p>
      <w:pPr>
        <w:pStyle w:val="ListParagraph"/>
        <w:numPr>
          <w:ilvl w:val="0"/>
          <w:numId w:val="2"/>
        </w:numPr>
        <w:spacing w:after="80"/>
      </w:pPr>
      <w:r>
        <w:rPr>
          <w:color w:val="333333"/>
          <w:sz w:val="22"/>
          <w:szCs w:val="22"/>
        </w:rPr>
        <w:t xml:space="preserve">Form 1040 consumes all of the above and produces the final return</w:t>
      </w:r>
    </w:p>
    <w:p>
      <w:pPr>
        <w:spacing w:after="80"/>
      </w:pPr>
    </w:p>
    <w:p>
      <w:pPr>
        <w:pStyle w:val="Heading3"/>
      </w:pPr>
      <w:r>
        <w:t xml:space="preserve">Key Terms</w:t>
      </w:r>
    </w:p>
    <w:p>
      <w:pPr>
        <w:pStyle w:val="ListParagraph"/>
        <w:numPr>
          <w:ilvl w:val="0"/>
          <w:numId w:val="2"/>
        </w:numPr>
        <w:spacing w:after="80"/>
      </w:pPr>
      <w:r>
        <w:rPr>
          <w:color w:val="333333"/>
          <w:sz w:val="22"/>
          <w:szCs w:val="22"/>
        </w:rPr>
        <w:t xml:space="preserve">Filing Status: Single, Married Filing Jointly (MFJ), Head of Household (HOH) — determines tax brackets and standard deduction</w:t>
      </w:r>
    </w:p>
    <w:p>
      <w:pPr>
        <w:pStyle w:val="ListParagraph"/>
        <w:numPr>
          <w:ilvl w:val="0"/>
          <w:numId w:val="2"/>
        </w:numPr>
        <w:spacing w:after="80"/>
      </w:pPr>
      <w:r>
        <w:rPr>
          <w:color w:val="333333"/>
          <w:sz w:val="22"/>
          <w:szCs w:val="22"/>
        </w:rPr>
        <w:t xml:space="preserve">W-2: Wage/salary income from an employer (the most common income document)</w:t>
      </w:r>
    </w:p>
    <w:p>
      <w:pPr>
        <w:pStyle w:val="ListParagraph"/>
        <w:numPr>
          <w:ilvl w:val="0"/>
          <w:numId w:val="2"/>
        </w:numPr>
        <w:spacing w:after="80"/>
      </w:pPr>
      <w:r>
        <w:rPr>
          <w:color w:val="333333"/>
          <w:sz w:val="22"/>
          <w:szCs w:val="22"/>
        </w:rPr>
        <w:t xml:space="preserve">1099-INT: Interest income from a bank</w:t>
      </w:r>
    </w:p>
    <w:p>
      <w:pPr>
        <w:pStyle w:val="ListParagraph"/>
        <w:numPr>
          <w:ilvl w:val="0"/>
          <w:numId w:val="2"/>
        </w:numPr>
        <w:spacing w:after="80"/>
      </w:pPr>
      <w:r>
        <w:rPr>
          <w:color w:val="333333"/>
          <w:sz w:val="22"/>
          <w:szCs w:val="22"/>
        </w:rPr>
        <w:t xml:space="preserve">AGI (Adjusted Gross Income): Total income minus certain adjustments (student loan interest, SE tax deduction, etc.)</w:t>
      </w:r>
    </w:p>
    <w:p>
      <w:pPr>
        <w:pStyle w:val="ListParagraph"/>
        <w:numPr>
          <w:ilvl w:val="0"/>
          <w:numId w:val="2"/>
        </w:numPr>
        <w:spacing w:after="80"/>
      </w:pPr>
      <w:r>
        <w:rPr>
          <w:color w:val="333333"/>
          <w:sz w:val="22"/>
          <w:szCs w:val="22"/>
        </w:rPr>
        <w:t xml:space="preserve">Standard Deduction (TY2024): Single = $14,600 | MFJ = $29,200 | HOH = $21,900</w:t>
      </w:r>
    </w:p>
    <w:p>
      <w:pPr>
        <w:pStyle w:val="ListParagraph"/>
        <w:numPr>
          <w:ilvl w:val="0"/>
          <w:numId w:val="2"/>
        </w:numPr>
        <w:spacing w:after="80"/>
      </w:pPr>
      <w:r>
        <w:rPr>
          <w:color w:val="333333"/>
          <w:sz w:val="22"/>
          <w:szCs w:val="22"/>
        </w:rPr>
        <w:t xml:space="preserve">Taxable Income: AGI minus deductions. This is what you look up in the tax table.</w:t>
      </w:r>
    </w:p>
    <w:p>
      <w:pPr>
        <w:pStyle w:val="ListParagraph"/>
        <w:numPr>
          <w:ilvl w:val="0"/>
          <w:numId w:val="2"/>
        </w:numPr>
        <w:spacing w:after="80"/>
      </w:pPr>
      <w:r>
        <w:rPr>
          <w:color w:val="333333"/>
          <w:sz w:val="22"/>
          <w:szCs w:val="22"/>
        </w:rPr>
        <w:t xml:space="preserve">Tax Table: A lookup table published by the IRS. Given taxable income + filing status, it returns the exact tax amount.</w:t>
      </w:r>
    </w:p>
    <w:p>
      <w:pPr>
        <w:spacing w:after="80"/>
      </w:pPr>
    </w:p>
    <w:p>
      <w:pPr>
        <w:pStyle w:val="Heading3"/>
      </w:pPr>
      <w:r>
        <w:t xml:space="preserve">Recommended Starting Cases</w:t>
      </w:r>
    </w:p>
    <w:p>
      <w:pPr>
        <w:spacing w:after="140"/>
      </w:pPr>
      <w:r>
        <w:rPr>
          <w:color w:val="333333"/>
          <w:sz w:val="22"/>
          <w:szCs w:val="22"/>
        </w:rPr>
        <w:t xml:space="preserve">Start with these TaxCalcBench cases in order of complexity:</w:t>
      </w:r>
    </w:p>
    <w:p>
      <w:pPr>
        <w:pStyle w:val="ListParagraph"/>
        <w:numPr>
          <w:ilvl w:val="0"/>
          <w:numId w:val="5"/>
        </w:numPr>
        <w:spacing w:after="80"/>
      </w:pPr>
      <w:r>
        <w:rPr>
          <w:color w:val="333333"/>
          <w:sz w:val="22"/>
          <w:szCs w:val="22"/>
        </w:rPr>
        <w:t xml:space="preserve">single-w2 — Simplest possible: one person, one W-2, standard deduction. This is your "hello world."</w:t>
      </w:r>
    </w:p>
    <w:p>
      <w:pPr>
        <w:pStyle w:val="ListParagraph"/>
        <w:numPr>
          <w:ilvl w:val="0"/>
          <w:numId w:val="5"/>
        </w:numPr>
        <w:spacing w:after="80"/>
      </w:pPr>
      <w:r>
        <w:rPr>
          <w:color w:val="333333"/>
          <w:sz w:val="22"/>
          <w:szCs w:val="22"/>
        </w:rPr>
        <w:t xml:space="preserve">mfj-w2 — Married filing jointly with W-2s. Tests multi-filer logic.</w:t>
      </w:r>
    </w:p>
    <w:p>
      <w:pPr>
        <w:pStyle w:val="ListParagraph"/>
        <w:numPr>
          <w:ilvl w:val="0"/>
          <w:numId w:val="5"/>
        </w:numPr>
        <w:spacing w:after="80"/>
      </w:pPr>
      <w:r>
        <w:rPr>
          <w:color w:val="333333"/>
          <w:sz w:val="22"/>
          <w:szCs w:val="22"/>
        </w:rPr>
        <w:t xml:space="preserve">single-w2-1099int — Adds interest income, which brings Schedule B into play.</w:t>
      </w:r>
    </w:p>
    <w:p>
      <w:pPr>
        <w:pStyle w:val="ListParagraph"/>
        <w:numPr>
          <w:ilvl w:val="0"/>
          <w:numId w:val="5"/>
        </w:numPr>
        <w:spacing w:after="80"/>
      </w:pPr>
      <w:r>
        <w:rPr>
          <w:color w:val="333333"/>
          <w:sz w:val="22"/>
          <w:szCs w:val="22"/>
        </w:rPr>
        <w:t xml:space="preserve">Any case with "schedule-c" in the name — Tests the Schedule C → SE → 1040 pipeline.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2"/>
              <w:right w:val="none"/>
            </w:tcBorders>
          </w:tcPr>
          <w:p>
            <w:pPr>
              <w:spacing w:after="40"/>
            </w:pPr>
          </w:p>
        </w:tc>
      </w:tr>
    </w:tbl>
    <w:p>
      <w:pPr>
        <w:spacing w:after="100"/>
      </w:pPr>
    </w:p>
    <w:p>
      <w:pPr>
        <w:jc w:val="center"/>
      </w:pPr>
      <w:r>
        <w:rPr>
          <w:i/>
          <w:iCs/>
          <w:color w:val="555555"/>
          <w:sz w:val="22"/>
          <w:szCs w:val="22"/>
        </w:rPr>
        <w:t xml:space="preserve">We're excited to see what you build. Good luck!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Confidential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LightTaxes.com  |  AI Full-Stack Engineer Take-Home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vyob2r_hxfxlnsnemrg7c" Type="http://schemas.openxmlformats.org/officeDocument/2006/relationships/hyperlink" Target="https://prime-meridian-papers.s3.us-west-2.amazonaws.com/solving_taxes_like_code.pdf" TargetMode="External"/><Relationship Id="rIdpvf8er0ab-uqspnm4mb2p" Type="http://schemas.openxmlformats.org/officeDocument/2006/relationships/hyperlink" Target="https://github.com/column-tax/tax-calc-bench" TargetMode="External"/><Relationship Id="rIdixsbyhstcom2k879_kcbs" Type="http://schemas.openxmlformats.org/officeDocument/2006/relationships/hyperlink" Target="https://www.irs.gov/pub/irs-prior/f1040--2024.pdf" TargetMode="External"/><Relationship Id="rIdgmjgq03wwl-rxn-rngxco" Type="http://schemas.openxmlformats.org/officeDocument/2006/relationships/hyperlink" Target="https://www.irs.gov/pub/irs-prior/i1040gi--2024.pdf" TargetMode="External"/><Relationship Id="rIdx9nmej-p58sohzry3bixq" Type="http://schemas.openxmlformats.org/officeDocument/2006/relationships/hyperlink" Target="https://www.irs.gov/pub/irs-pdf/i1040tt.pdf" TargetMode="External"/><Relationship Id="rId2y4aunk8lwutou7p_r3ur" Type="http://schemas.openxmlformats.org/officeDocument/2006/relationships/hyperlink" Target="https://www.irs.gov/pub/irs-prior/f1040s1--2024.pdf" TargetMode="External"/><Relationship Id="rIdvagfc6up8q-dyamc3pkwj" Type="http://schemas.openxmlformats.org/officeDocument/2006/relationships/hyperlink" Target="https://www.irs.gov/pub/irs-prior/f1040sb--2024.pdf" TargetMode="External"/><Relationship Id="rIdt8hnzgul0z5eoz4j63vvg" Type="http://schemas.openxmlformats.org/officeDocument/2006/relationships/hyperlink" Target="https://www.irs.gov/pub/irs-prior/f1040sc--2024.pdf" TargetMode="External"/><Relationship Id="rIdfrgt4rh84_ktafcvsij7d" Type="http://schemas.openxmlformats.org/officeDocument/2006/relationships/hyperlink" Target="https://www.irs.gov/pub/irs-prior/f1040sse--2024.pdf" TargetMode="External"/><Relationship Id="rIdlx6ce9p4xb253twa5gzrh" Type="http://schemas.openxmlformats.org/officeDocument/2006/relationships/hyperlink" Target="https://www.irs.gov/pub/irs-prior/f1040s8--2024.pdf" TargetMode="External"/><Relationship Id="rIdy3j7h_m2g65gtlpvigldw" Type="http://schemas.openxmlformats.org/officeDocument/2006/relationships/hyperlink" Target="https://www.irs.gov/forms-instructions-and-publications" TargetMode="External"/><Relationship Id="rId2pckyci7vmvuy9z5vcaa1" Type="http://schemas.openxmlformats.org/officeDocument/2006/relationships/hyperlink" Target="https://prime-meridian-papers.s3.us-west-2.amazonaws.com/solving_taxes_like_code.pdf" TargetMode="External"/><Relationship Id="rIduytre1zxr9o8zpckcp-kb" Type="http://schemas.openxmlformats.org/officeDocument/2006/relationships/hyperlink" Target="https://arxiv.org/abs/2507.16126"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2026-02-02T15:32:11.965Z</dcterms:created>
  <dcterms:modified xsi:type="dcterms:W3CDTF">2026-02-02T15:32:11.966Z</dcterms:modified>
</cp:coreProperties>
</file>

<file path=docProps/custom.xml><?xml version="1.0" encoding="utf-8"?>
<Properties xmlns="http://schemas.openxmlformats.org/officeDocument/2006/custom-properties" xmlns:vt="http://schemas.openxmlformats.org/officeDocument/2006/docPropsVTypes"/>
</file>