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3F5B44"/>
          <w:sz w:val="40"/>
          <w:szCs w:val="40"/>
        </w:rPr>
        <w:t xml:space="preserve">CAHIER DES CHARGES</w:t>
      </w:r>
    </w:p>
    <w:p>
      <w:pPr>
        <w:spacing w:after="100" w:before="200"/>
        <w:jc w:val="center"/>
      </w:pPr>
      <w:r>
        <w:rPr>
          <w:rFonts w:ascii="Calibri" w:cs="Calibri" w:eastAsia="Calibri" w:hAnsi="Calibri"/>
          <w:b/>
          <w:bCs/>
          <w:color w:val="8C3B4C"/>
          <w:sz w:val="32"/>
          <w:szCs w:val="32"/>
        </w:rPr>
        <w:t xml:space="preserve">Projet « PlanTracker »</w:t>
      </w:r>
    </w:p>
    <w:p>
      <w:pPr>
        <w:spacing w:after="600"/>
        <w:jc w:val="center"/>
      </w:pPr>
      <w:r>
        <w:rPr>
          <w:rFonts w:ascii="Calibri" w:cs="Calibri" w:eastAsia="Calibri" w:hAnsi="Calibri"/>
          <w:i/>
          <w:iCs/>
          <w:color w:val="6B6B66"/>
          <w:sz w:val="24"/>
          <w:szCs w:val="24"/>
        </w:rPr>
        <w:t xml:space="preserve">Application de suivi de progression scolaire et de recherche d'emploi</w:t>
      </w:r>
    </w:p>
    <w:tbl>
      <w:tblPr>
        <w:tblW w:type="dxa" w:w="7000"/>
        <w:jc w:val="center"/>
        <w:tblBorders>
          <w:top w:val="none" w:color="FFFFFF" w:sz="0"/>
          <w:left w:val="none" w:color="FFFFFF" w:sz="0"/>
          <w:bottom w:val="none" w:color="FFFFFF" w:sz="0"/>
          <w:right w:val="none" w:color="FFFFFF" w:sz="0"/>
          <w:insideH w:val="none" w:color="FFFFFF" w:sz="0"/>
          <w:insideV w:val="none" w:color="FFFFFF" w:sz="0"/>
        </w:tblBorders>
      </w:tblPr>
      <w:tblGrid>
        <w:gridCol w:w="2500"/>
        <w:gridCol w:w="4500"/>
      </w:tblGrid>
      <w:tr>
        <w:tc>
          <w:tcPr>
            <w:tcW w:type="dxa" w:w="2500"/>
            <w:shd w:fill="F5F1E6"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Nom du projet</w:t>
            </w:r>
          </w:p>
        </w:tc>
        <w:tc>
          <w:tcPr>
            <w:tcW w:type="dxa" w:w="45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PlanTracker</w:t>
            </w:r>
          </w:p>
        </w:tc>
      </w:tr>
      <w:tr>
        <w:tc>
          <w:tcPr>
            <w:tcW w:type="dxa" w:w="2500"/>
            <w:shd w:fill="F5F1E6"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Type de document</w:t>
            </w:r>
          </w:p>
        </w:tc>
        <w:tc>
          <w:tcPr>
            <w:tcW w:type="dxa" w:w="45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Cahier des charges fonctionnel</w:t>
            </w:r>
          </w:p>
        </w:tc>
      </w:tr>
      <w:tr>
        <w:tc>
          <w:tcPr>
            <w:tcW w:type="dxa" w:w="2500"/>
            <w:shd w:fill="F5F1E6"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Statut</w:t>
            </w:r>
          </w:p>
        </w:tc>
        <w:tc>
          <w:tcPr>
            <w:tcW w:type="dxa" w:w="45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Version 1.0 — Brouillon de travail</w:t>
            </w:r>
          </w:p>
        </w:tc>
      </w:tr>
      <w:tr>
        <w:tc>
          <w:tcPr>
            <w:tcW w:type="dxa" w:w="2500"/>
            <w:shd w:fill="F5F1E6"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Date</w:t>
            </w:r>
          </w:p>
        </w:tc>
        <w:tc>
          <w:tcPr>
            <w:tcW w:type="dxa" w:w="45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22 septembre 2026</w:t>
            </w:r>
          </w:p>
        </w:tc>
      </w:tr>
    </w:tbl>
    <w:p>
      <w:r>
        <w:br w:type="page"/>
      </w:r>
    </w:p>
    <w:p>
      <w:pPr>
        <w:pStyle w:val="Heading1"/>
        <w:pBdr>
          <w:bottom w:val="single" w:color="3F5B44" w:sz="8" w:space="4"/>
        </w:pBdr>
        <w:spacing w:after="160" w:before="360"/>
      </w:pPr>
      <w:r>
        <w:rPr>
          <w:rFonts w:ascii="Calibri" w:cs="Calibri" w:eastAsia="Calibri" w:hAnsi="Calibri"/>
          <w:b/>
          <w:bCs/>
          <w:color w:val="3F5B44"/>
          <w:sz w:val="30"/>
          <w:szCs w:val="30"/>
        </w:rPr>
        <w:t xml:space="preserve">1. Contexte et présentation du projet</w:t>
      </w:r>
    </w:p>
    <w:p>
      <w:pPr>
        <w:spacing w:after="140" w:line="300"/>
      </w:pPr>
      <w:r>
        <w:rPr>
          <w:rFonts w:ascii="Calibri" w:cs="Calibri" w:eastAsia="Calibri" w:hAnsi="Calibri"/>
          <w:color w:val="2B2B28"/>
          <w:sz w:val="22"/>
          <w:szCs w:val="22"/>
        </w:rPr>
        <w:t xml:space="preserve">Dans le cadre du suivi personnel de la scolarité et de la recherche d'emploi, il n'existe pas d'outil unique permettant de centraliser à la fois l'avancement des projets académiques, l'organisation du temps et les indicateurs de progression. Les informations sont aujourd'hui dispersées entre plusieurs outils (agenda, notes, tableurs, candidatures LinkedIn) sans vue d'ensemble.</w:t>
      </w:r>
    </w:p>
    <w:p>
      <w:pPr>
        <w:spacing w:after="140" w:line="300"/>
      </w:pPr>
      <w:r>
        <w:rPr>
          <w:rFonts w:ascii="Calibri" w:cs="Calibri" w:eastAsia="Calibri" w:hAnsi="Calibri"/>
          <w:color w:val="2B2B28"/>
          <w:sz w:val="22"/>
          <w:szCs w:val="22"/>
        </w:rPr>
        <w:t xml:space="preserve">PlanTracker est une application qui doit permettre de centraliser, planifier et visualiser, sur une base hebdomadaire, l'ensemble des activités liées à la formation, à la recherche d'emploi et à l'organisation personnelle. L'application constitue elle-même un projet à livrer : elle doit être conçue et développée comme un livrable structuré, avec ses propres tâches suivies dans un mini-outil de gestion de type Jira intégré à l'application.</w:t>
      </w:r>
    </w:p>
    <w:p>
      <w:pPr>
        <w:pStyle w:val="Heading2"/>
        <w:spacing w:after="120" w:before="260"/>
      </w:pPr>
      <w:r>
        <w:rPr>
          <w:rFonts w:ascii="Calibri" w:cs="Calibri" w:eastAsia="Calibri" w:hAnsi="Calibri"/>
          <w:b/>
          <w:bCs/>
          <w:color w:val="8C3B4C"/>
          <w:sz w:val="24"/>
          <w:szCs w:val="24"/>
        </w:rPr>
        <w:t xml:space="preserve">1.1 Origine du besoin</w:t>
      </w:r>
    </w:p>
    <w:p>
      <w:pPr>
        <w:spacing w:after="140" w:line="300"/>
      </w:pPr>
      <w:r>
        <w:rPr>
          <w:rFonts w:ascii="Calibri" w:cs="Calibri" w:eastAsia="Calibri" w:hAnsi="Calibri"/>
          <w:color w:val="2B2B28"/>
          <w:sz w:val="22"/>
          <w:szCs w:val="22"/>
        </w:rPr>
        <w:t xml:space="preserve">Le suivi hebdomadaire des activités (école, recherche de stage/emploi, veille, entretiens, sport, trajets) est aujourd'hui fait de manière manuelle et non centralisée. Le besoin est de disposer d'une application unique qui joue le rôle de planning intelligent et de tableau de bord de suivi.</w:t>
      </w:r>
    </w:p>
    <w:p>
      <w:pPr>
        <w:pStyle w:val="Heading1"/>
        <w:pBdr>
          <w:bottom w:val="single" w:color="3F5B44" w:sz="8" w:space="4"/>
        </w:pBdr>
        <w:spacing w:after="160" w:before="360"/>
      </w:pPr>
      <w:r>
        <w:rPr>
          <w:rFonts w:ascii="Calibri" w:cs="Calibri" w:eastAsia="Calibri" w:hAnsi="Calibri"/>
          <w:b/>
          <w:bCs/>
          <w:color w:val="3F5B44"/>
          <w:sz w:val="30"/>
          <w:szCs w:val="30"/>
        </w:rPr>
        <w:t xml:space="preserve">2. Objectifs du projet</w:t>
      </w:r>
    </w:p>
    <w:p>
      <w:pPr>
        <w:pStyle w:val="ListParagraph"/>
        <w:numPr>
          <w:ilvl w:val="0"/>
          <w:numId w:val="2"/>
        </w:numPr>
        <w:spacing w:after="80" w:line="280"/>
      </w:pPr>
      <w:r>
        <w:rPr>
          <w:rFonts w:ascii="Calibri" w:cs="Calibri" w:eastAsia="Calibri" w:hAnsi="Calibri"/>
          <w:color w:val="2B2B28"/>
          <w:sz w:val="22"/>
          <w:szCs w:val="22"/>
        </w:rPr>
        <w:t xml:space="preserve">Centraliser dans une seule application le planning hebdomadaire (école, recherche d'emploi, vie personnelle).</w:t>
      </w:r>
    </w:p>
    <w:p>
      <w:pPr>
        <w:pStyle w:val="ListParagraph"/>
        <w:numPr>
          <w:ilvl w:val="0"/>
          <w:numId w:val="2"/>
        </w:numPr>
        <w:spacing w:after="80" w:line="280"/>
      </w:pPr>
      <w:r>
        <w:rPr>
          <w:rFonts w:ascii="Calibri" w:cs="Calibri" w:eastAsia="Calibri" w:hAnsi="Calibri"/>
          <w:color w:val="2B2B28"/>
          <w:sz w:val="22"/>
          <w:szCs w:val="22"/>
        </w:rPr>
        <w:t xml:space="preserve">Suivre l'avancement du projet « PlanTracker » lui-même via un module de gestion de tâches façon Jira (kanban + carte de projet).</w:t>
      </w:r>
    </w:p>
    <w:p>
      <w:pPr>
        <w:pStyle w:val="ListParagraph"/>
        <w:numPr>
          <w:ilvl w:val="0"/>
          <w:numId w:val="2"/>
        </w:numPr>
        <w:spacing w:after="80" w:line="280"/>
      </w:pPr>
      <w:r>
        <w:rPr>
          <w:rFonts w:ascii="Calibri" w:cs="Calibri" w:eastAsia="Calibri" w:hAnsi="Calibri"/>
          <w:color w:val="2B2B28"/>
          <w:sz w:val="22"/>
          <w:szCs w:val="22"/>
        </w:rPr>
        <w:t xml:space="preserve">Intégrer un assistant IA capable d'orchestrer automatiquement la planification, la répartition des tâches et les rappels.</w:t>
      </w:r>
    </w:p>
    <w:p>
      <w:pPr>
        <w:pStyle w:val="ListParagraph"/>
        <w:numPr>
          <w:ilvl w:val="0"/>
          <w:numId w:val="2"/>
        </w:numPr>
        <w:spacing w:after="80" w:line="280"/>
      </w:pPr>
      <w:r>
        <w:rPr>
          <w:rFonts w:ascii="Calibri" w:cs="Calibri" w:eastAsia="Calibri" w:hAnsi="Calibri"/>
          <w:color w:val="2B2B28"/>
          <w:sz w:val="22"/>
          <w:szCs w:val="22"/>
        </w:rPr>
        <w:t xml:space="preserve">Visualiser la progression grâce à un tableau de bord analytique inspiré du modèle de dashboard RH fourni en référence.</w:t>
      </w:r>
    </w:p>
    <w:p>
      <w:pPr>
        <w:pStyle w:val="ListParagraph"/>
        <w:numPr>
          <w:ilvl w:val="0"/>
          <w:numId w:val="2"/>
        </w:numPr>
        <w:spacing w:after="80" w:line="280"/>
      </w:pPr>
      <w:r>
        <w:rPr>
          <w:rFonts w:ascii="Calibri" w:cs="Calibri" w:eastAsia="Calibri" w:hAnsi="Calibri"/>
          <w:color w:val="2B2B28"/>
          <w:sz w:val="22"/>
          <w:szCs w:val="22"/>
        </w:rPr>
        <w:t xml:space="preserve">Disposer d'une vue calendrier hebdomadaire, sur le modèle visuel de Google Calendar, avec un code couleur dédié à chaque type d'activité.</w:t>
      </w:r>
    </w:p>
    <w:p>
      <w:pPr>
        <w:pStyle w:val="Heading1"/>
        <w:pBdr>
          <w:bottom w:val="single" w:color="3F5B44" w:sz="8" w:space="4"/>
        </w:pBdr>
        <w:spacing w:after="160" w:before="360"/>
      </w:pPr>
      <w:r>
        <w:rPr>
          <w:rFonts w:ascii="Calibri" w:cs="Calibri" w:eastAsia="Calibri" w:hAnsi="Calibri"/>
          <w:b/>
          <w:bCs/>
          <w:color w:val="3F5B44"/>
          <w:sz w:val="30"/>
          <w:szCs w:val="30"/>
        </w:rPr>
        <w:t xml:space="preserve">3. Utilisateur cible</w:t>
      </w:r>
    </w:p>
    <w:p>
      <w:pPr>
        <w:spacing w:after="140" w:line="300"/>
      </w:pPr>
      <w:r>
        <w:rPr>
          <w:rFonts w:ascii="Calibri" w:cs="Calibri" w:eastAsia="Calibri" w:hAnsi="Calibri"/>
          <w:color w:val="2B2B28"/>
          <w:sz w:val="22"/>
          <w:szCs w:val="22"/>
        </w:rPr>
        <w:t xml:space="preserve">Utilisateur unique dans un premier temps : étudiant(e) en recherche de stage/emploi souhaitant suivre en parallèle son avancement scolaire et sa recherche d'emploi. L'architecture doit néanmoins rester extensible à plusieurs utilisateurs.</w:t>
      </w:r>
    </w:p>
    <w:p>
      <w:pPr>
        <w:pStyle w:val="Heading1"/>
        <w:pBdr>
          <w:bottom w:val="single" w:color="3F5B44" w:sz="8" w:space="4"/>
        </w:pBdr>
        <w:spacing w:after="160" w:before="360"/>
      </w:pPr>
      <w:r>
        <w:rPr>
          <w:rFonts w:ascii="Calibri" w:cs="Calibri" w:eastAsia="Calibri" w:hAnsi="Calibri"/>
          <w:b/>
          <w:bCs/>
          <w:color w:val="3F5B44"/>
          <w:sz w:val="30"/>
          <w:szCs w:val="30"/>
        </w:rPr>
        <w:t xml:space="preserve">4. Description fonctionnelle</w:t>
      </w:r>
    </w:p>
    <w:p>
      <w:pPr>
        <w:pStyle w:val="Heading2"/>
        <w:spacing w:after="120" w:before="260"/>
      </w:pPr>
      <w:r>
        <w:rPr>
          <w:rFonts w:ascii="Calibri" w:cs="Calibri" w:eastAsia="Calibri" w:hAnsi="Calibri"/>
          <w:b/>
          <w:bCs/>
          <w:color w:val="8C3B4C"/>
          <w:sz w:val="24"/>
          <w:szCs w:val="24"/>
        </w:rPr>
        <w:t xml:space="preserve">4.1 Module Planning hebdomadaire (vue calendrier)</w:t>
      </w:r>
    </w:p>
    <w:p>
      <w:pPr>
        <w:spacing w:after="140" w:line="300"/>
      </w:pPr>
      <w:r>
        <w:rPr>
          <w:rFonts w:ascii="Calibri" w:cs="Calibri" w:eastAsia="Calibri" w:hAnsi="Calibri"/>
          <w:color w:val="2B2B28"/>
          <w:sz w:val="22"/>
          <w:szCs w:val="22"/>
        </w:rPr>
        <w:t xml:space="preserve">Vue hebdomadaire type Google Calendar (voir capture de référence), avec les jours en colonnes et les créneaux horaires en lignes. Chaque créneau est un bloc coloré selon son type d'activité (voir charte graphique en section 5). L'utilisateur doit pouvoir créer, déplacer, redimensionner et supprimer un créneau, et basculer d'une semaine à l'autre.</w:t>
      </w:r>
    </w:p>
    <w:p>
      <w:pPr>
        <w:spacing w:after="140" w:line="300"/>
      </w:pPr>
      <w:r>
        <w:rPr>
          <w:rFonts w:ascii="Calibri" w:cs="Calibri" w:eastAsia="Calibri" w:hAnsi="Calibri"/>
          <w:color w:val="2B2B28"/>
          <w:sz w:val="22"/>
          <w:szCs w:val="22"/>
        </w:rPr>
        <w:t xml:space="preserve">Types de créneaux à gérer :</w:t>
      </w:r>
    </w:p>
    <w:p>
      <w:pPr>
        <w:pStyle w:val="ListParagraph"/>
        <w:numPr>
          <w:ilvl w:val="0"/>
          <w:numId w:val="2"/>
        </w:numPr>
        <w:spacing w:after="80" w:line="280"/>
      </w:pPr>
      <w:r>
        <w:rPr>
          <w:rFonts w:ascii="Calibri" w:cs="Calibri" w:eastAsia="Calibri" w:hAnsi="Calibri"/>
          <w:color w:val="2B2B28"/>
          <w:sz w:val="22"/>
          <w:szCs w:val="22"/>
        </w:rPr>
        <w:t xml:space="preserve">Cours / travail scolaire</w:t>
      </w:r>
    </w:p>
    <w:p>
      <w:pPr>
        <w:pStyle w:val="ListParagraph"/>
        <w:numPr>
          <w:ilvl w:val="0"/>
          <w:numId w:val="2"/>
        </w:numPr>
        <w:spacing w:after="80" w:line="280"/>
      </w:pPr>
      <w:r>
        <w:rPr>
          <w:rFonts w:ascii="Calibri" w:cs="Calibri" w:eastAsia="Calibri" w:hAnsi="Calibri"/>
          <w:color w:val="2B2B28"/>
          <w:sz w:val="22"/>
          <w:szCs w:val="22"/>
        </w:rPr>
        <w:t xml:space="preserve">Veille (recherche d'information, actualité du secteur)</w:t>
      </w:r>
    </w:p>
    <w:p>
      <w:pPr>
        <w:pStyle w:val="ListParagraph"/>
        <w:numPr>
          <w:ilvl w:val="0"/>
          <w:numId w:val="2"/>
        </w:numPr>
        <w:spacing w:after="80" w:line="280"/>
      </w:pPr>
      <w:r>
        <w:rPr>
          <w:rFonts w:ascii="Calibri" w:cs="Calibri" w:eastAsia="Calibri" w:hAnsi="Calibri"/>
          <w:color w:val="2B2B28"/>
          <w:sz w:val="22"/>
          <w:szCs w:val="22"/>
        </w:rPr>
        <w:t xml:space="preserve">Présentation (jour et heure d'une soutenance ou d'un rendu)</w:t>
      </w:r>
    </w:p>
    <w:p>
      <w:pPr>
        <w:pStyle w:val="ListParagraph"/>
        <w:numPr>
          <w:ilvl w:val="0"/>
          <w:numId w:val="2"/>
        </w:numPr>
        <w:spacing w:after="80" w:line="280"/>
      </w:pPr>
      <w:r>
        <w:rPr>
          <w:rFonts w:ascii="Calibri" w:cs="Calibri" w:eastAsia="Calibri" w:hAnsi="Calibri"/>
          <w:color w:val="2B2B28"/>
          <w:sz w:val="22"/>
          <w:szCs w:val="22"/>
        </w:rPr>
        <w:t xml:space="preserve">Résolution de problème / travail technique ("problem solving")</w:t>
      </w:r>
    </w:p>
    <w:p>
      <w:pPr>
        <w:pStyle w:val="ListParagraph"/>
        <w:numPr>
          <w:ilvl w:val="0"/>
          <w:numId w:val="2"/>
        </w:numPr>
        <w:spacing w:after="80" w:line="280"/>
      </w:pPr>
      <w:r>
        <w:rPr>
          <w:rFonts w:ascii="Calibri" w:cs="Calibri" w:eastAsia="Calibri" w:hAnsi="Calibri"/>
          <w:color w:val="2B2B28"/>
          <w:sz w:val="22"/>
          <w:szCs w:val="22"/>
        </w:rPr>
        <w:t xml:space="preserve">Sport, salle de sport, trajets (bus, marche, aller/retour)</w:t>
      </w:r>
    </w:p>
    <w:p>
      <w:pPr>
        <w:pStyle w:val="ListParagraph"/>
        <w:numPr>
          <w:ilvl w:val="0"/>
          <w:numId w:val="2"/>
        </w:numPr>
        <w:spacing w:after="80" w:line="280"/>
      </w:pPr>
      <w:r>
        <w:rPr>
          <w:rFonts w:ascii="Calibri" w:cs="Calibri" w:eastAsia="Calibri" w:hAnsi="Calibri"/>
          <w:color w:val="2B2B28"/>
          <w:sz w:val="22"/>
          <w:szCs w:val="22"/>
        </w:rPr>
        <w:t xml:space="preserve">Candidatures LinkedIn (temps dédié à postuler)</w:t>
      </w:r>
    </w:p>
    <w:p>
      <w:pPr>
        <w:pStyle w:val="ListParagraph"/>
        <w:numPr>
          <w:ilvl w:val="0"/>
          <w:numId w:val="2"/>
        </w:numPr>
        <w:spacing w:after="80" w:line="280"/>
      </w:pPr>
      <w:r>
        <w:rPr>
          <w:rFonts w:ascii="Calibri" w:cs="Calibri" w:eastAsia="Calibri" w:hAnsi="Calibri"/>
          <w:color w:val="2B2B28"/>
          <w:sz w:val="22"/>
          <w:szCs w:val="22"/>
        </w:rPr>
        <w:t xml:space="preserve">Documentation (rédaction de documentation, notes)</w:t>
      </w:r>
    </w:p>
    <w:p>
      <w:pPr>
        <w:pStyle w:val="ListParagraph"/>
        <w:numPr>
          <w:ilvl w:val="0"/>
          <w:numId w:val="2"/>
        </w:numPr>
        <w:spacing w:after="80" w:line="280"/>
      </w:pPr>
      <w:r>
        <w:rPr>
          <w:rFonts w:ascii="Calibri" w:cs="Calibri" w:eastAsia="Calibri" w:hAnsi="Calibri"/>
          <w:color w:val="2B2B28"/>
          <w:sz w:val="22"/>
          <w:szCs w:val="22"/>
        </w:rPr>
        <w:t xml:space="preserve">Entretiens (ajoutés dynamiquement dès qu'un entretien est décroché)</w:t>
      </w:r>
    </w:p>
    <w:p>
      <w:pPr>
        <w:pStyle w:val="Heading2"/>
        <w:spacing w:after="120" w:before="260"/>
      </w:pPr>
      <w:r>
        <w:rPr>
          <w:rFonts w:ascii="Calibri" w:cs="Calibri" w:eastAsia="Calibri" w:hAnsi="Calibri"/>
          <w:b/>
          <w:bCs/>
          <w:color w:val="8C3B4C"/>
          <w:sz w:val="24"/>
          <w:szCs w:val="24"/>
        </w:rPr>
        <w:t xml:space="preserve">4.2 Module gestion de projet façon Jira (mini-kanban)</w:t>
      </w:r>
    </w:p>
    <w:p>
      <w:pPr>
        <w:spacing w:after="140" w:line="300"/>
      </w:pPr>
      <w:r>
        <w:rPr>
          <w:rFonts w:ascii="Calibri" w:cs="Calibri" w:eastAsia="Calibri" w:hAnsi="Calibri"/>
          <w:color w:val="2B2B28"/>
          <w:sz w:val="22"/>
          <w:szCs w:val="22"/>
        </w:rPr>
        <w:t xml:space="preserve">Un module interne de gestion de tâches, indépendant du planning, permet de suivre l'avancement du projet PlanTracker (et, plus largement, de tout projet scolaire) comme le ferait Jira :</w:t>
      </w:r>
    </w:p>
    <w:p>
      <w:pPr>
        <w:pStyle w:val="ListParagraph"/>
        <w:numPr>
          <w:ilvl w:val="0"/>
          <w:numId w:val="2"/>
        </w:numPr>
        <w:spacing w:after="80" w:line="280"/>
      </w:pPr>
      <w:r>
        <w:rPr>
          <w:rFonts w:ascii="Calibri" w:cs="Calibri" w:eastAsia="Calibri" w:hAnsi="Calibri"/>
          <w:color w:val="2B2B28"/>
          <w:sz w:val="22"/>
          <w:szCs w:val="22"/>
        </w:rPr>
        <w:t xml:space="preserve">Tableau kanban avec colonnes personnalisables (ex. À faire / En cours / En revue / Terminé).</w:t>
      </w:r>
    </w:p>
    <w:p>
      <w:pPr>
        <w:pStyle w:val="ListParagraph"/>
        <w:numPr>
          <w:ilvl w:val="0"/>
          <w:numId w:val="2"/>
        </w:numPr>
        <w:spacing w:after="80" w:line="280"/>
      </w:pPr>
      <w:r>
        <w:rPr>
          <w:rFonts w:ascii="Calibri" w:cs="Calibri" w:eastAsia="Calibri" w:hAnsi="Calibri"/>
          <w:color w:val="2B2B28"/>
          <w:sz w:val="22"/>
          <w:szCs w:val="22"/>
        </w:rPr>
        <w:t xml:space="preserve">Une « carte projet » par projet, avec titre, description, échéance, priorité, avancement en %.</w:t>
      </w:r>
    </w:p>
    <w:p>
      <w:pPr>
        <w:pStyle w:val="ListParagraph"/>
        <w:numPr>
          <w:ilvl w:val="0"/>
          <w:numId w:val="2"/>
        </w:numPr>
        <w:spacing w:after="80" w:line="280"/>
      </w:pPr>
      <w:r>
        <w:rPr>
          <w:rFonts w:ascii="Calibri" w:cs="Calibri" w:eastAsia="Calibri" w:hAnsi="Calibri"/>
          <w:color w:val="2B2B28"/>
          <w:sz w:val="22"/>
          <w:szCs w:val="22"/>
        </w:rPr>
        <w:t xml:space="preserve">Sous-tâches rattachées à chaque carte, avec responsable, statut et étiquettes.</w:t>
      </w:r>
    </w:p>
    <w:p>
      <w:pPr>
        <w:pStyle w:val="ListParagraph"/>
        <w:numPr>
          <w:ilvl w:val="0"/>
          <w:numId w:val="2"/>
        </w:numPr>
        <w:spacing w:after="80" w:line="280"/>
      </w:pPr>
      <w:r>
        <w:rPr>
          <w:rFonts w:ascii="Calibri" w:cs="Calibri" w:eastAsia="Calibri" w:hAnsi="Calibri"/>
          <w:color w:val="2B2B28"/>
          <w:sz w:val="22"/>
          <w:szCs w:val="22"/>
        </w:rPr>
        <w:t xml:space="preserve">Historique d'activité par carte (journal des changements).</w:t>
      </w:r>
    </w:p>
    <w:p>
      <w:pPr>
        <w:pStyle w:val="Heading2"/>
        <w:spacing w:after="120" w:before="260"/>
      </w:pPr>
      <w:r>
        <w:rPr>
          <w:rFonts w:ascii="Calibri" w:cs="Calibri" w:eastAsia="Calibri" w:hAnsi="Calibri"/>
          <w:b/>
          <w:bCs/>
          <w:color w:val="8C3B4C"/>
          <w:sz w:val="24"/>
          <w:szCs w:val="24"/>
        </w:rPr>
        <w:t xml:space="preserve">4.3 Module Assistant IA</w:t>
      </w:r>
    </w:p>
    <w:p>
      <w:pPr>
        <w:spacing w:after="140" w:line="300"/>
      </w:pPr>
      <w:r>
        <w:rPr>
          <w:rFonts w:ascii="Calibri" w:cs="Calibri" w:eastAsia="Calibri" w:hAnsi="Calibri"/>
          <w:color w:val="2B2B28"/>
          <w:sz w:val="22"/>
          <w:szCs w:val="22"/>
        </w:rPr>
        <w:t xml:space="preserve">Un assistant intelligent intégré doit être capable de :</w:t>
      </w:r>
    </w:p>
    <w:p>
      <w:pPr>
        <w:pStyle w:val="ListParagraph"/>
        <w:numPr>
          <w:ilvl w:val="0"/>
          <w:numId w:val="2"/>
        </w:numPr>
        <w:spacing w:after="80" w:line="280"/>
      </w:pPr>
      <w:r>
        <w:rPr>
          <w:rFonts w:ascii="Calibri" w:cs="Calibri" w:eastAsia="Calibri" w:hAnsi="Calibri"/>
          <w:color w:val="2B2B28"/>
          <w:sz w:val="22"/>
          <w:szCs w:val="22"/>
        </w:rPr>
        <w:t xml:space="preserve">Proposer et générer automatiquement la répartition des créneaux de la semaine à partir des tâches en cours et des priorités.</w:t>
      </w:r>
    </w:p>
    <w:p>
      <w:pPr>
        <w:pStyle w:val="ListParagraph"/>
        <w:numPr>
          <w:ilvl w:val="0"/>
          <w:numId w:val="2"/>
        </w:numPr>
        <w:spacing w:after="80" w:line="280"/>
      </w:pPr>
      <w:r>
        <w:rPr>
          <w:rFonts w:ascii="Calibri" w:cs="Calibri" w:eastAsia="Calibri" w:hAnsi="Calibri"/>
          <w:color w:val="2B2B28"/>
          <w:sz w:val="22"/>
          <w:szCs w:val="22"/>
        </w:rPr>
        <w:t xml:space="preserve">Détecter les conflits d'horaires et suggérer des réajustements.</w:t>
      </w:r>
    </w:p>
    <w:p>
      <w:pPr>
        <w:pStyle w:val="ListParagraph"/>
        <w:numPr>
          <w:ilvl w:val="0"/>
          <w:numId w:val="2"/>
        </w:numPr>
        <w:spacing w:after="80" w:line="280"/>
      </w:pPr>
      <w:r>
        <w:rPr>
          <w:rFonts w:ascii="Calibri" w:cs="Calibri" w:eastAsia="Calibri" w:hAnsi="Calibri"/>
          <w:color w:val="2B2B28"/>
          <w:sz w:val="22"/>
          <w:szCs w:val="22"/>
        </w:rPr>
        <w:t xml:space="preserve">Résumer automatiquement l'avancement de la semaine (ce qui a été fait, ce qui reste à faire).</w:t>
      </w:r>
    </w:p>
    <w:p>
      <w:pPr>
        <w:pStyle w:val="ListParagraph"/>
        <w:numPr>
          <w:ilvl w:val="0"/>
          <w:numId w:val="2"/>
        </w:numPr>
        <w:spacing w:after="80" w:line="280"/>
      </w:pPr>
      <w:r>
        <w:rPr>
          <w:rFonts w:ascii="Calibri" w:cs="Calibri" w:eastAsia="Calibri" w:hAnsi="Calibri"/>
          <w:color w:val="2B2B28"/>
          <w:sz w:val="22"/>
          <w:szCs w:val="22"/>
        </w:rPr>
        <w:t xml:space="preserve">Faire remonter des rappels (relance de candidature, préparation d'entretien, échéance de rendu).</w:t>
      </w:r>
    </w:p>
    <w:p>
      <w:pPr>
        <w:pStyle w:val="ListParagraph"/>
        <w:numPr>
          <w:ilvl w:val="0"/>
          <w:numId w:val="2"/>
        </w:numPr>
        <w:spacing w:after="80" w:line="280"/>
      </w:pPr>
      <w:r>
        <w:rPr>
          <w:rFonts w:ascii="Calibri" w:cs="Calibri" w:eastAsia="Calibri" w:hAnsi="Calibri"/>
          <w:color w:val="2B2B28"/>
          <w:sz w:val="22"/>
          <w:szCs w:val="22"/>
        </w:rPr>
        <w:t xml:space="preserve">Répondre en langage naturel à des demandes du type « libère-moi du temps jeudi pour une présentation ».</w:t>
      </w:r>
    </w:p>
    <w:p>
      <w:pPr>
        <w:pStyle w:val="Heading2"/>
        <w:spacing w:after="120" w:before="260"/>
      </w:pPr>
      <w:r>
        <w:rPr>
          <w:rFonts w:ascii="Calibri" w:cs="Calibri" w:eastAsia="Calibri" w:hAnsi="Calibri"/>
          <w:b/>
          <w:bCs/>
          <w:color w:val="8C3B4C"/>
          <w:sz w:val="24"/>
          <w:szCs w:val="24"/>
        </w:rPr>
        <w:t xml:space="preserve">4.4 Module Tableau de bord (dashboard analytique)</w:t>
      </w:r>
    </w:p>
    <w:p>
      <w:pPr>
        <w:spacing w:after="140" w:line="300"/>
      </w:pPr>
      <w:r>
        <w:rPr>
          <w:rFonts w:ascii="Calibri" w:cs="Calibri" w:eastAsia="Calibri" w:hAnsi="Calibri"/>
          <w:color w:val="2B2B28"/>
          <w:sz w:val="22"/>
          <w:szCs w:val="22"/>
        </w:rPr>
        <w:t xml:space="preserve">Le dashboard reprend la logique du modèle de référence (dashboard RH Tableau fourni), adaptée au suivi personnel : mêmes types de visualisations (indicateurs clés en tête de page, diagramme circulaire, histogramme par catégorie, graphiques en anneaux, tableau croisé), mais appliquées aux données de PlanTracker :</w:t>
      </w:r>
    </w:p>
    <w:p>
      <w:pPr>
        <w:pStyle w:val="ListParagraph"/>
        <w:numPr>
          <w:ilvl w:val="0"/>
          <w:numId w:val="2"/>
        </w:numPr>
        <w:spacing w:after="80" w:line="280"/>
      </w:pPr>
      <w:r>
        <w:rPr>
          <w:rFonts w:ascii="Calibri" w:cs="Calibri" w:eastAsia="Calibri" w:hAnsi="Calibri"/>
          <w:color w:val="2B2B28"/>
          <w:sz w:val="22"/>
          <w:szCs w:val="22"/>
        </w:rPr>
        <w:t xml:space="preserve">Indicateurs clés en tête de tableau de bord : nombre de tâches totales, nombre de tâches terminées, taux d'avancement moyen, nombre de candidatures envoyées, nombre d'entretiens obtenus.</w:t>
      </w:r>
    </w:p>
    <w:p>
      <w:pPr>
        <w:pStyle w:val="ListParagraph"/>
        <w:numPr>
          <w:ilvl w:val="0"/>
          <w:numId w:val="2"/>
        </w:numPr>
        <w:spacing w:after="80" w:line="280"/>
      </w:pPr>
      <w:r>
        <w:rPr>
          <w:rFonts w:ascii="Calibri" w:cs="Calibri" w:eastAsia="Calibri" w:hAnsi="Calibri"/>
          <w:color w:val="2B2B28"/>
          <w:sz w:val="22"/>
          <w:szCs w:val="22"/>
        </w:rPr>
        <w:t xml:space="preserve">Répartition du temps par type d'activité (école, veille, candidatures, sport, documentation…) sous forme de diagramme circulaire, équivalent de la « Department Wise Attrition ».</w:t>
      </w:r>
    </w:p>
    <w:p>
      <w:pPr>
        <w:pStyle w:val="ListParagraph"/>
        <w:numPr>
          <w:ilvl w:val="0"/>
          <w:numId w:val="2"/>
        </w:numPr>
        <w:spacing w:after="80" w:line="280"/>
      </w:pPr>
      <w:r>
        <w:rPr>
          <w:rFonts w:ascii="Calibri" w:cs="Calibri" w:eastAsia="Calibri" w:hAnsi="Calibri"/>
          <w:color w:val="2B2B28"/>
          <w:sz w:val="22"/>
          <w:szCs w:val="22"/>
        </w:rPr>
        <w:t xml:space="preserve">Volume d'heures par semaine et par catégorie sous forme d'histogramme, équivalent du graphique « Number of Employee by Age Group ».</w:t>
      </w:r>
    </w:p>
    <w:p>
      <w:pPr>
        <w:pStyle w:val="ListParagraph"/>
        <w:numPr>
          <w:ilvl w:val="0"/>
          <w:numId w:val="2"/>
        </w:numPr>
        <w:spacing w:after="80" w:line="280"/>
      </w:pPr>
      <w:r>
        <w:rPr>
          <w:rFonts w:ascii="Calibri" w:cs="Calibri" w:eastAsia="Calibri" w:hAnsi="Calibri"/>
          <w:color w:val="2B2B28"/>
          <w:sz w:val="22"/>
          <w:szCs w:val="22"/>
        </w:rPr>
        <w:t xml:space="preserve">Taux de satisfaction / niveau de difficulté ressenti par tâche ou par matière, sous forme de tableau croisé coloré, équivalent du « Job Satisfaction Rating ».</w:t>
      </w:r>
    </w:p>
    <w:p>
      <w:pPr>
        <w:pStyle w:val="ListParagraph"/>
        <w:numPr>
          <w:ilvl w:val="0"/>
          <w:numId w:val="2"/>
        </w:numPr>
        <w:spacing w:after="80" w:line="280"/>
      </w:pPr>
      <w:r>
        <w:rPr>
          <w:rFonts w:ascii="Calibri" w:cs="Calibri" w:eastAsia="Calibri" w:hAnsi="Calibri"/>
          <w:color w:val="2B2B28"/>
          <w:sz w:val="22"/>
          <w:szCs w:val="22"/>
        </w:rPr>
        <w:t xml:space="preserve">Suivi des candidatures par semaine sous forme de graphiques en anneaux, équivalent de « l'Attrition Rate by Gender for Different Age Group ».</w:t>
      </w:r>
    </w:p>
    <w:p>
      <w:pPr>
        <w:pStyle w:val="ListParagraph"/>
        <w:numPr>
          <w:ilvl w:val="0"/>
          <w:numId w:val="2"/>
        </w:numPr>
        <w:spacing w:after="80" w:line="280"/>
      </w:pPr>
      <w:r>
        <w:rPr>
          <w:rFonts w:ascii="Calibri" w:cs="Calibri" w:eastAsia="Calibri" w:hAnsi="Calibri"/>
          <w:color w:val="2B2B28"/>
          <w:sz w:val="22"/>
          <w:szCs w:val="22"/>
        </w:rPr>
        <w:t xml:space="preserve">Filtres interactifs (par semaine, par type d'activité, par projet).</w:t>
      </w:r>
    </w:p>
    <w:p>
      <w:pPr>
        <w:pStyle w:val="Heading2"/>
        <w:spacing w:after="120" w:before="260"/>
      </w:pPr>
      <w:r>
        <w:rPr>
          <w:rFonts w:ascii="Calibri" w:cs="Calibri" w:eastAsia="Calibri" w:hAnsi="Calibri"/>
          <w:b/>
          <w:bCs/>
          <w:color w:val="8C3B4C"/>
          <w:sz w:val="24"/>
          <w:szCs w:val="24"/>
        </w:rPr>
        <w:t xml:space="preserve">4.5 Module Documentation</w:t>
      </w:r>
    </w:p>
    <w:p>
      <w:pPr>
        <w:spacing w:after="140" w:line="300"/>
      </w:pPr>
      <w:r>
        <w:rPr>
          <w:rFonts w:ascii="Calibri" w:cs="Calibri" w:eastAsia="Calibri" w:hAnsi="Calibri"/>
          <w:color w:val="2B2B28"/>
          <w:sz w:val="22"/>
          <w:szCs w:val="22"/>
        </w:rPr>
        <w:t xml:space="preserve">Espace dédié à la rédaction et au classement de notes de documentation (comptes rendus, ressources utiles, synthèses de veille), consultable et modifiable indépendamment du planning.</w:t>
      </w:r>
    </w:p>
    <w:p>
      <w:pPr>
        <w:pStyle w:val="Heading2"/>
        <w:spacing w:after="120" w:before="260"/>
      </w:pPr>
      <w:r>
        <w:rPr>
          <w:rFonts w:ascii="Calibri" w:cs="Calibri" w:eastAsia="Calibri" w:hAnsi="Calibri"/>
          <w:b/>
          <w:bCs/>
          <w:color w:val="8C3B4C"/>
          <w:sz w:val="24"/>
          <w:szCs w:val="24"/>
        </w:rPr>
        <w:t xml:space="preserve">4.6 Gestion dynamique des entretiens</w:t>
      </w:r>
    </w:p>
    <w:p>
      <w:pPr>
        <w:spacing w:after="140" w:line="300"/>
      </w:pPr>
      <w:r>
        <w:rPr>
          <w:rFonts w:ascii="Calibri" w:cs="Calibri" w:eastAsia="Calibri" w:hAnsi="Calibri"/>
          <w:color w:val="2B2B28"/>
          <w:sz w:val="22"/>
          <w:szCs w:val="22"/>
        </w:rPr>
        <w:t xml:space="preserve">Lorsqu'un entretien est obtenu, l'utilisateur doit pouvoir l'ajouter directement dans le planning (avec rappel automatique) et dans le suivi de candidatures du dashboard, sans ressaisie manuelle.</w:t>
      </w:r>
    </w:p>
    <w:p>
      <w:pPr>
        <w:pStyle w:val="Heading1"/>
        <w:pBdr>
          <w:bottom w:val="single" w:color="3F5B44" w:sz="8" w:space="4"/>
        </w:pBdr>
        <w:spacing w:after="160" w:before="360"/>
      </w:pPr>
      <w:r>
        <w:rPr>
          <w:rFonts w:ascii="Calibri" w:cs="Calibri" w:eastAsia="Calibri" w:hAnsi="Calibri"/>
          <w:b/>
          <w:bCs/>
          <w:color w:val="3F5B44"/>
          <w:sz w:val="30"/>
          <w:szCs w:val="30"/>
        </w:rPr>
        <w:t xml:space="preserve">5. Spécifications de l'interface et charte graphique</w:t>
      </w:r>
    </w:p>
    <w:p>
      <w:pPr>
        <w:spacing w:after="140" w:line="300"/>
      </w:pPr>
      <w:r>
        <w:rPr>
          <w:rFonts w:ascii="Calibri" w:cs="Calibri" w:eastAsia="Calibri" w:hAnsi="Calibri"/>
          <w:color w:val="2B2B28"/>
          <w:sz w:val="22"/>
          <w:szCs w:val="22"/>
        </w:rPr>
        <w:t xml:space="preserve">L'interface reprend la structure visuelle d'un agenda hebdomadaire (colonnes = jours, lignes = heures) et la palette de couleurs du modèle de référence fourni, afin de garder une cohérence visuelle entre les captures partagées et l'application finale.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400"/>
      </w:tblGrid>
      <w:tr>
        <w:tc>
          <w:tcPr>
            <w:tcW w:type="dxa" w:w="1600"/>
            <w:shd w:fill="3F5B4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Couleur</w:t>
            </w:r>
          </w:p>
        </w:tc>
        <w:tc>
          <w:tcPr>
            <w:tcW w:type="dxa" w:w="2200"/>
            <w:shd w:fill="3F5B4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 Hex</w:t>
            </w:r>
          </w:p>
        </w:tc>
        <w:tc>
          <w:tcPr>
            <w:tcW w:type="dxa" w:w="5400"/>
            <w:shd w:fill="3F5B4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Usage recommandé</w:t>
            </w:r>
          </w:p>
        </w:tc>
      </w:tr>
      <w:tr>
        <w:tc>
          <w:tcPr>
            <w:tcW w:type="dxa" w:w="1600"/>
            <w:shd w:fill="3F5B44" w:val="clear"/>
          </w:tcPr>
          <w:p>
            <w:r>
              <w:rPr>
                <w:sz w:val="20"/>
                <w:szCs w:val="20"/>
              </w:rPr>
              <w:t xml:space="preserve">  </w:t>
            </w:r>
          </w:p>
        </w:tc>
        <w:tc>
          <w:tcPr>
            <w:tcW w:type="dxa" w:w="2200"/>
            <w:shd w:fill="FFFFFF"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#3F5B44</w:t>
            </w:r>
          </w:p>
        </w:tc>
        <w:tc>
          <w:tcPr>
            <w:tcW w:type="dxa" w:w="5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Vert foncé — blocs « cours / école », en-têtes de sections, accents principaux du dashboard.</w:t>
            </w:r>
          </w:p>
        </w:tc>
      </w:tr>
      <w:tr>
        <w:tc>
          <w:tcPr>
            <w:tcW w:type="dxa" w:w="1600"/>
            <w:shd w:fill="B7C99A" w:val="clear"/>
          </w:tcPr>
          <w:p>
            <w:r>
              <w:rPr>
                <w:sz w:val="20"/>
                <w:szCs w:val="20"/>
              </w:rPr>
              <w:t xml:space="preserve">  </w:t>
            </w:r>
          </w:p>
        </w:tc>
        <w:tc>
          <w:tcPr>
            <w:tcW w:type="dxa" w:w="2200"/>
            <w:shd w:fill="FFFFFF"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#B7C99A</w:t>
            </w:r>
          </w:p>
        </w:tc>
        <w:tc>
          <w:tcPr>
            <w:tcW w:type="dxa" w:w="5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Vert clair (sauge) — blocs « veille », « documentation », zones secondaires.</w:t>
            </w:r>
          </w:p>
        </w:tc>
      </w:tr>
      <w:tr>
        <w:tc>
          <w:tcPr>
            <w:tcW w:type="dxa" w:w="1600"/>
            <w:shd w:fill="E7AEB4" w:val="clear"/>
          </w:tcPr>
          <w:p>
            <w:r>
              <w:rPr>
                <w:sz w:val="20"/>
                <w:szCs w:val="20"/>
              </w:rPr>
              <w:t xml:space="preserve">  </w:t>
            </w:r>
          </w:p>
        </w:tc>
        <w:tc>
          <w:tcPr>
            <w:tcW w:type="dxa" w:w="2200"/>
            <w:shd w:fill="FFFFFF"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#E7AEB4</w:t>
            </w:r>
          </w:p>
        </w:tc>
        <w:tc>
          <w:tcPr>
            <w:tcW w:type="dxa" w:w="5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Rose clair — blocs « candidatures LinkedIn », « sport / trajets ».</w:t>
            </w:r>
          </w:p>
        </w:tc>
      </w:tr>
      <w:tr>
        <w:tc>
          <w:tcPr>
            <w:tcW w:type="dxa" w:w="1600"/>
            <w:shd w:fill="8C3B4C" w:val="clear"/>
          </w:tcPr>
          <w:p>
            <w:r>
              <w:rPr>
                <w:sz w:val="20"/>
                <w:szCs w:val="20"/>
              </w:rPr>
              <w:t xml:space="preserve">  </w:t>
            </w:r>
          </w:p>
        </w:tc>
        <w:tc>
          <w:tcPr>
            <w:tcW w:type="dxa" w:w="2200"/>
            <w:shd w:fill="FFFFFF"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#8C3B4C</w:t>
            </w:r>
          </w:p>
        </w:tc>
        <w:tc>
          <w:tcPr>
            <w:tcW w:type="dxa" w:w="5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Bordeaux — blocs « présentation », « entretiens », éléments à forte priorité.</w:t>
            </w:r>
          </w:p>
        </w:tc>
      </w:tr>
      <w:tr>
        <w:tc>
          <w:tcPr>
            <w:tcW w:type="dxa" w:w="1600"/>
            <w:shd w:fill="F5F1E6" w:val="clear"/>
          </w:tcPr>
          <w:p>
            <w:r>
              <w:rPr>
                <w:sz w:val="20"/>
                <w:szCs w:val="20"/>
              </w:rPr>
              <w:t xml:space="preserve">  </w:t>
            </w:r>
          </w:p>
        </w:tc>
        <w:tc>
          <w:tcPr>
            <w:tcW w:type="dxa" w:w="2200"/>
            <w:shd w:fill="FFFFFF"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#F5F1E6</w:t>
            </w:r>
          </w:p>
        </w:tc>
        <w:tc>
          <w:tcPr>
            <w:tcW w:type="dxa" w:w="5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Beige / crème — fond général de l'application, cartes et tableau de bord.</w:t>
            </w:r>
          </w:p>
        </w:tc>
      </w:tr>
    </w:tbl>
    <w:p>
      <w:pPr>
        <w:spacing w:before="200"/>
      </w:pPr>
    </w:p>
    <w:p>
      <w:pPr>
        <w:spacing w:after="140" w:line="300"/>
      </w:pPr>
      <w:r>
        <w:rPr>
          <w:rFonts w:ascii="Calibri" w:cs="Calibri" w:eastAsia="Calibri" w:hAnsi="Calibri"/>
          <w:color w:val="2B2B28"/>
          <w:sz w:val="22"/>
          <w:szCs w:val="22"/>
        </w:rPr>
        <w:t xml:space="preserve">Typographie sans-serif (type Calibri / Inter), coins arrondis sur les blocs de créneaux, et contraste suffisant entre le texte et les couleurs de fond pour rester lisible sur chaque type de bloc.</w:t>
      </w:r>
    </w:p>
    <w:p>
      <w:pPr>
        <w:pStyle w:val="Heading1"/>
        <w:pBdr>
          <w:bottom w:val="single" w:color="3F5B44" w:sz="8" w:space="4"/>
        </w:pBdr>
        <w:spacing w:after="160" w:before="360"/>
      </w:pPr>
      <w:r>
        <w:rPr>
          <w:rFonts w:ascii="Calibri" w:cs="Calibri" w:eastAsia="Calibri" w:hAnsi="Calibri"/>
          <w:b/>
          <w:bCs/>
          <w:color w:val="3F5B44"/>
          <w:sz w:val="30"/>
          <w:szCs w:val="30"/>
        </w:rPr>
        <w:t xml:space="preserve">6. Architecture technique proposée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3F5B4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Composant</w:t>
            </w:r>
          </w:p>
        </w:tc>
        <w:tc>
          <w:tcPr>
            <w:tcW w:type="dxa" w:w="6600"/>
            <w:shd w:fill="3F5B4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Proposition</w:t>
            </w:r>
          </w:p>
        </w:tc>
      </w:tr>
      <w:tr>
        <w:tc>
          <w:tcPr>
            <w:tcW w:type="dxa" w:w="2600"/>
            <w:shd w:fill="F5F1E6"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Frontend</w:t>
            </w:r>
          </w:p>
        </w:tc>
        <w:tc>
          <w:tcPr>
            <w:tcW w:type="dxa" w:w="66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Application web responsive (ex. React) avec vue calendrier, kanban et dashboard.</w:t>
            </w:r>
          </w:p>
        </w:tc>
      </w:tr>
      <w:tr>
        <w:tc>
          <w:tcPr>
            <w:tcW w:type="dxa" w:w="2600"/>
            <w:shd w:fill="F5F1E6"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Backend / API</w:t>
            </w:r>
          </w:p>
        </w:tc>
        <w:tc>
          <w:tcPr>
            <w:tcW w:type="dxa" w:w="66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API REST pour la gestion des tâches, créneaux, projets et utilisateurs.</w:t>
            </w:r>
          </w:p>
        </w:tc>
      </w:tr>
      <w:tr>
        <w:tc>
          <w:tcPr>
            <w:tcW w:type="dxa" w:w="2600"/>
            <w:shd w:fill="F5F1E6"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Base de données</w:t>
            </w:r>
          </w:p>
        </w:tc>
        <w:tc>
          <w:tcPr>
            <w:tcW w:type="dxa" w:w="66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Base relationnelle pour stocker tâches, créneaux, catégories, candidatures et historique.</w:t>
            </w:r>
          </w:p>
        </w:tc>
      </w:tr>
      <w:tr>
        <w:tc>
          <w:tcPr>
            <w:tcW w:type="dxa" w:w="2600"/>
            <w:shd w:fill="F5F1E6"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Module IA</w:t>
            </w:r>
          </w:p>
        </w:tc>
        <w:tc>
          <w:tcPr>
            <w:tcW w:type="dxa" w:w="66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Appel à un modèle de langage (LLM) via API pour la planification assistée, les résumés et les recommandations.</w:t>
            </w:r>
          </w:p>
        </w:tc>
      </w:tr>
      <w:tr>
        <w:tc>
          <w:tcPr>
            <w:tcW w:type="dxa" w:w="2600"/>
            <w:shd w:fill="F5F1E6"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Visualisation</w:t>
            </w:r>
          </w:p>
        </w:tc>
        <w:tc>
          <w:tcPr>
            <w:tcW w:type="dxa" w:w="66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Librairie de graphiques (type Recharts / Chart.js) pour reproduire les visuels du dashboard de référence.</w:t>
            </w:r>
          </w:p>
        </w:tc>
      </w:tr>
    </w:tbl>
    <w:p>
      <w:pPr>
        <w:pStyle w:val="Heading1"/>
        <w:pBdr>
          <w:bottom w:val="single" w:color="3F5B44" w:sz="8" w:space="4"/>
        </w:pBdr>
        <w:spacing w:after="160" w:before="360"/>
      </w:pPr>
      <w:r>
        <w:rPr>
          <w:rFonts w:ascii="Calibri" w:cs="Calibri" w:eastAsia="Calibri" w:hAnsi="Calibri"/>
          <w:b/>
          <w:bCs/>
          <w:color w:val="3F5B44"/>
          <w:sz w:val="30"/>
          <w:szCs w:val="30"/>
        </w:rPr>
        <w:t xml:space="preserve">7. Contraintes</w:t>
      </w:r>
    </w:p>
    <w:p>
      <w:pPr>
        <w:pStyle w:val="ListParagraph"/>
        <w:numPr>
          <w:ilvl w:val="0"/>
          <w:numId w:val="2"/>
        </w:numPr>
        <w:spacing w:after="80" w:line="280"/>
      </w:pPr>
      <w:r>
        <w:rPr>
          <w:rFonts w:ascii="Calibri" w:cs="Calibri" w:eastAsia="Calibri" w:hAnsi="Calibri"/>
          <w:color w:val="2B2B28"/>
          <w:sz w:val="22"/>
          <w:szCs w:val="22"/>
        </w:rPr>
        <w:t xml:space="preserve">Respect strict de la charte graphique définie en section 5.</w:t>
      </w:r>
    </w:p>
    <w:p>
      <w:pPr>
        <w:pStyle w:val="ListParagraph"/>
        <w:numPr>
          <w:ilvl w:val="0"/>
          <w:numId w:val="2"/>
        </w:numPr>
        <w:spacing w:after="80" w:line="280"/>
      </w:pPr>
      <w:r>
        <w:rPr>
          <w:rFonts w:ascii="Calibri" w:cs="Calibri" w:eastAsia="Calibri" w:hAnsi="Calibri"/>
          <w:color w:val="2B2B28"/>
          <w:sz w:val="22"/>
          <w:szCs w:val="22"/>
        </w:rPr>
        <w:t xml:space="preserve">Interface simple et rapide à utiliser au quotidien (saisie d'un créneau en quelques clics).</w:t>
      </w:r>
    </w:p>
    <w:p>
      <w:pPr>
        <w:pStyle w:val="ListParagraph"/>
        <w:numPr>
          <w:ilvl w:val="0"/>
          <w:numId w:val="2"/>
        </w:numPr>
        <w:spacing w:after="80" w:line="280"/>
      </w:pPr>
      <w:r>
        <w:rPr>
          <w:rFonts w:ascii="Calibri" w:cs="Calibri" w:eastAsia="Calibri" w:hAnsi="Calibri"/>
          <w:color w:val="2B2B28"/>
          <w:sz w:val="22"/>
          <w:szCs w:val="22"/>
        </w:rPr>
        <w:t xml:space="preserve">Données organisées par semaine, avec historique consultable des semaines précédentes.</w:t>
      </w:r>
    </w:p>
    <w:p>
      <w:pPr>
        <w:pStyle w:val="ListParagraph"/>
        <w:numPr>
          <w:ilvl w:val="0"/>
          <w:numId w:val="2"/>
        </w:numPr>
        <w:spacing w:after="80" w:line="280"/>
      </w:pPr>
      <w:r>
        <w:rPr>
          <w:rFonts w:ascii="Calibri" w:cs="Calibri" w:eastAsia="Calibri" w:hAnsi="Calibri"/>
          <w:color w:val="2B2B28"/>
          <w:sz w:val="22"/>
          <w:szCs w:val="22"/>
        </w:rPr>
        <w:t xml:space="preserve">Le module Jira interne et le module planning doivent rester synchronisés : une tâche planifiée dans le kanban doit pouvoir être glissée directement dans un créneau du calendrier.</w:t>
      </w:r>
    </w:p>
    <w:p>
      <w:pPr>
        <w:pStyle w:val="Heading1"/>
        <w:pBdr>
          <w:bottom w:val="single" w:color="3F5B44" w:sz="8" w:space="4"/>
        </w:pBdr>
        <w:spacing w:after="160" w:before="360"/>
      </w:pPr>
      <w:r>
        <w:rPr>
          <w:rFonts w:ascii="Calibri" w:cs="Calibri" w:eastAsia="Calibri" w:hAnsi="Calibri"/>
          <w:b/>
          <w:bCs/>
          <w:color w:val="3F5B44"/>
          <w:sz w:val="30"/>
          <w:szCs w:val="30"/>
        </w:rPr>
        <w:t xml:space="preserve">8. Livrables attendus</w:t>
      </w:r>
    </w:p>
    <w:p>
      <w:pPr>
        <w:pStyle w:val="ListParagraph"/>
        <w:numPr>
          <w:ilvl w:val="0"/>
          <w:numId w:val="2"/>
        </w:numPr>
        <w:spacing w:after="80" w:line="280"/>
      </w:pPr>
      <w:r>
        <w:rPr>
          <w:rFonts w:ascii="Calibri" w:cs="Calibri" w:eastAsia="Calibri" w:hAnsi="Calibri"/>
          <w:color w:val="2B2B28"/>
          <w:sz w:val="22"/>
          <w:szCs w:val="22"/>
        </w:rPr>
        <w:t xml:space="preserve">Cahier des charges validé (présent document).</w:t>
      </w:r>
    </w:p>
    <w:p>
      <w:pPr>
        <w:pStyle w:val="ListParagraph"/>
        <w:numPr>
          <w:ilvl w:val="0"/>
          <w:numId w:val="2"/>
        </w:numPr>
        <w:spacing w:after="80" w:line="280"/>
      </w:pPr>
      <w:r>
        <w:rPr>
          <w:rFonts w:ascii="Calibri" w:cs="Calibri" w:eastAsia="Calibri" w:hAnsi="Calibri"/>
          <w:color w:val="2B2B28"/>
          <w:sz w:val="22"/>
          <w:szCs w:val="22"/>
        </w:rPr>
        <w:t xml:space="preserve">Maquettes / wireframes de l'interface (planning, kanban, dashboard).</w:t>
      </w:r>
    </w:p>
    <w:p>
      <w:pPr>
        <w:pStyle w:val="ListParagraph"/>
        <w:numPr>
          <w:ilvl w:val="0"/>
          <w:numId w:val="2"/>
        </w:numPr>
        <w:spacing w:after="80" w:line="280"/>
      </w:pPr>
      <w:r>
        <w:rPr>
          <w:rFonts w:ascii="Calibri" w:cs="Calibri" w:eastAsia="Calibri" w:hAnsi="Calibri"/>
          <w:color w:val="2B2B28"/>
          <w:sz w:val="22"/>
          <w:szCs w:val="22"/>
        </w:rPr>
        <w:t xml:space="preserve">Application fonctionnelle (MVP) couvrant les modules planning, kanban et dashboard.</w:t>
      </w:r>
    </w:p>
    <w:p>
      <w:pPr>
        <w:pStyle w:val="ListParagraph"/>
        <w:numPr>
          <w:ilvl w:val="0"/>
          <w:numId w:val="2"/>
        </w:numPr>
        <w:spacing w:after="80" w:line="280"/>
      </w:pPr>
      <w:r>
        <w:rPr>
          <w:rFonts w:ascii="Calibri" w:cs="Calibri" w:eastAsia="Calibri" w:hAnsi="Calibri"/>
          <w:color w:val="2B2B28"/>
          <w:sz w:val="22"/>
          <w:szCs w:val="22"/>
        </w:rPr>
        <w:t xml:space="preserve">Module IA intégré pour la planification assistée.</w:t>
      </w:r>
    </w:p>
    <w:p>
      <w:pPr>
        <w:pStyle w:val="ListParagraph"/>
        <w:numPr>
          <w:ilvl w:val="0"/>
          <w:numId w:val="2"/>
        </w:numPr>
        <w:spacing w:after="80" w:line="280"/>
      </w:pPr>
      <w:r>
        <w:rPr>
          <w:rFonts w:ascii="Calibri" w:cs="Calibri" w:eastAsia="Calibri" w:hAnsi="Calibri"/>
          <w:color w:val="2B2B28"/>
          <w:sz w:val="22"/>
          <w:szCs w:val="22"/>
        </w:rPr>
        <w:t xml:space="preserve">Documentation technique et guide d'utilisation.</w:t>
      </w:r>
    </w:p>
    <w:p>
      <w:pPr>
        <w:pStyle w:val="Heading1"/>
        <w:pBdr>
          <w:bottom w:val="single" w:color="3F5B44" w:sz="8" w:space="4"/>
        </w:pBdr>
        <w:spacing w:after="160" w:before="360"/>
      </w:pPr>
      <w:r>
        <w:rPr>
          <w:rFonts w:ascii="Calibri" w:cs="Calibri" w:eastAsia="Calibri" w:hAnsi="Calibri"/>
          <w:b/>
          <w:bCs/>
          <w:color w:val="3F5B44"/>
          <w:sz w:val="30"/>
          <w:szCs w:val="30"/>
        </w:rPr>
        <w:t xml:space="preserve">9. Planning indicatif de réalisation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400"/>
      </w:tblGrid>
      <w:tr>
        <w:tc>
          <w:tcPr>
            <w:tcW w:type="dxa" w:w="1400"/>
            <w:shd w:fill="3F5B4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Phase</w:t>
            </w:r>
          </w:p>
        </w:tc>
        <w:tc>
          <w:tcPr>
            <w:tcW w:type="dxa" w:w="3400"/>
            <w:shd w:fill="3F5B4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Contenu</w:t>
            </w:r>
          </w:p>
        </w:tc>
        <w:tc>
          <w:tcPr>
            <w:tcW w:type="dxa" w:w="4400"/>
            <w:shd w:fill="3F5B4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Livrable associé</w:t>
            </w:r>
          </w:p>
        </w:tc>
      </w:tr>
      <w:tr>
        <w:tc>
          <w:tcPr>
            <w:tcW w:type="dxa" w:w="1400"/>
            <w:shd w:fill="FFFFFF"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1</w:t>
            </w:r>
          </w:p>
        </w:tc>
        <w:tc>
          <w:tcPr>
            <w:tcW w:type="dxa" w:w="3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Cadrage &amp; maquettage</w:t>
            </w:r>
          </w:p>
        </w:tc>
        <w:tc>
          <w:tcPr>
            <w:tcW w:type="dxa" w:w="4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Cahier des charges + wireframes</w:t>
            </w:r>
          </w:p>
        </w:tc>
      </w:tr>
      <w:tr>
        <w:tc>
          <w:tcPr>
            <w:tcW w:type="dxa" w:w="1400"/>
            <w:shd w:fill="FFFFFF"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2</w:t>
            </w:r>
          </w:p>
        </w:tc>
        <w:tc>
          <w:tcPr>
            <w:tcW w:type="dxa" w:w="3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Module planning hebdomadaire</w:t>
            </w:r>
          </w:p>
        </w:tc>
        <w:tc>
          <w:tcPr>
            <w:tcW w:type="dxa" w:w="4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Vue calendrier fonctionnelle avec créneaux colorés</w:t>
            </w:r>
          </w:p>
        </w:tc>
      </w:tr>
      <w:tr>
        <w:tc>
          <w:tcPr>
            <w:tcW w:type="dxa" w:w="1400"/>
            <w:shd w:fill="FFFFFF"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3</w:t>
            </w:r>
          </w:p>
        </w:tc>
        <w:tc>
          <w:tcPr>
            <w:tcW w:type="dxa" w:w="3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Module kanban / gestion de projet</w:t>
            </w:r>
          </w:p>
        </w:tc>
        <w:tc>
          <w:tcPr>
            <w:tcW w:type="dxa" w:w="4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Tableau de tâches type Jira</w:t>
            </w:r>
          </w:p>
        </w:tc>
      </w:tr>
      <w:tr>
        <w:tc>
          <w:tcPr>
            <w:tcW w:type="dxa" w:w="1400"/>
            <w:shd w:fill="FFFFFF"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4</w:t>
            </w:r>
          </w:p>
        </w:tc>
        <w:tc>
          <w:tcPr>
            <w:tcW w:type="dxa" w:w="3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Module dashboard</w:t>
            </w:r>
          </w:p>
        </w:tc>
        <w:tc>
          <w:tcPr>
            <w:tcW w:type="dxa" w:w="4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Tableau de bord analytique</w:t>
            </w:r>
          </w:p>
        </w:tc>
      </w:tr>
      <w:tr>
        <w:tc>
          <w:tcPr>
            <w:tcW w:type="dxa" w:w="1400"/>
            <w:shd w:fill="FFFFFF"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5</w:t>
            </w:r>
          </w:p>
        </w:tc>
        <w:tc>
          <w:tcPr>
            <w:tcW w:type="dxa" w:w="3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Intégration IA</w:t>
            </w:r>
          </w:p>
        </w:tc>
        <w:tc>
          <w:tcPr>
            <w:tcW w:type="dxa" w:w="4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Assistant de planification automatique</w:t>
            </w:r>
          </w:p>
        </w:tc>
      </w:tr>
      <w:tr>
        <w:tc>
          <w:tcPr>
            <w:tcW w:type="dxa" w:w="1400"/>
            <w:shd w:fill="FFFFFF" w:val="clear"/>
            <w:tcMar>
              <w:top w:type="dxa" w:w="90"/>
              <w:left w:type="dxa" w:w="120"/>
              <w:bottom w:type="dxa" w:w="90"/>
              <w:right w:type="dxa" w:w="120"/>
            </w:tcMar>
            <w:vAlign w:val="center"/>
          </w:tcPr>
          <w:p>
            <w:r>
              <w:rPr>
                <w:rFonts w:ascii="Calibri" w:cs="Calibri" w:eastAsia="Calibri" w:hAnsi="Calibri"/>
                <w:b/>
                <w:bCs/>
                <w:color w:val="2B2B28"/>
                <w:sz w:val="20"/>
                <w:szCs w:val="20"/>
              </w:rPr>
              <w:t xml:space="preserve">6</w:t>
            </w:r>
          </w:p>
        </w:tc>
        <w:tc>
          <w:tcPr>
            <w:tcW w:type="dxa" w:w="3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Tests &amp; finalisation</w:t>
            </w:r>
          </w:p>
        </w:tc>
        <w:tc>
          <w:tcPr>
            <w:tcW w:type="dxa" w:w="4400"/>
            <w:shd w:fill="FFFFFF" w:val="clear"/>
            <w:tcMar>
              <w:top w:type="dxa" w:w="90"/>
              <w:left w:type="dxa" w:w="120"/>
              <w:bottom w:type="dxa" w:w="90"/>
              <w:right w:type="dxa" w:w="120"/>
            </w:tcMar>
            <w:vAlign w:val="center"/>
          </w:tcPr>
          <w:p>
            <w:r>
              <w:rPr>
                <w:rFonts w:ascii="Calibri" w:cs="Calibri" w:eastAsia="Calibri" w:hAnsi="Calibri"/>
                <w:b w:val="false"/>
                <w:bCs w:val="false"/>
                <w:color w:val="2B2B28"/>
                <w:sz w:val="20"/>
                <w:szCs w:val="20"/>
              </w:rPr>
              <w:t xml:space="preserve">Application livrée + documentation</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6"/>
        <w:sz w:val="16"/>
        <w:szCs w:val="16"/>
      </w:rPr>
      <w:t xml:space="preserve">Page </w:t>
    </w:r>
    <w:r>
      <w:rPr>
        <w:rFonts w:ascii="Calibri" w:cs="Calibri" w:eastAsia="Calibri" w:hAnsi="Calibri"/>
        <w:color w:val="6B6B66"/>
        <w:sz w:val="16"/>
        <w:szCs w:val="16"/>
      </w:rPr>
      <w:fldChar w:fldCharType="begin"/>
      <w:instrText xml:space="preserve">PAGE</w:instrText>
      <w:fldChar w:fldCharType="separate"/>
      <w:fldChar w:fldCharType="end"/>
    </w:r>
    <w:r>
      <w:rPr>
        <w:rFonts w:ascii="Calibri" w:cs="Calibri" w:eastAsia="Calibri" w:hAnsi="Calibri"/>
        <w:color w:val="6B6B66"/>
        <w:sz w:val="16"/>
        <w:szCs w:val="16"/>
      </w:rPr>
      <w:t xml:space="preserve"> / </w:t>
    </w:r>
    <w:r>
      <w:rPr>
        <w:rFonts w:ascii="Calibri" w:cs="Calibri" w:eastAsia="Calibri" w:hAnsi="Calibri"/>
        <w:color w:val="6B6B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99A" w:sz="6" w:space="4"/>
      </w:pBdr>
      <w:jc w:val="right"/>
    </w:pPr>
    <w:r>
      <w:rPr>
        <w:rFonts w:ascii="Calibri" w:cs="Calibri" w:eastAsia="Calibri" w:hAnsi="Calibri"/>
        <w:color w:val="6B6B66"/>
        <w:sz w:val="16"/>
        <w:szCs w:val="16"/>
      </w:rPr>
      <w:t xml:space="preserve">PlanTracker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2026-09-22T18:59:48.723Z</dcterms:created>
  <dcterms:modified xsi:type="dcterms:W3CDTF">2026-09-22T18:59:48.723Z</dcterms:modified>
</cp:coreProperties>
</file>

<file path=docProps/custom.xml><?xml version="1.0" encoding="utf-8"?>
<Properties xmlns="http://schemas.openxmlformats.org/officeDocument/2006/custom-properties" xmlns:vt="http://schemas.openxmlformats.org/officeDocument/2006/docPropsVTypes"/>
</file>