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7575"/>
      </w:tblGrid>
      <w:tr w:rsidR="00AC4F8F" w14:paraId="5251B53C" w14:textId="77777777" w:rsidTr="00AC4F8F">
        <w:tc>
          <w:tcPr>
            <w:tcW w:w="1435" w:type="dxa"/>
          </w:tcPr>
          <w:p w14:paraId="725AACD6" w14:textId="77777777" w:rsidR="00AC4F8F" w:rsidRDefault="00AC4F8F">
            <w:r>
              <w:t>Help 1</w:t>
            </w:r>
          </w:p>
        </w:tc>
        <w:tc>
          <w:tcPr>
            <w:tcW w:w="7575" w:type="dxa"/>
          </w:tcPr>
          <w:p w14:paraId="1BA59511" w14:textId="77777777" w:rsidR="00823F87" w:rsidRPr="00BD2612" w:rsidRDefault="00823F87" w:rsidP="00823F87">
            <w:pPr>
              <w:pStyle w:val="Heading2"/>
              <w:spacing w:line="276" w:lineRule="auto"/>
            </w:pPr>
            <w:r>
              <w:t xml:space="preserve">Guidance </w:t>
            </w:r>
          </w:p>
          <w:p w14:paraId="3A546273" w14:textId="77777777" w:rsidR="00AC4F8F" w:rsidRDefault="00AC4F8F" w:rsidP="00823F87">
            <w:r>
              <w:rPr>
                <w:rFonts w:ascii="Open Sans" w:hAnsi="Open Sans" w:cs="Open Sans"/>
                <w:sz w:val="20"/>
                <w:szCs w:val="20"/>
              </w:rPr>
              <w:t>Anterior segment starts from the mesial anatomical contact point of the canine on one side to the mesial anatomical contact point of the canine on the opposite side.</w:t>
            </w:r>
          </w:p>
        </w:tc>
      </w:tr>
      <w:tr w:rsidR="00AC4F8F" w14:paraId="3D226A6D" w14:textId="77777777" w:rsidTr="00AC4F8F">
        <w:tc>
          <w:tcPr>
            <w:tcW w:w="1435" w:type="dxa"/>
          </w:tcPr>
          <w:p w14:paraId="23A2A85F" w14:textId="77777777" w:rsidR="00AC4F8F" w:rsidRDefault="00AC4F8F">
            <w:r w:rsidRPr="00B81DE6">
              <w:t xml:space="preserve">Help </w:t>
            </w:r>
            <w:r>
              <w:t>2</w:t>
            </w:r>
          </w:p>
        </w:tc>
        <w:tc>
          <w:tcPr>
            <w:tcW w:w="7575" w:type="dxa"/>
          </w:tcPr>
          <w:p w14:paraId="32221BBB" w14:textId="77777777" w:rsidR="00823F87" w:rsidRPr="00BD2612" w:rsidRDefault="00823F87" w:rsidP="00823F87">
            <w:pPr>
              <w:pStyle w:val="Heading2"/>
              <w:spacing w:line="276" w:lineRule="auto"/>
            </w:pPr>
            <w:r>
              <w:t xml:space="preserve">Guidance </w:t>
            </w:r>
          </w:p>
          <w:p w14:paraId="618E98E4" w14:textId="77777777" w:rsidR="00823F87" w:rsidRPr="00BD2612" w:rsidRDefault="00823F87" w:rsidP="00823F87">
            <w:pPr>
              <w:numPr>
                <w:ilvl w:val="1"/>
                <w:numId w:val="1"/>
              </w:numPr>
              <w:spacing w:line="276" w:lineRule="auto"/>
              <w:ind w:left="0" w:firstLine="0"/>
              <w:jc w:val="both"/>
              <w:rPr>
                <w:rFonts w:cs="Times New Roman"/>
                <w:color w:val="000000" w:themeColor="text1"/>
              </w:rPr>
            </w:pPr>
            <w:r w:rsidRPr="00BD2612">
              <w:rPr>
                <w:rFonts w:cs="Times New Roman"/>
                <w:color w:val="000000" w:themeColor="text1"/>
              </w:rPr>
              <w:t>The features</w:t>
            </w:r>
            <w:r>
              <w:rPr>
                <w:rFonts w:cs="Times New Roman"/>
                <w:color w:val="000000" w:themeColor="text1"/>
              </w:rPr>
              <w:t xml:space="preserve"> recorded are crowding, spacing</w:t>
            </w:r>
            <w:r w:rsidRPr="00BD2612">
              <w:rPr>
                <w:rFonts w:cs="Times New Roman"/>
                <w:color w:val="000000" w:themeColor="text1"/>
              </w:rPr>
              <w:t xml:space="preserve"> and impacted teeth.</w:t>
            </w:r>
          </w:p>
          <w:p w14:paraId="368C595E" w14:textId="77777777" w:rsidR="00823F87" w:rsidRPr="00BD2612" w:rsidRDefault="00823F87" w:rsidP="00823F87">
            <w:pPr>
              <w:numPr>
                <w:ilvl w:val="1"/>
                <w:numId w:val="1"/>
              </w:numPr>
              <w:spacing w:line="276" w:lineRule="auto"/>
              <w:ind w:left="0" w:firstLine="0"/>
              <w:jc w:val="both"/>
              <w:rPr>
                <w:rFonts w:cs="Times New Roman"/>
                <w:color w:val="000000" w:themeColor="text1"/>
              </w:rPr>
            </w:pPr>
            <w:r w:rsidRPr="00BD2612">
              <w:rPr>
                <w:rFonts w:cs="Times New Roman"/>
                <w:color w:val="000000" w:themeColor="text1"/>
              </w:rPr>
              <w:t>Displacements are recorded at the shortest dis</w:t>
            </w:r>
            <w:r>
              <w:rPr>
                <w:rFonts w:cs="Times New Roman"/>
                <w:color w:val="000000" w:themeColor="text1"/>
              </w:rPr>
              <w:t>tance between contact points mesial to canines and</w:t>
            </w:r>
            <w:r w:rsidRPr="00BD2612">
              <w:rPr>
                <w:rFonts w:cs="Times New Roman"/>
                <w:color w:val="000000" w:themeColor="text1"/>
              </w:rPr>
              <w:t xml:space="preserve"> parallel to the occlusal plane. </w:t>
            </w:r>
          </w:p>
          <w:p w14:paraId="414D2C43" w14:textId="77777777" w:rsidR="00823F87" w:rsidRPr="00821871" w:rsidRDefault="00823F87" w:rsidP="00823F87">
            <w:pPr>
              <w:numPr>
                <w:ilvl w:val="1"/>
                <w:numId w:val="1"/>
              </w:numPr>
              <w:tabs>
                <w:tab w:val="num" w:pos="1440"/>
              </w:tabs>
              <w:spacing w:line="276" w:lineRule="auto"/>
              <w:ind w:left="0" w:firstLine="0"/>
              <w:jc w:val="both"/>
              <w:rPr>
                <w:rFonts w:cs="Times New Roman"/>
                <w:color w:val="000000" w:themeColor="text1"/>
              </w:rPr>
            </w:pPr>
            <w:r w:rsidRPr="00BD2612">
              <w:rPr>
                <w:rFonts w:cs="Times New Roman"/>
                <w:color w:val="000000" w:themeColor="text1"/>
              </w:rPr>
              <w:t xml:space="preserve">In case of potential crowding in the mixed dentition, average </w:t>
            </w:r>
            <w:proofErr w:type="spellStart"/>
            <w:r w:rsidRPr="00BD2612">
              <w:rPr>
                <w:rFonts w:cs="Times New Roman"/>
                <w:color w:val="000000" w:themeColor="text1"/>
              </w:rPr>
              <w:t>mesio</w:t>
            </w:r>
            <w:proofErr w:type="spellEnd"/>
            <w:r w:rsidRPr="00BD2612">
              <w:rPr>
                <w:rFonts w:cs="Times New Roman"/>
                <w:color w:val="000000" w:themeColor="text1"/>
              </w:rPr>
              <w:t xml:space="preserve">-distal widths are used to calculate the space deficiency. </w:t>
            </w:r>
            <w:r w:rsidRPr="00821871">
              <w:rPr>
                <w:rFonts w:cs="Times New Roman"/>
                <w:color w:val="000000" w:themeColor="text1"/>
              </w:rPr>
              <w:t>Impacted teeth are recorded when the space available for the tooth is equal or less than 4 mm.</w:t>
            </w:r>
          </w:p>
          <w:p w14:paraId="48A7DA42" w14:textId="77777777" w:rsidR="00823F87" w:rsidRPr="00BD2612" w:rsidRDefault="00823F87" w:rsidP="00823F87">
            <w:pPr>
              <w:numPr>
                <w:ilvl w:val="1"/>
                <w:numId w:val="1"/>
              </w:numPr>
              <w:spacing w:line="276" w:lineRule="auto"/>
              <w:ind w:left="0" w:firstLine="0"/>
              <w:jc w:val="both"/>
              <w:rPr>
                <w:rFonts w:cs="Times New Roman"/>
                <w:color w:val="000000" w:themeColor="text1"/>
              </w:rPr>
            </w:pPr>
            <w:r w:rsidRPr="00BD2612">
              <w:rPr>
                <w:rFonts w:cs="Times New Roman"/>
                <w:color w:val="000000" w:themeColor="text1"/>
              </w:rPr>
              <w:t>Displaced contact points due to poor restoration are not recorded and the same for contact points between deciduous teeth.</w:t>
            </w:r>
          </w:p>
          <w:p w14:paraId="6A6D0099" w14:textId="77777777" w:rsidR="00823F87" w:rsidRDefault="00823F87" w:rsidP="00823F87">
            <w:pPr>
              <w:numPr>
                <w:ilvl w:val="1"/>
                <w:numId w:val="1"/>
              </w:numPr>
              <w:spacing w:line="276" w:lineRule="auto"/>
              <w:ind w:left="0" w:firstLine="0"/>
              <w:jc w:val="both"/>
              <w:rPr>
                <w:rFonts w:cs="Times New Roman"/>
                <w:color w:val="000000" w:themeColor="text1"/>
              </w:rPr>
            </w:pPr>
            <w:r w:rsidRPr="00BD2612">
              <w:rPr>
                <w:rFonts w:cs="Times New Roman"/>
                <w:color w:val="000000" w:themeColor="text1"/>
              </w:rPr>
              <w:t>Orthodontic extraction spaces are not recorded</w:t>
            </w:r>
            <w:r>
              <w:rPr>
                <w:rFonts w:cs="Times New Roman"/>
                <w:color w:val="000000" w:themeColor="text1"/>
              </w:rPr>
              <w:t>.</w:t>
            </w:r>
          </w:p>
          <w:p w14:paraId="72BCD9A0" w14:textId="77777777" w:rsidR="00823F87" w:rsidRPr="00821871" w:rsidRDefault="00823F87" w:rsidP="00823F87">
            <w:pPr>
              <w:numPr>
                <w:ilvl w:val="1"/>
                <w:numId w:val="1"/>
              </w:numPr>
              <w:spacing w:line="276" w:lineRule="auto"/>
              <w:ind w:left="0" w:firstLine="0"/>
              <w:jc w:val="both"/>
              <w:rPr>
                <w:rFonts w:cs="Times New Roman"/>
                <w:color w:val="000000" w:themeColor="text1"/>
              </w:rPr>
            </w:pPr>
            <w:proofErr w:type="spellStart"/>
            <w:r w:rsidRPr="00821871">
              <w:rPr>
                <w:rFonts w:eastAsia="Times New Roman" w:cs="Times New Roman"/>
                <w:color w:val="000000" w:themeColor="text1"/>
              </w:rPr>
              <w:t>Spacing</w:t>
            </w:r>
            <w:r>
              <w:rPr>
                <w:rFonts w:eastAsia="Times New Roman" w:cs="Times New Roman"/>
                <w:color w:val="000000" w:themeColor="text1"/>
              </w:rPr>
              <w:t>s</w:t>
            </w:r>
            <w:proofErr w:type="spellEnd"/>
            <w:r w:rsidRPr="00821871">
              <w:rPr>
                <w:rFonts w:eastAsia="Times New Roman" w:cs="Times New Roman"/>
                <w:color w:val="000000" w:themeColor="text1"/>
              </w:rPr>
              <w:t xml:space="preserve"> in the anterior segment resulting from extraction, agenesis or avulsion of incisors or </w:t>
            </w:r>
            <w:r>
              <w:rPr>
                <w:rFonts w:eastAsia="Times New Roman" w:cs="Times New Roman"/>
                <w:color w:val="000000" w:themeColor="text1"/>
              </w:rPr>
              <w:t>canines</w:t>
            </w:r>
            <w:r w:rsidRPr="00821871">
              <w:rPr>
                <w:rFonts w:eastAsia="Times New Roman" w:cs="Times New Roman"/>
                <w:color w:val="000000" w:themeColor="text1"/>
              </w:rPr>
              <w:t xml:space="preserve"> </w:t>
            </w:r>
            <w:r>
              <w:rPr>
                <w:rFonts w:eastAsia="Times New Roman" w:cs="Times New Roman"/>
                <w:color w:val="000000" w:themeColor="text1"/>
              </w:rPr>
              <w:t>are</w:t>
            </w:r>
            <w:r w:rsidRPr="00821871">
              <w:rPr>
                <w:rFonts w:eastAsia="Times New Roman" w:cs="Times New Roman"/>
                <w:color w:val="000000" w:themeColor="text1"/>
              </w:rPr>
              <w:t xml:space="preserve"> recorded </w:t>
            </w:r>
            <w:r>
              <w:rPr>
                <w:rFonts w:eastAsia="Times New Roman" w:cs="Times New Roman"/>
                <w:color w:val="000000" w:themeColor="text1"/>
              </w:rPr>
              <w:t>only if</w:t>
            </w:r>
            <w:r w:rsidRPr="00821871">
              <w:rPr>
                <w:rFonts w:eastAsia="Times New Roman" w:cs="Times New Roman"/>
                <w:color w:val="000000" w:themeColor="text1"/>
              </w:rPr>
              <w:t>:</w:t>
            </w:r>
          </w:p>
          <w:p w14:paraId="51F5CC7B" w14:textId="77777777" w:rsidR="00823F87" w:rsidRPr="00821871" w:rsidRDefault="00823F87" w:rsidP="00823F87">
            <w:pPr>
              <w:pStyle w:val="ListParagraph"/>
              <w:numPr>
                <w:ilvl w:val="0"/>
                <w:numId w:val="2"/>
              </w:numPr>
              <w:autoSpaceDE w:val="0"/>
              <w:autoSpaceDN w:val="0"/>
              <w:adjustRightInd w:val="0"/>
              <w:snapToGrid w:val="0"/>
              <w:spacing w:after="0"/>
              <w:ind w:left="0" w:firstLine="0"/>
              <w:jc w:val="both"/>
              <w:rPr>
                <w:rFonts w:eastAsia="Times New Roman" w:cs="Times New Roman"/>
                <w:color w:val="000000" w:themeColor="text1"/>
                <w:sz w:val="24"/>
                <w:szCs w:val="24"/>
              </w:rPr>
            </w:pPr>
            <w:r w:rsidRPr="00821871">
              <w:rPr>
                <w:rFonts w:eastAsia="Times New Roman" w:cs="Times New Roman"/>
                <w:color w:val="000000" w:themeColor="text1"/>
                <w:sz w:val="24"/>
                <w:szCs w:val="24"/>
              </w:rPr>
              <w:t>The treatment planning is to close spaces, or</w:t>
            </w:r>
          </w:p>
          <w:p w14:paraId="5DB2602D" w14:textId="77777777" w:rsidR="00823F87" w:rsidRPr="00821871" w:rsidRDefault="00823F87" w:rsidP="00823F87">
            <w:pPr>
              <w:pStyle w:val="ListParagraph"/>
              <w:numPr>
                <w:ilvl w:val="0"/>
                <w:numId w:val="2"/>
              </w:numPr>
              <w:tabs>
                <w:tab w:val="num" w:pos="567"/>
              </w:tabs>
              <w:autoSpaceDE w:val="0"/>
              <w:autoSpaceDN w:val="0"/>
              <w:adjustRightInd w:val="0"/>
              <w:snapToGrid w:val="0"/>
              <w:spacing w:after="0"/>
              <w:ind w:left="0" w:firstLine="0"/>
              <w:jc w:val="both"/>
              <w:rPr>
                <w:rFonts w:eastAsia="Times New Roman" w:cs="Times New Roman"/>
                <w:color w:val="000000" w:themeColor="text1"/>
                <w:sz w:val="24"/>
                <w:szCs w:val="24"/>
              </w:rPr>
            </w:pPr>
            <w:r w:rsidRPr="00821871">
              <w:rPr>
                <w:rFonts w:eastAsia="Times New Roman" w:cs="Times New Roman"/>
                <w:color w:val="000000" w:themeColor="text1"/>
                <w:sz w:val="24"/>
                <w:szCs w:val="24"/>
              </w:rPr>
              <w:t>The treatment planning is to open and restore spaces unless the available spaces are less than or equal to 4 mm.</w:t>
            </w:r>
          </w:p>
          <w:p w14:paraId="1F2081DB" w14:textId="77777777" w:rsidR="00AC4F8F" w:rsidRDefault="00AC4F8F" w:rsidP="00823F87"/>
        </w:tc>
      </w:tr>
      <w:tr w:rsidR="00AC4F8F" w14:paraId="0F3E4490" w14:textId="77777777" w:rsidTr="009323AA">
        <w:trPr>
          <w:trHeight w:val="314"/>
        </w:trPr>
        <w:tc>
          <w:tcPr>
            <w:tcW w:w="1435" w:type="dxa"/>
          </w:tcPr>
          <w:p w14:paraId="6C59B674" w14:textId="77777777" w:rsidR="00AC4F8F" w:rsidRDefault="00AC4F8F">
            <w:r w:rsidRPr="00B81DE6">
              <w:t xml:space="preserve">Help </w:t>
            </w:r>
            <w:r>
              <w:t>3</w:t>
            </w:r>
          </w:p>
        </w:tc>
        <w:tc>
          <w:tcPr>
            <w:tcW w:w="7575" w:type="dxa"/>
          </w:tcPr>
          <w:p w14:paraId="48B97EB2" w14:textId="77777777" w:rsidR="00AC4F8F" w:rsidRDefault="00E011AF" w:rsidP="00823F87">
            <w:r w:rsidRPr="009323AA">
              <w:t>Amount of contact points displacement is 0 mm – 1mm</w:t>
            </w:r>
          </w:p>
        </w:tc>
      </w:tr>
      <w:tr w:rsidR="00E011AF" w14:paraId="0AE34CA1" w14:textId="77777777" w:rsidTr="00AC4F8F">
        <w:tc>
          <w:tcPr>
            <w:tcW w:w="1435" w:type="dxa"/>
          </w:tcPr>
          <w:p w14:paraId="62D9103E" w14:textId="77777777" w:rsidR="00E011AF" w:rsidRDefault="00E011AF">
            <w:r w:rsidRPr="00B81DE6">
              <w:t xml:space="preserve">Help </w:t>
            </w:r>
            <w:r>
              <w:t>4</w:t>
            </w:r>
          </w:p>
        </w:tc>
        <w:tc>
          <w:tcPr>
            <w:tcW w:w="7575" w:type="dxa"/>
          </w:tcPr>
          <w:p w14:paraId="3C5102C0" w14:textId="77777777" w:rsidR="00E011AF" w:rsidRDefault="00E011AF">
            <w:r w:rsidRPr="00E011AF">
              <w:t>Amount of contact points displacement is 1.1 mm – 2mm</w:t>
            </w:r>
          </w:p>
        </w:tc>
      </w:tr>
      <w:tr w:rsidR="00E011AF" w14:paraId="5B7EC078" w14:textId="77777777" w:rsidTr="00AC4F8F">
        <w:tc>
          <w:tcPr>
            <w:tcW w:w="1435" w:type="dxa"/>
          </w:tcPr>
          <w:p w14:paraId="4CFF7DE6" w14:textId="77777777" w:rsidR="00E011AF" w:rsidRDefault="00E011AF">
            <w:r w:rsidRPr="00B81DE6">
              <w:t xml:space="preserve">Help </w:t>
            </w:r>
            <w:r>
              <w:t>5</w:t>
            </w:r>
          </w:p>
        </w:tc>
        <w:tc>
          <w:tcPr>
            <w:tcW w:w="7575" w:type="dxa"/>
          </w:tcPr>
          <w:p w14:paraId="008DD05A" w14:textId="77777777" w:rsidR="00E011AF" w:rsidRDefault="00E011AF">
            <w:r w:rsidRPr="00E011AF">
              <w:t>Amount of contact points displacement is 2.1 mm – 4mm</w:t>
            </w:r>
          </w:p>
        </w:tc>
      </w:tr>
      <w:tr w:rsidR="00E011AF" w14:paraId="28F6697C" w14:textId="77777777" w:rsidTr="00AC4F8F">
        <w:tc>
          <w:tcPr>
            <w:tcW w:w="1435" w:type="dxa"/>
          </w:tcPr>
          <w:p w14:paraId="28AAA924" w14:textId="77777777" w:rsidR="00E011AF" w:rsidRDefault="00E011AF">
            <w:r w:rsidRPr="00B81DE6">
              <w:t xml:space="preserve">Help </w:t>
            </w:r>
            <w:r>
              <w:t>6</w:t>
            </w:r>
          </w:p>
        </w:tc>
        <w:tc>
          <w:tcPr>
            <w:tcW w:w="7575" w:type="dxa"/>
          </w:tcPr>
          <w:p w14:paraId="36279E73" w14:textId="77777777" w:rsidR="00E011AF" w:rsidRDefault="00E011AF">
            <w:r w:rsidRPr="00E011AF">
              <w:t>Amount of contact points displacement is 4.1 mm- 8mm</w:t>
            </w:r>
          </w:p>
        </w:tc>
      </w:tr>
      <w:tr w:rsidR="00E011AF" w14:paraId="60A7449D" w14:textId="77777777" w:rsidTr="00AC4F8F">
        <w:tc>
          <w:tcPr>
            <w:tcW w:w="1435" w:type="dxa"/>
          </w:tcPr>
          <w:p w14:paraId="10398D5F" w14:textId="77777777" w:rsidR="00E011AF" w:rsidRDefault="00E011AF">
            <w:r w:rsidRPr="00B81DE6">
              <w:t xml:space="preserve">Help </w:t>
            </w:r>
            <w:r>
              <w:t>7</w:t>
            </w:r>
          </w:p>
        </w:tc>
        <w:tc>
          <w:tcPr>
            <w:tcW w:w="7575" w:type="dxa"/>
          </w:tcPr>
          <w:p w14:paraId="0AF12864" w14:textId="77777777" w:rsidR="00E011AF" w:rsidRDefault="00E011AF">
            <w:r w:rsidRPr="00E011AF">
              <w:t>Amount of contact points displacement is greater than 8mm</w:t>
            </w:r>
          </w:p>
        </w:tc>
      </w:tr>
      <w:tr w:rsidR="00AC4F8F" w14:paraId="37CDD54C" w14:textId="77777777" w:rsidTr="00E32955">
        <w:tc>
          <w:tcPr>
            <w:tcW w:w="1435" w:type="dxa"/>
          </w:tcPr>
          <w:p w14:paraId="0C003566" w14:textId="77777777" w:rsidR="00AC4F8F" w:rsidRDefault="00AC4F8F" w:rsidP="00E32955">
            <w:r w:rsidRPr="00B81DE6">
              <w:t xml:space="preserve">Help </w:t>
            </w:r>
            <w:r>
              <w:t>8</w:t>
            </w:r>
          </w:p>
        </w:tc>
        <w:tc>
          <w:tcPr>
            <w:tcW w:w="7575" w:type="dxa"/>
          </w:tcPr>
          <w:p w14:paraId="7F0D2EEA" w14:textId="77777777" w:rsidR="00AC4F8F" w:rsidRDefault="00E011AF" w:rsidP="00E011AF">
            <w:r w:rsidRPr="00E011AF">
              <w:t>Presence of impacted teeth</w:t>
            </w:r>
          </w:p>
        </w:tc>
      </w:tr>
      <w:tr w:rsidR="00AC4F8F" w14:paraId="44A79FD1" w14:textId="77777777" w:rsidTr="00E32955">
        <w:tc>
          <w:tcPr>
            <w:tcW w:w="1435" w:type="dxa"/>
          </w:tcPr>
          <w:p w14:paraId="6E7C9C0C" w14:textId="77777777" w:rsidR="00AC4F8F" w:rsidRDefault="00AC4F8F" w:rsidP="00E32955">
            <w:r w:rsidRPr="00B81DE6">
              <w:t xml:space="preserve">Help </w:t>
            </w:r>
            <w:r>
              <w:t>9</w:t>
            </w:r>
          </w:p>
        </w:tc>
        <w:tc>
          <w:tcPr>
            <w:tcW w:w="7575" w:type="dxa"/>
          </w:tcPr>
          <w:p w14:paraId="08C459C5" w14:textId="73449D33" w:rsidR="00FA3137" w:rsidRDefault="00FA3137" w:rsidP="00FA3137">
            <w:pPr>
              <w:jc w:val="both"/>
              <w:rPr>
                <w:color w:val="000000" w:themeColor="text1"/>
              </w:rPr>
            </w:pPr>
            <w:r>
              <w:rPr>
                <w:color w:val="000000" w:themeColor="text1"/>
              </w:rPr>
              <w:t xml:space="preserve">This condition applies only if the canine in unerupted regardless if the premolars are missing or present (Mid or late mixed dentition). You need to measure the distance from the distal contact point of the permanent lateral incisor to the mesial contact point of the first permanent molar, which represents the space available. Assuming that the total </w:t>
            </w:r>
            <w:proofErr w:type="spellStart"/>
            <w:r>
              <w:rPr>
                <w:color w:val="000000" w:themeColor="text1"/>
              </w:rPr>
              <w:t>mesio</w:t>
            </w:r>
            <w:proofErr w:type="spellEnd"/>
            <w:r>
              <w:rPr>
                <w:color w:val="000000" w:themeColor="text1"/>
              </w:rPr>
              <w:t xml:space="preserve">-distal dimensions of the permanent canine, first and second premolars </w:t>
            </w:r>
            <w:r w:rsidR="00AF0ABF">
              <w:rPr>
                <w:color w:val="000000" w:themeColor="text1"/>
              </w:rPr>
              <w:t>is 21mm and 22mm in the upper and lower arches respectively</w:t>
            </w:r>
            <w:r>
              <w:rPr>
                <w:color w:val="000000" w:themeColor="text1"/>
              </w:rPr>
              <w:t xml:space="preserve">. Therefore, if the space available is more than 18, then this domain should be scored (0) as there is a low chance for impaction and space for the erupting canine might be gained secondary to normal growth changes. </w:t>
            </w:r>
          </w:p>
          <w:p w14:paraId="3D7B7797" w14:textId="77777777" w:rsidR="00AC4F8F" w:rsidRDefault="00AC4F8F" w:rsidP="00823F87"/>
        </w:tc>
      </w:tr>
      <w:tr w:rsidR="00AC4F8F" w14:paraId="0A115CF3" w14:textId="77777777" w:rsidTr="00E32955">
        <w:tc>
          <w:tcPr>
            <w:tcW w:w="1435" w:type="dxa"/>
          </w:tcPr>
          <w:p w14:paraId="6DAAE519" w14:textId="77777777" w:rsidR="00AC4F8F" w:rsidRDefault="00AC4F8F" w:rsidP="00E32955">
            <w:r w:rsidRPr="00B81DE6">
              <w:t xml:space="preserve">Help </w:t>
            </w:r>
            <w:r>
              <w:t>10</w:t>
            </w:r>
          </w:p>
        </w:tc>
        <w:tc>
          <w:tcPr>
            <w:tcW w:w="7575" w:type="dxa"/>
          </w:tcPr>
          <w:p w14:paraId="5023D78F" w14:textId="6FB59FF0" w:rsidR="00AC4F8F" w:rsidRPr="00AF0ABF" w:rsidRDefault="00BB16F5" w:rsidP="00AF0ABF">
            <w:pPr>
              <w:jc w:val="both"/>
              <w:rPr>
                <w:color w:val="000000" w:themeColor="text1"/>
              </w:rPr>
            </w:pPr>
            <w:r>
              <w:rPr>
                <w:color w:val="000000" w:themeColor="text1"/>
              </w:rPr>
              <w:t xml:space="preserve">This condition applies only if the canine in unerupted regardless if the premolars are missing or present (Mid or late mixed dentition). You need to measure the distance from the distal contact point of the permanent lateral incisor to the mesial contact point of the first permanent molar, which represents the space available. Assuming that the total </w:t>
            </w:r>
            <w:proofErr w:type="spellStart"/>
            <w:r>
              <w:rPr>
                <w:color w:val="000000" w:themeColor="text1"/>
              </w:rPr>
              <w:t>mesio</w:t>
            </w:r>
            <w:proofErr w:type="spellEnd"/>
            <w:r>
              <w:rPr>
                <w:color w:val="000000" w:themeColor="text1"/>
              </w:rPr>
              <w:t xml:space="preserve">-distal dimensions of the permanent canine, first and second premolars is </w:t>
            </w:r>
            <w:r w:rsidR="00AF0ABF">
              <w:rPr>
                <w:color w:val="000000" w:themeColor="text1"/>
              </w:rPr>
              <w:t xml:space="preserve">21mm and </w:t>
            </w:r>
            <w:r>
              <w:rPr>
                <w:color w:val="000000" w:themeColor="text1"/>
              </w:rPr>
              <w:t>22mm</w:t>
            </w:r>
            <w:r w:rsidR="00AF0ABF">
              <w:rPr>
                <w:color w:val="000000" w:themeColor="text1"/>
              </w:rPr>
              <w:t xml:space="preserve"> in the upper and lower arches respectively</w:t>
            </w:r>
            <w:r>
              <w:rPr>
                <w:color w:val="000000" w:themeColor="text1"/>
              </w:rPr>
              <w:t xml:space="preserve">. Therefore, if the </w:t>
            </w:r>
            <w:r>
              <w:rPr>
                <w:color w:val="000000" w:themeColor="text1"/>
              </w:rPr>
              <w:lastRenderedPageBreak/>
              <w:t xml:space="preserve">space available is equal or less than 18, then this domain should be scored (5) as there is a high chance for impaction. </w:t>
            </w:r>
          </w:p>
        </w:tc>
      </w:tr>
      <w:tr w:rsidR="00AC4F8F" w14:paraId="00EF89BC" w14:textId="77777777" w:rsidTr="00E32955">
        <w:tc>
          <w:tcPr>
            <w:tcW w:w="1435" w:type="dxa"/>
          </w:tcPr>
          <w:p w14:paraId="57277B24" w14:textId="77777777" w:rsidR="00AC4F8F" w:rsidRDefault="00AC4F8F" w:rsidP="00E32955">
            <w:r w:rsidRPr="00B81DE6">
              <w:lastRenderedPageBreak/>
              <w:t xml:space="preserve">Help </w:t>
            </w:r>
            <w:r>
              <w:t>11</w:t>
            </w:r>
          </w:p>
        </w:tc>
        <w:tc>
          <w:tcPr>
            <w:tcW w:w="7575" w:type="dxa"/>
          </w:tcPr>
          <w:p w14:paraId="05E6FBE0" w14:textId="77777777" w:rsidR="00944CD8" w:rsidRPr="00AC13C1" w:rsidRDefault="00944CD8" w:rsidP="00944CD8">
            <w:pPr>
              <w:pStyle w:val="ListParagraph"/>
              <w:numPr>
                <w:ilvl w:val="0"/>
                <w:numId w:val="4"/>
              </w:numPr>
              <w:spacing w:after="0"/>
              <w:jc w:val="both"/>
              <w:rPr>
                <w:rFonts w:cs="Times New Roman"/>
                <w:color w:val="000000" w:themeColor="text1"/>
                <w:sz w:val="24"/>
                <w:szCs w:val="24"/>
              </w:rPr>
            </w:pPr>
            <w:r w:rsidRPr="00AC13C1">
              <w:rPr>
                <w:rFonts w:cs="Times New Roman"/>
                <w:color w:val="000000" w:themeColor="text1"/>
                <w:sz w:val="24"/>
                <w:szCs w:val="24"/>
              </w:rPr>
              <w:t>Buccal segments start from the mesial anatomical contact point of the first permanent molar to the distal anatomical contact point of the permanent or primary canines.</w:t>
            </w:r>
          </w:p>
          <w:p w14:paraId="095984DD" w14:textId="77777777" w:rsidR="00944CD8" w:rsidRDefault="00944CD8" w:rsidP="00944CD8">
            <w:pPr>
              <w:pStyle w:val="ListParagraph"/>
              <w:numPr>
                <w:ilvl w:val="0"/>
                <w:numId w:val="4"/>
              </w:numPr>
              <w:spacing w:after="0"/>
              <w:jc w:val="both"/>
              <w:rPr>
                <w:rFonts w:cs="Times New Roman"/>
                <w:color w:val="000000" w:themeColor="text1"/>
                <w:sz w:val="24"/>
                <w:szCs w:val="24"/>
              </w:rPr>
            </w:pPr>
            <w:r>
              <w:rPr>
                <w:rFonts w:cs="Times New Roman"/>
                <w:color w:val="000000" w:themeColor="text1"/>
                <w:sz w:val="24"/>
                <w:szCs w:val="24"/>
              </w:rPr>
              <w:t xml:space="preserve">If first </w:t>
            </w:r>
            <w:r w:rsidRPr="00AC13C1">
              <w:rPr>
                <w:rFonts w:cs="Times New Roman"/>
                <w:color w:val="000000" w:themeColor="text1"/>
                <w:sz w:val="24"/>
                <w:szCs w:val="24"/>
              </w:rPr>
              <w:t>permanent molar</w:t>
            </w:r>
            <w:r w:rsidRPr="00BD2612">
              <w:rPr>
                <w:rFonts w:cs="Times New Roman"/>
                <w:color w:val="000000" w:themeColor="text1"/>
                <w:sz w:val="24"/>
                <w:szCs w:val="24"/>
              </w:rPr>
              <w:t xml:space="preserve"> </w:t>
            </w:r>
            <w:r>
              <w:rPr>
                <w:rFonts w:cs="Times New Roman"/>
                <w:color w:val="000000" w:themeColor="text1"/>
                <w:sz w:val="24"/>
                <w:szCs w:val="24"/>
              </w:rPr>
              <w:t>is missing, then the</w:t>
            </w:r>
            <w:r w:rsidRPr="00BD2612">
              <w:rPr>
                <w:rFonts w:cs="Times New Roman"/>
                <w:color w:val="000000" w:themeColor="text1"/>
                <w:sz w:val="24"/>
                <w:szCs w:val="24"/>
              </w:rPr>
              <w:t xml:space="preserve"> recorded zone </w:t>
            </w:r>
            <w:r>
              <w:rPr>
                <w:rFonts w:cs="Times New Roman"/>
                <w:color w:val="000000" w:themeColor="text1"/>
                <w:sz w:val="24"/>
                <w:szCs w:val="24"/>
              </w:rPr>
              <w:t xml:space="preserve">will extend to </w:t>
            </w:r>
            <w:r w:rsidRPr="00BD2612">
              <w:rPr>
                <w:rFonts w:cs="Times New Roman"/>
                <w:color w:val="000000" w:themeColor="text1"/>
                <w:sz w:val="24"/>
                <w:szCs w:val="24"/>
              </w:rPr>
              <w:t xml:space="preserve">second </w:t>
            </w:r>
            <w:r w:rsidRPr="00AC13C1">
              <w:rPr>
                <w:rFonts w:cs="Times New Roman"/>
                <w:color w:val="000000" w:themeColor="text1"/>
                <w:sz w:val="24"/>
                <w:szCs w:val="24"/>
              </w:rPr>
              <w:t xml:space="preserve">permanent </w:t>
            </w:r>
            <w:r w:rsidRPr="00BD2612">
              <w:rPr>
                <w:rFonts w:cs="Times New Roman"/>
                <w:color w:val="000000" w:themeColor="text1"/>
                <w:sz w:val="24"/>
                <w:szCs w:val="24"/>
              </w:rPr>
              <w:t xml:space="preserve">molar. </w:t>
            </w:r>
          </w:p>
          <w:p w14:paraId="4A4AC683" w14:textId="77777777" w:rsidR="00944CD8" w:rsidRPr="00AC13C1" w:rsidRDefault="00944CD8" w:rsidP="00944CD8">
            <w:pPr>
              <w:pStyle w:val="ListParagraph"/>
              <w:numPr>
                <w:ilvl w:val="0"/>
                <w:numId w:val="4"/>
              </w:numPr>
              <w:spacing w:after="0"/>
              <w:jc w:val="both"/>
              <w:rPr>
                <w:rFonts w:cs="Times New Roman"/>
                <w:color w:val="000000" w:themeColor="text1"/>
                <w:sz w:val="24"/>
                <w:szCs w:val="24"/>
              </w:rPr>
            </w:pPr>
            <w:r>
              <w:rPr>
                <w:rFonts w:cs="Times New Roman"/>
                <w:color w:val="000000" w:themeColor="text1"/>
                <w:sz w:val="24"/>
                <w:szCs w:val="24"/>
              </w:rPr>
              <w:t xml:space="preserve">If both first and second </w:t>
            </w:r>
            <w:r w:rsidRPr="00AC13C1">
              <w:rPr>
                <w:rFonts w:cs="Times New Roman"/>
                <w:color w:val="000000" w:themeColor="text1"/>
                <w:sz w:val="24"/>
                <w:szCs w:val="24"/>
              </w:rPr>
              <w:t>permanent molar</w:t>
            </w:r>
            <w:r>
              <w:rPr>
                <w:rFonts w:cs="Times New Roman"/>
                <w:color w:val="000000" w:themeColor="text1"/>
                <w:sz w:val="24"/>
                <w:szCs w:val="24"/>
              </w:rPr>
              <w:t>s</w:t>
            </w:r>
            <w:r w:rsidRPr="00BD2612">
              <w:rPr>
                <w:rFonts w:cs="Times New Roman"/>
                <w:color w:val="000000" w:themeColor="text1"/>
                <w:sz w:val="24"/>
                <w:szCs w:val="24"/>
              </w:rPr>
              <w:t xml:space="preserve"> </w:t>
            </w:r>
            <w:r>
              <w:rPr>
                <w:rFonts w:cs="Times New Roman"/>
                <w:color w:val="000000" w:themeColor="text1"/>
                <w:sz w:val="24"/>
                <w:szCs w:val="24"/>
              </w:rPr>
              <w:t>are missing, then the</w:t>
            </w:r>
            <w:r w:rsidRPr="00BD2612">
              <w:rPr>
                <w:rFonts w:cs="Times New Roman"/>
                <w:color w:val="000000" w:themeColor="text1"/>
                <w:sz w:val="24"/>
                <w:szCs w:val="24"/>
              </w:rPr>
              <w:t xml:space="preserve"> recorded zone </w:t>
            </w:r>
            <w:r>
              <w:rPr>
                <w:rFonts w:cs="Times New Roman"/>
                <w:color w:val="000000" w:themeColor="text1"/>
                <w:sz w:val="24"/>
                <w:szCs w:val="24"/>
              </w:rPr>
              <w:t>will extend to third</w:t>
            </w:r>
            <w:r w:rsidRPr="00BD2612">
              <w:rPr>
                <w:rFonts w:cs="Times New Roman"/>
                <w:color w:val="000000" w:themeColor="text1"/>
                <w:sz w:val="24"/>
                <w:szCs w:val="24"/>
              </w:rPr>
              <w:t xml:space="preserve"> </w:t>
            </w:r>
            <w:r w:rsidRPr="00AC13C1">
              <w:rPr>
                <w:rFonts w:cs="Times New Roman"/>
                <w:color w:val="000000" w:themeColor="text1"/>
                <w:sz w:val="24"/>
                <w:szCs w:val="24"/>
              </w:rPr>
              <w:t xml:space="preserve">permanent </w:t>
            </w:r>
            <w:r w:rsidRPr="00BD2612">
              <w:rPr>
                <w:rFonts w:cs="Times New Roman"/>
                <w:color w:val="000000" w:themeColor="text1"/>
                <w:sz w:val="24"/>
                <w:szCs w:val="24"/>
              </w:rPr>
              <w:t xml:space="preserve">molar. </w:t>
            </w:r>
          </w:p>
          <w:p w14:paraId="31AE5A38" w14:textId="77777777" w:rsidR="00944CD8" w:rsidRPr="00BD2612" w:rsidRDefault="00944CD8" w:rsidP="00944CD8">
            <w:pPr>
              <w:pStyle w:val="ListParagraph"/>
              <w:numPr>
                <w:ilvl w:val="0"/>
                <w:numId w:val="4"/>
              </w:numPr>
              <w:spacing w:after="0"/>
              <w:jc w:val="both"/>
              <w:rPr>
                <w:rFonts w:cs="Times New Roman"/>
                <w:color w:val="000000" w:themeColor="text1"/>
                <w:sz w:val="24"/>
                <w:szCs w:val="24"/>
              </w:rPr>
            </w:pPr>
            <w:r>
              <w:rPr>
                <w:rFonts w:cs="Times New Roman"/>
                <w:color w:val="000000" w:themeColor="text1"/>
                <w:sz w:val="24"/>
                <w:szCs w:val="24"/>
              </w:rPr>
              <w:t>R</w:t>
            </w:r>
            <w:r w:rsidRPr="00BD2612">
              <w:rPr>
                <w:rFonts w:cs="Times New Roman"/>
                <w:color w:val="000000" w:themeColor="text1"/>
                <w:sz w:val="24"/>
                <w:szCs w:val="24"/>
              </w:rPr>
              <w:t>ecorded both right and left sides i</w:t>
            </w:r>
            <w:r>
              <w:rPr>
                <w:rFonts w:cs="Times New Roman"/>
                <w:color w:val="000000" w:themeColor="text1"/>
                <w:sz w:val="24"/>
                <w:szCs w:val="24"/>
              </w:rPr>
              <w:t>n occlusion in three planes of space: anterior-posterior,</w:t>
            </w:r>
            <w:r w:rsidRPr="00BD2612">
              <w:rPr>
                <w:rFonts w:cs="Times New Roman"/>
                <w:color w:val="000000" w:themeColor="text1"/>
                <w:sz w:val="24"/>
                <w:szCs w:val="24"/>
              </w:rPr>
              <w:t xml:space="preserve"> vertical and transverse. </w:t>
            </w:r>
          </w:p>
          <w:p w14:paraId="20ABFC02" w14:textId="145DC275" w:rsidR="00AC4F8F" w:rsidRPr="00944CD8" w:rsidRDefault="00944CD8" w:rsidP="00944CD8">
            <w:pPr>
              <w:pStyle w:val="ListParagraph"/>
              <w:numPr>
                <w:ilvl w:val="0"/>
                <w:numId w:val="4"/>
              </w:numPr>
              <w:spacing w:after="0"/>
              <w:jc w:val="both"/>
              <w:rPr>
                <w:rFonts w:cs="Times New Roman"/>
                <w:color w:val="000000" w:themeColor="text1"/>
                <w:sz w:val="24"/>
                <w:szCs w:val="24"/>
              </w:rPr>
            </w:pPr>
            <w:r w:rsidRPr="00BD2612">
              <w:rPr>
                <w:rFonts w:cs="Times New Roman"/>
                <w:color w:val="000000" w:themeColor="text1"/>
                <w:sz w:val="24"/>
                <w:szCs w:val="24"/>
              </w:rPr>
              <w:t>Temporary developmental stages and submerging deciduous teeth are excluded.</w:t>
            </w:r>
          </w:p>
        </w:tc>
      </w:tr>
      <w:tr w:rsidR="00AF0ABF" w14:paraId="718CDA21" w14:textId="77777777" w:rsidTr="00E32955">
        <w:tc>
          <w:tcPr>
            <w:tcW w:w="1435" w:type="dxa"/>
          </w:tcPr>
          <w:p w14:paraId="47CFFBF1" w14:textId="77777777" w:rsidR="00AF0ABF" w:rsidRDefault="00AF0ABF" w:rsidP="00E32955">
            <w:r w:rsidRPr="00B81DE6">
              <w:t xml:space="preserve">Help </w:t>
            </w:r>
            <w:r>
              <w:t>12</w:t>
            </w:r>
          </w:p>
        </w:tc>
        <w:tc>
          <w:tcPr>
            <w:tcW w:w="7575" w:type="dxa"/>
          </w:tcPr>
          <w:p w14:paraId="110114EF" w14:textId="427ABC18" w:rsidR="00AF0ABF" w:rsidRDefault="007369BB" w:rsidP="00E32955">
            <w:r w:rsidRPr="00BD2612">
              <w:rPr>
                <w:color w:val="000000" w:themeColor="text1"/>
              </w:rPr>
              <w:t>Good interdigitation (Cl I, Cl II or Cl III)</w:t>
            </w:r>
          </w:p>
        </w:tc>
      </w:tr>
      <w:tr w:rsidR="00AF0ABF" w14:paraId="4ED2DD5D" w14:textId="77777777" w:rsidTr="007369BB">
        <w:trPr>
          <w:trHeight w:val="323"/>
        </w:trPr>
        <w:tc>
          <w:tcPr>
            <w:tcW w:w="1435" w:type="dxa"/>
          </w:tcPr>
          <w:p w14:paraId="439924DD" w14:textId="21C44EAA" w:rsidR="00AF0ABF" w:rsidRDefault="00AF0ABF" w:rsidP="00AF0ABF">
            <w:r w:rsidRPr="00B81DE6">
              <w:t xml:space="preserve">Help </w:t>
            </w:r>
            <w:r w:rsidR="007369BB">
              <w:t>13</w:t>
            </w:r>
          </w:p>
        </w:tc>
        <w:tc>
          <w:tcPr>
            <w:tcW w:w="7575" w:type="dxa"/>
          </w:tcPr>
          <w:p w14:paraId="65281C4F" w14:textId="684E33C5" w:rsidR="00AF0ABF" w:rsidRDefault="007369BB" w:rsidP="00E32955">
            <w:r w:rsidRPr="00BD2612">
              <w:rPr>
                <w:color w:val="000000" w:themeColor="text1"/>
              </w:rPr>
              <w:t>Less than ½ unit discrepancy</w:t>
            </w:r>
          </w:p>
        </w:tc>
      </w:tr>
      <w:tr w:rsidR="00AF0ABF" w14:paraId="14CE36EC" w14:textId="77777777" w:rsidTr="00E32955">
        <w:tc>
          <w:tcPr>
            <w:tcW w:w="1435" w:type="dxa"/>
          </w:tcPr>
          <w:p w14:paraId="5F528DBD" w14:textId="030AA122" w:rsidR="00AF0ABF" w:rsidRDefault="00AF0ABF" w:rsidP="00E32955">
            <w:r w:rsidRPr="00B81DE6">
              <w:t xml:space="preserve">Help </w:t>
            </w:r>
            <w:r>
              <w:t xml:space="preserve"> </w:t>
            </w:r>
            <w:r w:rsidR="007369BB">
              <w:t>14</w:t>
            </w:r>
          </w:p>
        </w:tc>
        <w:tc>
          <w:tcPr>
            <w:tcW w:w="7575" w:type="dxa"/>
          </w:tcPr>
          <w:p w14:paraId="7D1474B5" w14:textId="7CA814F0" w:rsidR="00AF0ABF" w:rsidRDefault="007369BB" w:rsidP="00E32955">
            <w:r w:rsidRPr="00BD2612">
              <w:rPr>
                <w:color w:val="000000" w:themeColor="text1"/>
              </w:rPr>
              <w:t>½ a unit discrepancy (cusp to cusp) or more</w:t>
            </w:r>
          </w:p>
        </w:tc>
      </w:tr>
      <w:tr w:rsidR="00AF0ABF" w14:paraId="12A2DDFF" w14:textId="77777777" w:rsidTr="00E32955">
        <w:tc>
          <w:tcPr>
            <w:tcW w:w="1435" w:type="dxa"/>
          </w:tcPr>
          <w:p w14:paraId="461DB641" w14:textId="3F8E2831" w:rsidR="00AF0ABF" w:rsidRDefault="00AF0ABF" w:rsidP="00E32955">
            <w:r w:rsidRPr="00B81DE6">
              <w:t xml:space="preserve">Help </w:t>
            </w:r>
            <w:r>
              <w:t xml:space="preserve"> </w:t>
            </w:r>
            <w:r w:rsidR="00ED5148">
              <w:t>15</w:t>
            </w:r>
          </w:p>
        </w:tc>
        <w:tc>
          <w:tcPr>
            <w:tcW w:w="7575" w:type="dxa"/>
          </w:tcPr>
          <w:p w14:paraId="7CE5B021" w14:textId="7C6EFBDF" w:rsidR="00AF0ABF" w:rsidRDefault="00ED5148" w:rsidP="00E32955">
            <w:r w:rsidRPr="00BD2612">
              <w:rPr>
                <w:color w:val="000000" w:themeColor="text1"/>
              </w:rPr>
              <w:t xml:space="preserve">No </w:t>
            </w:r>
            <w:r>
              <w:rPr>
                <w:color w:val="000000" w:themeColor="text1"/>
              </w:rPr>
              <w:t xml:space="preserve">vertical </w:t>
            </w:r>
            <w:r w:rsidRPr="00BD2612">
              <w:rPr>
                <w:color w:val="000000" w:themeColor="text1"/>
              </w:rPr>
              <w:t>discrepancy in intercuspation</w:t>
            </w:r>
          </w:p>
        </w:tc>
      </w:tr>
      <w:tr w:rsidR="00ED5148" w14:paraId="6409CD17" w14:textId="77777777" w:rsidTr="00E32955">
        <w:tc>
          <w:tcPr>
            <w:tcW w:w="1435" w:type="dxa"/>
          </w:tcPr>
          <w:p w14:paraId="0D2B4ACB" w14:textId="4BA8C4F4" w:rsidR="00ED5148" w:rsidRDefault="00ED5148" w:rsidP="00E32955">
            <w:r w:rsidRPr="00B81DE6">
              <w:t xml:space="preserve">Help </w:t>
            </w:r>
            <w:r>
              <w:t xml:space="preserve"> 16</w:t>
            </w:r>
          </w:p>
        </w:tc>
        <w:tc>
          <w:tcPr>
            <w:tcW w:w="7575" w:type="dxa"/>
          </w:tcPr>
          <w:p w14:paraId="50E10857" w14:textId="521660D8" w:rsidR="00ED5148" w:rsidRDefault="00ED5148" w:rsidP="00E32955">
            <w:r w:rsidRPr="00BD2612">
              <w:rPr>
                <w:color w:val="000000" w:themeColor="text1"/>
              </w:rPr>
              <w:t>Lateral open bite on at least 2 teeth greater than 2 mm</w:t>
            </w:r>
          </w:p>
        </w:tc>
      </w:tr>
      <w:tr w:rsidR="001E2B3B" w14:paraId="6193C095" w14:textId="77777777" w:rsidTr="00E32955">
        <w:tc>
          <w:tcPr>
            <w:tcW w:w="1435" w:type="dxa"/>
          </w:tcPr>
          <w:p w14:paraId="1723E24F" w14:textId="1B19A012" w:rsidR="001E2B3B" w:rsidRDefault="001E2B3B" w:rsidP="00E32955">
            <w:r w:rsidRPr="00B81DE6">
              <w:t xml:space="preserve">Help </w:t>
            </w:r>
            <w:r>
              <w:t xml:space="preserve"> 17</w:t>
            </w:r>
          </w:p>
        </w:tc>
        <w:tc>
          <w:tcPr>
            <w:tcW w:w="7575" w:type="dxa"/>
          </w:tcPr>
          <w:p w14:paraId="56ADB8B4" w14:textId="2AFA5923" w:rsidR="001E2B3B" w:rsidRDefault="001E2B3B" w:rsidP="00E32955">
            <w:r w:rsidRPr="00BD2612">
              <w:rPr>
                <w:color w:val="000000" w:themeColor="text1"/>
              </w:rPr>
              <w:t>No crossbites</w:t>
            </w:r>
            <w:r>
              <w:rPr>
                <w:color w:val="000000" w:themeColor="text1"/>
              </w:rPr>
              <w:t xml:space="preserve"> is present </w:t>
            </w:r>
          </w:p>
        </w:tc>
      </w:tr>
      <w:tr w:rsidR="001E2B3B" w14:paraId="2D6BF5B1" w14:textId="77777777" w:rsidTr="00E32955">
        <w:tc>
          <w:tcPr>
            <w:tcW w:w="1435" w:type="dxa"/>
          </w:tcPr>
          <w:p w14:paraId="7C50033F" w14:textId="411E96B9" w:rsidR="001E2B3B" w:rsidRDefault="001E2B3B" w:rsidP="00E32955">
            <w:r w:rsidRPr="00B81DE6">
              <w:t xml:space="preserve">Help </w:t>
            </w:r>
            <w:r>
              <w:t xml:space="preserve"> 18</w:t>
            </w:r>
          </w:p>
        </w:tc>
        <w:tc>
          <w:tcPr>
            <w:tcW w:w="7575" w:type="dxa"/>
          </w:tcPr>
          <w:p w14:paraId="2499700A" w14:textId="613A5AAC" w:rsidR="001E2B3B" w:rsidRDefault="001E2B3B" w:rsidP="00E32955">
            <w:r w:rsidRPr="00BD2612">
              <w:rPr>
                <w:color w:val="000000" w:themeColor="text1"/>
              </w:rPr>
              <w:t>Crossbite tendency</w:t>
            </w:r>
            <w:r>
              <w:rPr>
                <w:color w:val="000000" w:themeColor="text1"/>
              </w:rPr>
              <w:t xml:space="preserve"> is present</w:t>
            </w:r>
          </w:p>
        </w:tc>
      </w:tr>
      <w:tr w:rsidR="001E2B3B" w14:paraId="34B83D6F" w14:textId="77777777" w:rsidTr="00E32955">
        <w:tc>
          <w:tcPr>
            <w:tcW w:w="1435" w:type="dxa"/>
          </w:tcPr>
          <w:p w14:paraId="21BD5AC6" w14:textId="4D891C49" w:rsidR="001E2B3B" w:rsidRDefault="001E2B3B" w:rsidP="00E32955">
            <w:r w:rsidRPr="00B81DE6">
              <w:t xml:space="preserve">Help </w:t>
            </w:r>
            <w:r>
              <w:t xml:space="preserve"> 19</w:t>
            </w:r>
          </w:p>
        </w:tc>
        <w:tc>
          <w:tcPr>
            <w:tcW w:w="7575" w:type="dxa"/>
          </w:tcPr>
          <w:p w14:paraId="78501EBD" w14:textId="16B552DA" w:rsidR="001E2B3B" w:rsidRDefault="001E2B3B" w:rsidP="00E32955">
            <w:r w:rsidRPr="00BD2612">
              <w:rPr>
                <w:color w:val="000000" w:themeColor="text1"/>
              </w:rPr>
              <w:t>Single tooth in crossbite</w:t>
            </w:r>
            <w:r>
              <w:rPr>
                <w:color w:val="000000" w:themeColor="text1"/>
              </w:rPr>
              <w:t xml:space="preserve"> is present</w:t>
            </w:r>
          </w:p>
        </w:tc>
      </w:tr>
      <w:tr w:rsidR="001E2B3B" w14:paraId="40D4294A" w14:textId="77777777" w:rsidTr="00E32955">
        <w:tc>
          <w:tcPr>
            <w:tcW w:w="1435" w:type="dxa"/>
          </w:tcPr>
          <w:p w14:paraId="670DE33D" w14:textId="200EF7A2" w:rsidR="001E2B3B" w:rsidRDefault="001E2B3B" w:rsidP="00E32955">
            <w:r w:rsidRPr="00B81DE6">
              <w:t xml:space="preserve">Help </w:t>
            </w:r>
            <w:r>
              <w:t xml:space="preserve"> 20</w:t>
            </w:r>
          </w:p>
        </w:tc>
        <w:tc>
          <w:tcPr>
            <w:tcW w:w="7575" w:type="dxa"/>
          </w:tcPr>
          <w:p w14:paraId="1AD38CFB" w14:textId="45382AEB" w:rsidR="001E2B3B" w:rsidRDefault="001E2B3B" w:rsidP="00E32955">
            <w:r w:rsidRPr="00BD2612">
              <w:rPr>
                <w:color w:val="000000" w:themeColor="text1"/>
              </w:rPr>
              <w:t>More than 1 tooth in crossbite</w:t>
            </w:r>
            <w:r>
              <w:rPr>
                <w:color w:val="000000" w:themeColor="text1"/>
              </w:rPr>
              <w:t xml:space="preserve"> is present</w:t>
            </w:r>
          </w:p>
        </w:tc>
      </w:tr>
      <w:tr w:rsidR="001E2B3B" w14:paraId="041709C8" w14:textId="77777777" w:rsidTr="00E32955">
        <w:tc>
          <w:tcPr>
            <w:tcW w:w="1435" w:type="dxa"/>
          </w:tcPr>
          <w:p w14:paraId="2640C6E3" w14:textId="793ED6E4" w:rsidR="001E2B3B" w:rsidRDefault="001E2B3B" w:rsidP="00E32955">
            <w:r w:rsidRPr="00B81DE6">
              <w:t xml:space="preserve">Help </w:t>
            </w:r>
            <w:r>
              <w:t xml:space="preserve"> 21</w:t>
            </w:r>
          </w:p>
        </w:tc>
        <w:tc>
          <w:tcPr>
            <w:tcW w:w="7575" w:type="dxa"/>
          </w:tcPr>
          <w:p w14:paraId="1E1AC57D" w14:textId="16D35C47" w:rsidR="001E2B3B" w:rsidRDefault="001E2B3B" w:rsidP="00E32955">
            <w:r w:rsidRPr="00BD2612">
              <w:rPr>
                <w:color w:val="000000" w:themeColor="text1"/>
              </w:rPr>
              <w:t>More than 1 tooth in scissor bite</w:t>
            </w:r>
            <w:r>
              <w:rPr>
                <w:color w:val="000000" w:themeColor="text1"/>
              </w:rPr>
              <w:t xml:space="preserve"> is present</w:t>
            </w:r>
          </w:p>
        </w:tc>
      </w:tr>
      <w:tr w:rsidR="00ED5148" w14:paraId="21FBEDCE" w14:textId="77777777" w:rsidTr="00E32955">
        <w:tc>
          <w:tcPr>
            <w:tcW w:w="1435" w:type="dxa"/>
          </w:tcPr>
          <w:p w14:paraId="02DEE812" w14:textId="7AC6EF3F" w:rsidR="00ED5148" w:rsidRDefault="00ED5148" w:rsidP="00E32955">
            <w:r w:rsidRPr="00B81DE6">
              <w:t xml:space="preserve">Help </w:t>
            </w:r>
            <w:r>
              <w:t xml:space="preserve"> 22</w:t>
            </w:r>
          </w:p>
        </w:tc>
        <w:tc>
          <w:tcPr>
            <w:tcW w:w="7575" w:type="dxa"/>
          </w:tcPr>
          <w:p w14:paraId="29C0D974" w14:textId="77777777" w:rsidR="00095A87" w:rsidRPr="00BD2612" w:rsidRDefault="00095A87" w:rsidP="00095A87">
            <w:pPr>
              <w:pStyle w:val="ListParagraph"/>
              <w:numPr>
                <w:ilvl w:val="0"/>
                <w:numId w:val="4"/>
              </w:numPr>
              <w:spacing w:after="0"/>
              <w:jc w:val="both"/>
              <w:rPr>
                <w:rFonts w:cs="Times New Roman"/>
                <w:color w:val="000000" w:themeColor="text1"/>
                <w:sz w:val="24"/>
                <w:szCs w:val="24"/>
              </w:rPr>
            </w:pPr>
            <w:r w:rsidRPr="00BD2612">
              <w:rPr>
                <w:rFonts w:cs="Times New Roman"/>
                <w:color w:val="000000" w:themeColor="text1"/>
                <w:sz w:val="24"/>
                <w:szCs w:val="24"/>
              </w:rPr>
              <w:t>The recording zone starts from the distal anatomical contact point of the lateral incisor on one side to the distal anatomical contact point of the lateral incisor on the other side.</w:t>
            </w:r>
          </w:p>
          <w:p w14:paraId="6662F8A0" w14:textId="77777777" w:rsidR="00095A87" w:rsidRPr="00BD2612" w:rsidRDefault="00095A87" w:rsidP="00095A87">
            <w:pPr>
              <w:pStyle w:val="ListParagraph"/>
              <w:numPr>
                <w:ilvl w:val="0"/>
                <w:numId w:val="4"/>
              </w:numPr>
              <w:spacing w:after="0"/>
              <w:jc w:val="both"/>
              <w:rPr>
                <w:rFonts w:cs="Times New Roman"/>
                <w:color w:val="000000" w:themeColor="text1"/>
                <w:sz w:val="24"/>
                <w:szCs w:val="24"/>
              </w:rPr>
            </w:pPr>
            <w:r w:rsidRPr="00BD2612">
              <w:rPr>
                <w:rFonts w:cs="Times New Roman"/>
                <w:color w:val="000000" w:themeColor="text1"/>
                <w:sz w:val="24"/>
                <w:szCs w:val="24"/>
              </w:rPr>
              <w:t>The most prominent aspect of any one incisor is recorded with a ruler held parallel to the occlusal plane.</w:t>
            </w:r>
          </w:p>
          <w:p w14:paraId="7DE908E2" w14:textId="1691234A" w:rsidR="00095A87" w:rsidRDefault="00095A87" w:rsidP="00095A87">
            <w:pPr>
              <w:pStyle w:val="ListParagraph"/>
              <w:numPr>
                <w:ilvl w:val="0"/>
                <w:numId w:val="4"/>
              </w:numPr>
              <w:spacing w:after="0"/>
              <w:jc w:val="both"/>
              <w:rPr>
                <w:rFonts w:cs="Times New Roman"/>
                <w:color w:val="000000" w:themeColor="text1"/>
                <w:sz w:val="24"/>
                <w:szCs w:val="24"/>
              </w:rPr>
            </w:pPr>
            <w:r w:rsidRPr="00BD2612">
              <w:rPr>
                <w:rFonts w:cs="Times New Roman"/>
                <w:color w:val="000000" w:themeColor="text1"/>
                <w:sz w:val="24"/>
                <w:szCs w:val="24"/>
              </w:rPr>
              <w:t>Overjets</w:t>
            </w:r>
            <w:r>
              <w:rPr>
                <w:rFonts w:cs="Times New Roman"/>
                <w:color w:val="000000" w:themeColor="text1"/>
                <w:sz w:val="24"/>
                <w:szCs w:val="24"/>
              </w:rPr>
              <w:t xml:space="preserve"> (positive overjet) </w:t>
            </w:r>
            <w:r w:rsidRPr="00BD2612">
              <w:rPr>
                <w:rFonts w:cs="Times New Roman"/>
                <w:color w:val="000000" w:themeColor="text1"/>
                <w:sz w:val="24"/>
                <w:szCs w:val="24"/>
              </w:rPr>
              <w:t xml:space="preserve">and </w:t>
            </w:r>
            <w:r w:rsidR="00D94784">
              <w:rPr>
                <w:rFonts w:cs="Times New Roman"/>
                <w:color w:val="000000" w:themeColor="text1"/>
                <w:sz w:val="24"/>
                <w:szCs w:val="24"/>
              </w:rPr>
              <w:t xml:space="preserve">anterior </w:t>
            </w:r>
            <w:r w:rsidRPr="00BD2612">
              <w:rPr>
                <w:rFonts w:cs="Times New Roman"/>
                <w:color w:val="000000" w:themeColor="text1"/>
                <w:sz w:val="24"/>
                <w:szCs w:val="24"/>
              </w:rPr>
              <w:t>crossbites</w:t>
            </w:r>
            <w:r>
              <w:rPr>
                <w:rFonts w:cs="Times New Roman"/>
                <w:color w:val="000000" w:themeColor="text1"/>
                <w:sz w:val="24"/>
                <w:szCs w:val="24"/>
              </w:rPr>
              <w:t xml:space="preserve"> (termed negative overjet)</w:t>
            </w:r>
            <w:r w:rsidRPr="00BD2612">
              <w:rPr>
                <w:rFonts w:cs="Times New Roman"/>
                <w:color w:val="000000" w:themeColor="text1"/>
                <w:sz w:val="24"/>
                <w:szCs w:val="24"/>
              </w:rPr>
              <w:t xml:space="preserve"> are recorded. </w:t>
            </w:r>
          </w:p>
          <w:p w14:paraId="3C79A6AC" w14:textId="27B2F1B0" w:rsidR="00ED5148" w:rsidRPr="00095A87" w:rsidRDefault="00095A87" w:rsidP="00095A87">
            <w:pPr>
              <w:pStyle w:val="ListParagraph"/>
              <w:numPr>
                <w:ilvl w:val="0"/>
                <w:numId w:val="4"/>
              </w:numPr>
              <w:spacing w:after="0"/>
              <w:jc w:val="both"/>
              <w:rPr>
                <w:rFonts w:cs="Times New Roman"/>
                <w:color w:val="000000" w:themeColor="text1"/>
                <w:sz w:val="24"/>
                <w:szCs w:val="24"/>
              </w:rPr>
            </w:pPr>
            <w:r w:rsidRPr="00BD2612">
              <w:rPr>
                <w:rFonts w:cs="Times New Roman"/>
                <w:color w:val="000000" w:themeColor="text1"/>
                <w:sz w:val="24"/>
                <w:szCs w:val="24"/>
              </w:rPr>
              <w:t xml:space="preserve">The sum of the two scores </w:t>
            </w:r>
            <w:r>
              <w:rPr>
                <w:rFonts w:cs="Times New Roman"/>
                <w:color w:val="000000" w:themeColor="text1"/>
                <w:sz w:val="24"/>
                <w:szCs w:val="24"/>
              </w:rPr>
              <w:t xml:space="preserve">(positive and negative overjet) </w:t>
            </w:r>
            <w:r w:rsidRPr="00BD2612">
              <w:rPr>
                <w:rFonts w:cs="Times New Roman"/>
                <w:color w:val="000000" w:themeColor="text1"/>
                <w:sz w:val="24"/>
                <w:szCs w:val="24"/>
              </w:rPr>
              <w:t xml:space="preserve">is the total score for </w:t>
            </w:r>
            <w:r>
              <w:rPr>
                <w:rFonts w:cs="Times New Roman"/>
                <w:color w:val="000000" w:themeColor="text1"/>
                <w:sz w:val="24"/>
                <w:szCs w:val="24"/>
              </w:rPr>
              <w:t>this component. For example, i</w:t>
            </w:r>
            <w:r w:rsidRPr="00BD2612">
              <w:rPr>
                <w:rFonts w:cs="Times New Roman"/>
                <w:color w:val="000000" w:themeColor="text1"/>
                <w:sz w:val="24"/>
                <w:szCs w:val="24"/>
              </w:rPr>
              <w:t xml:space="preserve">f there is a positive overjet and incisors or canines in </w:t>
            </w:r>
            <w:r w:rsidR="00D94784">
              <w:rPr>
                <w:rFonts w:cs="Times New Roman"/>
                <w:color w:val="000000" w:themeColor="text1"/>
                <w:sz w:val="24"/>
                <w:szCs w:val="24"/>
              </w:rPr>
              <w:t xml:space="preserve">an anterior </w:t>
            </w:r>
            <w:r w:rsidRPr="00BD2612">
              <w:rPr>
                <w:rFonts w:cs="Times New Roman"/>
                <w:color w:val="000000" w:themeColor="text1"/>
                <w:sz w:val="24"/>
                <w:szCs w:val="24"/>
              </w:rPr>
              <w:t>crossbite the scores should be added together</w:t>
            </w:r>
            <w:r>
              <w:rPr>
                <w:rFonts w:cs="Times New Roman"/>
                <w:color w:val="000000" w:themeColor="text1"/>
                <w:sz w:val="24"/>
                <w:szCs w:val="24"/>
              </w:rPr>
              <w:t>.</w:t>
            </w:r>
          </w:p>
        </w:tc>
      </w:tr>
      <w:tr w:rsidR="00D94784" w14:paraId="36E60B08" w14:textId="77777777" w:rsidTr="00E32955">
        <w:tc>
          <w:tcPr>
            <w:tcW w:w="1435" w:type="dxa"/>
          </w:tcPr>
          <w:p w14:paraId="647FA426" w14:textId="525385BD" w:rsidR="00D94784" w:rsidRDefault="00D94784" w:rsidP="00E32955">
            <w:r w:rsidRPr="00B81DE6">
              <w:t xml:space="preserve">Help </w:t>
            </w:r>
            <w:r>
              <w:t xml:space="preserve"> 23</w:t>
            </w:r>
          </w:p>
        </w:tc>
        <w:tc>
          <w:tcPr>
            <w:tcW w:w="7575" w:type="dxa"/>
          </w:tcPr>
          <w:p w14:paraId="0FC94198" w14:textId="50B9741C" w:rsidR="00D94784" w:rsidRDefault="00D94784" w:rsidP="00E32955">
            <w:r>
              <w:rPr>
                <w:color w:val="000000" w:themeColor="text1"/>
              </w:rPr>
              <w:t xml:space="preserve">Positive overjet is </w:t>
            </w:r>
            <w:r w:rsidRPr="00BD2612">
              <w:rPr>
                <w:color w:val="000000" w:themeColor="text1"/>
              </w:rPr>
              <w:t>0-3 mm</w:t>
            </w:r>
          </w:p>
        </w:tc>
      </w:tr>
      <w:tr w:rsidR="00D94784" w14:paraId="5D83CFCF" w14:textId="77777777" w:rsidTr="00E32955">
        <w:tc>
          <w:tcPr>
            <w:tcW w:w="1435" w:type="dxa"/>
          </w:tcPr>
          <w:p w14:paraId="32420F31" w14:textId="693E8045" w:rsidR="00D94784" w:rsidRDefault="00D94784" w:rsidP="00E32955">
            <w:r w:rsidRPr="00B81DE6">
              <w:t xml:space="preserve">Help </w:t>
            </w:r>
            <w:r>
              <w:t xml:space="preserve"> 24</w:t>
            </w:r>
          </w:p>
        </w:tc>
        <w:tc>
          <w:tcPr>
            <w:tcW w:w="7575" w:type="dxa"/>
          </w:tcPr>
          <w:p w14:paraId="2B4DAA1C" w14:textId="75A8322E" w:rsidR="00D94784" w:rsidRDefault="00D94784" w:rsidP="00E32955">
            <w:r>
              <w:rPr>
                <w:color w:val="000000" w:themeColor="text1"/>
              </w:rPr>
              <w:t xml:space="preserve">Positive overjet is </w:t>
            </w:r>
            <w:r w:rsidRPr="00BD2612">
              <w:rPr>
                <w:color w:val="000000" w:themeColor="text1"/>
              </w:rPr>
              <w:t>3.1- 5mm</w:t>
            </w:r>
          </w:p>
        </w:tc>
      </w:tr>
      <w:tr w:rsidR="00D94784" w14:paraId="62531E86" w14:textId="77777777" w:rsidTr="00E32955">
        <w:tc>
          <w:tcPr>
            <w:tcW w:w="1435" w:type="dxa"/>
          </w:tcPr>
          <w:p w14:paraId="24C817A9" w14:textId="1DCBC464" w:rsidR="00D94784" w:rsidRDefault="00D94784" w:rsidP="00E32955">
            <w:r w:rsidRPr="00B81DE6">
              <w:t xml:space="preserve">Help </w:t>
            </w:r>
            <w:r>
              <w:t xml:space="preserve"> 25</w:t>
            </w:r>
          </w:p>
        </w:tc>
        <w:tc>
          <w:tcPr>
            <w:tcW w:w="7575" w:type="dxa"/>
          </w:tcPr>
          <w:p w14:paraId="2B40719B" w14:textId="509A1103" w:rsidR="00D94784" w:rsidRDefault="00D94784" w:rsidP="00E32955">
            <w:r>
              <w:rPr>
                <w:color w:val="000000" w:themeColor="text1"/>
              </w:rPr>
              <w:t xml:space="preserve">Positive overjet is </w:t>
            </w:r>
            <w:r w:rsidRPr="00BD2612">
              <w:rPr>
                <w:color w:val="000000" w:themeColor="text1"/>
              </w:rPr>
              <w:t>5.1- 7mm</w:t>
            </w:r>
          </w:p>
        </w:tc>
      </w:tr>
      <w:tr w:rsidR="00D94784" w14:paraId="5A959A3F" w14:textId="77777777" w:rsidTr="00E32955">
        <w:tc>
          <w:tcPr>
            <w:tcW w:w="1435" w:type="dxa"/>
          </w:tcPr>
          <w:p w14:paraId="29C6E501" w14:textId="2D39E454" w:rsidR="00D94784" w:rsidRDefault="00D94784" w:rsidP="00E32955">
            <w:r w:rsidRPr="00B81DE6">
              <w:t xml:space="preserve">Help </w:t>
            </w:r>
            <w:r>
              <w:t xml:space="preserve"> 26</w:t>
            </w:r>
          </w:p>
        </w:tc>
        <w:tc>
          <w:tcPr>
            <w:tcW w:w="7575" w:type="dxa"/>
          </w:tcPr>
          <w:p w14:paraId="4E4C2789" w14:textId="418B7522" w:rsidR="00D94784" w:rsidRDefault="00D94784" w:rsidP="00E32955">
            <w:r>
              <w:rPr>
                <w:color w:val="000000" w:themeColor="text1"/>
              </w:rPr>
              <w:t xml:space="preserve">Positive overjet is </w:t>
            </w:r>
            <w:r w:rsidRPr="00BD2612">
              <w:rPr>
                <w:color w:val="000000" w:themeColor="text1"/>
              </w:rPr>
              <w:t>7.1- 9mm</w:t>
            </w:r>
          </w:p>
        </w:tc>
      </w:tr>
      <w:tr w:rsidR="00D94784" w14:paraId="7DC7DF8C" w14:textId="77777777" w:rsidTr="00E32955">
        <w:tc>
          <w:tcPr>
            <w:tcW w:w="1435" w:type="dxa"/>
          </w:tcPr>
          <w:p w14:paraId="384B36CF" w14:textId="20F9469B" w:rsidR="00D94784" w:rsidRDefault="00D94784" w:rsidP="00E32955">
            <w:r w:rsidRPr="00B81DE6">
              <w:t xml:space="preserve">Help </w:t>
            </w:r>
            <w:r>
              <w:t xml:space="preserve"> 27</w:t>
            </w:r>
          </w:p>
        </w:tc>
        <w:tc>
          <w:tcPr>
            <w:tcW w:w="7575" w:type="dxa"/>
          </w:tcPr>
          <w:p w14:paraId="38826776" w14:textId="1E197969" w:rsidR="00D94784" w:rsidRDefault="00D94784" w:rsidP="00E32955">
            <w:r>
              <w:rPr>
                <w:color w:val="000000" w:themeColor="text1"/>
              </w:rPr>
              <w:t>Positive overjet is g</w:t>
            </w:r>
            <w:r w:rsidRPr="00BD2612">
              <w:rPr>
                <w:color w:val="000000" w:themeColor="text1"/>
              </w:rPr>
              <w:t>reater than 9mm</w:t>
            </w:r>
          </w:p>
        </w:tc>
      </w:tr>
      <w:tr w:rsidR="00D94784" w14:paraId="647BFF89" w14:textId="77777777" w:rsidTr="00E32955">
        <w:tc>
          <w:tcPr>
            <w:tcW w:w="1435" w:type="dxa"/>
          </w:tcPr>
          <w:p w14:paraId="77D7FB36" w14:textId="4858E067" w:rsidR="00D94784" w:rsidRDefault="00D94784" w:rsidP="00E32955">
            <w:r w:rsidRPr="00B81DE6">
              <w:t xml:space="preserve">Help </w:t>
            </w:r>
            <w:r>
              <w:t xml:space="preserve"> 28</w:t>
            </w:r>
          </w:p>
        </w:tc>
        <w:tc>
          <w:tcPr>
            <w:tcW w:w="7575" w:type="dxa"/>
          </w:tcPr>
          <w:p w14:paraId="33CD427A" w14:textId="5B26CE59" w:rsidR="00D94784" w:rsidRDefault="00D94784" w:rsidP="00E32955">
            <w:r w:rsidRPr="00BD2612">
              <w:rPr>
                <w:color w:val="000000" w:themeColor="text1"/>
              </w:rPr>
              <w:t xml:space="preserve">No </w:t>
            </w:r>
            <w:r>
              <w:rPr>
                <w:color w:val="000000" w:themeColor="text1"/>
              </w:rPr>
              <w:t xml:space="preserve">anterior crossbite </w:t>
            </w:r>
            <w:r w:rsidRPr="00BD2612">
              <w:rPr>
                <w:color w:val="000000" w:themeColor="text1"/>
              </w:rPr>
              <w:t>discrepancy</w:t>
            </w:r>
            <w:r>
              <w:rPr>
                <w:color w:val="000000" w:themeColor="text1"/>
              </w:rPr>
              <w:t xml:space="preserve"> is present </w:t>
            </w:r>
          </w:p>
        </w:tc>
      </w:tr>
      <w:tr w:rsidR="00D94784" w14:paraId="0969D458" w14:textId="77777777" w:rsidTr="00E32955">
        <w:tc>
          <w:tcPr>
            <w:tcW w:w="1435" w:type="dxa"/>
          </w:tcPr>
          <w:p w14:paraId="3893DCF4" w14:textId="14A59C26" w:rsidR="00D94784" w:rsidRDefault="00D94784" w:rsidP="00E32955">
            <w:r w:rsidRPr="00B81DE6">
              <w:t xml:space="preserve">Help </w:t>
            </w:r>
            <w:r>
              <w:t xml:space="preserve"> 29</w:t>
            </w:r>
          </w:p>
        </w:tc>
        <w:tc>
          <w:tcPr>
            <w:tcW w:w="7575" w:type="dxa"/>
          </w:tcPr>
          <w:p w14:paraId="1B9049BF" w14:textId="7AC7062B" w:rsidR="00D94784" w:rsidRDefault="00D94784" w:rsidP="00E32955">
            <w:r w:rsidRPr="00BD2612">
              <w:rPr>
                <w:color w:val="000000" w:themeColor="text1"/>
              </w:rPr>
              <w:t xml:space="preserve">One or more teeth </w:t>
            </w:r>
            <w:r>
              <w:rPr>
                <w:color w:val="000000" w:themeColor="text1"/>
              </w:rPr>
              <w:t xml:space="preserve">is(are) </w:t>
            </w:r>
            <w:r w:rsidRPr="00BD2612">
              <w:rPr>
                <w:color w:val="000000" w:themeColor="text1"/>
              </w:rPr>
              <w:t>edge to edge</w:t>
            </w:r>
          </w:p>
        </w:tc>
      </w:tr>
      <w:tr w:rsidR="00D94784" w14:paraId="62076163" w14:textId="77777777" w:rsidTr="00E32955">
        <w:tc>
          <w:tcPr>
            <w:tcW w:w="1435" w:type="dxa"/>
          </w:tcPr>
          <w:p w14:paraId="3C03F109" w14:textId="30641148" w:rsidR="00D94784" w:rsidRDefault="00D94784" w:rsidP="00E32955">
            <w:r w:rsidRPr="00B81DE6">
              <w:t xml:space="preserve">Help </w:t>
            </w:r>
            <w:r>
              <w:t xml:space="preserve"> 30</w:t>
            </w:r>
          </w:p>
        </w:tc>
        <w:tc>
          <w:tcPr>
            <w:tcW w:w="7575" w:type="dxa"/>
          </w:tcPr>
          <w:p w14:paraId="7E42C187" w14:textId="404497A8" w:rsidR="00D94784" w:rsidRDefault="00D94784" w:rsidP="00E32955">
            <w:r w:rsidRPr="00BD2612">
              <w:rPr>
                <w:color w:val="000000" w:themeColor="text1"/>
              </w:rPr>
              <w:t xml:space="preserve">One single tooth in </w:t>
            </w:r>
            <w:r>
              <w:rPr>
                <w:color w:val="000000" w:themeColor="text1"/>
              </w:rPr>
              <w:t xml:space="preserve">anterior </w:t>
            </w:r>
            <w:r w:rsidRPr="00BD2612">
              <w:rPr>
                <w:color w:val="000000" w:themeColor="text1"/>
              </w:rPr>
              <w:t>crossbite</w:t>
            </w:r>
          </w:p>
        </w:tc>
      </w:tr>
      <w:tr w:rsidR="00D94784" w14:paraId="2DD4CF76" w14:textId="77777777" w:rsidTr="00E32955">
        <w:tc>
          <w:tcPr>
            <w:tcW w:w="1435" w:type="dxa"/>
          </w:tcPr>
          <w:p w14:paraId="502FEADB" w14:textId="09F7C8D5" w:rsidR="00D94784" w:rsidRDefault="00D94784" w:rsidP="00E32955">
            <w:r w:rsidRPr="00B81DE6">
              <w:t xml:space="preserve">Help </w:t>
            </w:r>
            <w:r>
              <w:t xml:space="preserve"> 31</w:t>
            </w:r>
          </w:p>
        </w:tc>
        <w:tc>
          <w:tcPr>
            <w:tcW w:w="7575" w:type="dxa"/>
          </w:tcPr>
          <w:p w14:paraId="5951AFDE" w14:textId="227AE193" w:rsidR="00D94784" w:rsidRDefault="00D94784" w:rsidP="00E32955">
            <w:r w:rsidRPr="00BD2612">
              <w:rPr>
                <w:color w:val="000000" w:themeColor="text1"/>
              </w:rPr>
              <w:t xml:space="preserve">Two teeth </w:t>
            </w:r>
            <w:r>
              <w:rPr>
                <w:color w:val="000000" w:themeColor="text1"/>
              </w:rPr>
              <w:t xml:space="preserve">are </w:t>
            </w:r>
            <w:r w:rsidRPr="00BD2612">
              <w:rPr>
                <w:color w:val="000000" w:themeColor="text1"/>
              </w:rPr>
              <w:t xml:space="preserve">in </w:t>
            </w:r>
            <w:r>
              <w:rPr>
                <w:color w:val="000000" w:themeColor="text1"/>
              </w:rPr>
              <w:t xml:space="preserve">anterior </w:t>
            </w:r>
            <w:r w:rsidRPr="00BD2612">
              <w:rPr>
                <w:color w:val="000000" w:themeColor="text1"/>
              </w:rPr>
              <w:t>crossbite</w:t>
            </w:r>
          </w:p>
        </w:tc>
      </w:tr>
      <w:tr w:rsidR="00D94784" w14:paraId="3342AC26" w14:textId="77777777" w:rsidTr="00E32955">
        <w:tc>
          <w:tcPr>
            <w:tcW w:w="1435" w:type="dxa"/>
          </w:tcPr>
          <w:p w14:paraId="5827A65A" w14:textId="01E04669" w:rsidR="00D94784" w:rsidRDefault="00D94784" w:rsidP="00E32955">
            <w:r w:rsidRPr="00B81DE6">
              <w:lastRenderedPageBreak/>
              <w:t xml:space="preserve">Help </w:t>
            </w:r>
            <w:r>
              <w:t xml:space="preserve"> 32</w:t>
            </w:r>
          </w:p>
        </w:tc>
        <w:tc>
          <w:tcPr>
            <w:tcW w:w="7575" w:type="dxa"/>
          </w:tcPr>
          <w:p w14:paraId="0425A54A" w14:textId="5F2C7A33" w:rsidR="00D94784" w:rsidRDefault="00D94784" w:rsidP="00E32955">
            <w:r w:rsidRPr="00BD2612">
              <w:rPr>
                <w:color w:val="000000" w:themeColor="text1"/>
              </w:rPr>
              <w:t>More than two teeth</w:t>
            </w:r>
            <w:r>
              <w:rPr>
                <w:color w:val="000000" w:themeColor="text1"/>
              </w:rPr>
              <w:t xml:space="preserve"> are </w:t>
            </w:r>
            <w:r w:rsidRPr="00BD2612">
              <w:rPr>
                <w:color w:val="000000" w:themeColor="text1"/>
              </w:rPr>
              <w:t xml:space="preserve">in </w:t>
            </w:r>
            <w:r>
              <w:rPr>
                <w:color w:val="000000" w:themeColor="text1"/>
              </w:rPr>
              <w:t xml:space="preserve">anterior </w:t>
            </w:r>
            <w:r w:rsidRPr="00BD2612">
              <w:rPr>
                <w:color w:val="000000" w:themeColor="text1"/>
              </w:rPr>
              <w:t>crossbite</w:t>
            </w:r>
          </w:p>
        </w:tc>
      </w:tr>
      <w:tr w:rsidR="00D94784" w14:paraId="182B2B3D" w14:textId="77777777" w:rsidTr="00E32955">
        <w:tc>
          <w:tcPr>
            <w:tcW w:w="1435" w:type="dxa"/>
          </w:tcPr>
          <w:p w14:paraId="1FD30459" w14:textId="666FF337" w:rsidR="00D94784" w:rsidRDefault="00D94784" w:rsidP="00E32955">
            <w:r w:rsidRPr="00B81DE6">
              <w:t xml:space="preserve">Help </w:t>
            </w:r>
            <w:r>
              <w:t xml:space="preserve"> </w:t>
            </w:r>
            <w:r w:rsidR="00503E60">
              <w:t>33</w:t>
            </w:r>
          </w:p>
        </w:tc>
        <w:tc>
          <w:tcPr>
            <w:tcW w:w="7575" w:type="dxa"/>
          </w:tcPr>
          <w:p w14:paraId="7D5A9C4D" w14:textId="11D65462" w:rsidR="00D94784" w:rsidRPr="00503E60" w:rsidRDefault="00503E60" w:rsidP="00503E60">
            <w:pPr>
              <w:jc w:val="both"/>
              <w:rPr>
                <w:rFonts w:cs="Times New Roman"/>
                <w:color w:val="000000" w:themeColor="text1"/>
              </w:rPr>
            </w:pPr>
            <w:r w:rsidRPr="00503E60">
              <w:rPr>
                <w:rFonts w:cs="Times New Roman"/>
                <w:color w:val="000000" w:themeColor="text1"/>
              </w:rPr>
              <w:t xml:space="preserve">Overjets (positive overjet) and anterior crossbites (termed negative overjet) are recorded. </w:t>
            </w:r>
          </w:p>
        </w:tc>
      </w:tr>
      <w:tr w:rsidR="00D94784" w14:paraId="61301EC4" w14:textId="77777777" w:rsidTr="00E32955">
        <w:tc>
          <w:tcPr>
            <w:tcW w:w="1435" w:type="dxa"/>
          </w:tcPr>
          <w:p w14:paraId="4B2680FA" w14:textId="1145E32A" w:rsidR="00D94784" w:rsidRDefault="00D94784" w:rsidP="00E32955">
            <w:r w:rsidRPr="00B81DE6">
              <w:t xml:space="preserve">Help </w:t>
            </w:r>
            <w:r>
              <w:t xml:space="preserve"> </w:t>
            </w:r>
            <w:r w:rsidR="00AA45F3">
              <w:t>34</w:t>
            </w:r>
          </w:p>
        </w:tc>
        <w:tc>
          <w:tcPr>
            <w:tcW w:w="7575" w:type="dxa"/>
          </w:tcPr>
          <w:p w14:paraId="1F2ECB0B" w14:textId="6A992C50" w:rsidR="00D94784" w:rsidRDefault="00AA45F3" w:rsidP="00E32955">
            <w:r w:rsidRPr="00BD2612">
              <w:rPr>
                <w:rFonts w:cs="Times New Roman"/>
                <w:color w:val="000000" w:themeColor="text1"/>
              </w:rPr>
              <w:t xml:space="preserve">The sum of the two scores </w:t>
            </w:r>
            <w:r>
              <w:rPr>
                <w:rFonts w:cs="Times New Roman"/>
                <w:color w:val="000000" w:themeColor="text1"/>
              </w:rPr>
              <w:t xml:space="preserve">(positive and negative overjet) </w:t>
            </w:r>
            <w:r w:rsidRPr="00BD2612">
              <w:rPr>
                <w:rFonts w:cs="Times New Roman"/>
                <w:color w:val="000000" w:themeColor="text1"/>
              </w:rPr>
              <w:t xml:space="preserve">is the total score for </w:t>
            </w:r>
            <w:r>
              <w:rPr>
                <w:rFonts w:cs="Times New Roman"/>
                <w:color w:val="000000" w:themeColor="text1"/>
              </w:rPr>
              <w:t>this component. For example, i</w:t>
            </w:r>
            <w:r w:rsidRPr="00BD2612">
              <w:rPr>
                <w:rFonts w:cs="Times New Roman"/>
                <w:color w:val="000000" w:themeColor="text1"/>
              </w:rPr>
              <w:t xml:space="preserve">f there is a positive overjet and incisors or canines in </w:t>
            </w:r>
            <w:r>
              <w:rPr>
                <w:rFonts w:cs="Times New Roman"/>
                <w:color w:val="000000" w:themeColor="text1"/>
              </w:rPr>
              <w:t xml:space="preserve">an anterior </w:t>
            </w:r>
            <w:r w:rsidRPr="00BD2612">
              <w:rPr>
                <w:rFonts w:cs="Times New Roman"/>
                <w:color w:val="000000" w:themeColor="text1"/>
              </w:rPr>
              <w:t>crossbite the scores should be added together</w:t>
            </w:r>
            <w:r>
              <w:rPr>
                <w:rFonts w:cs="Times New Roman"/>
                <w:color w:val="000000" w:themeColor="text1"/>
              </w:rPr>
              <w:t>.</w:t>
            </w:r>
          </w:p>
        </w:tc>
      </w:tr>
      <w:tr w:rsidR="00D94784" w14:paraId="3C018EFF" w14:textId="77777777" w:rsidTr="00E32955">
        <w:tc>
          <w:tcPr>
            <w:tcW w:w="1435" w:type="dxa"/>
          </w:tcPr>
          <w:p w14:paraId="0E1920C5" w14:textId="55202D4F" w:rsidR="00D94784" w:rsidRDefault="00D94784" w:rsidP="00E32955">
            <w:r w:rsidRPr="00B81DE6">
              <w:t xml:space="preserve">Help </w:t>
            </w:r>
            <w:r>
              <w:t xml:space="preserve"> </w:t>
            </w:r>
            <w:r w:rsidR="008826F4">
              <w:t>35</w:t>
            </w:r>
          </w:p>
        </w:tc>
        <w:tc>
          <w:tcPr>
            <w:tcW w:w="7575" w:type="dxa"/>
          </w:tcPr>
          <w:p w14:paraId="056194C9" w14:textId="77777777" w:rsidR="00A76667" w:rsidRPr="008826F4" w:rsidRDefault="00A76667" w:rsidP="00A76667">
            <w:pPr>
              <w:pStyle w:val="ListParagraph"/>
              <w:numPr>
                <w:ilvl w:val="0"/>
                <w:numId w:val="7"/>
              </w:numPr>
              <w:jc w:val="both"/>
              <w:rPr>
                <w:rFonts w:cs="Times New Roman"/>
                <w:color w:val="000000" w:themeColor="text1"/>
              </w:rPr>
            </w:pPr>
            <w:r>
              <w:rPr>
                <w:rFonts w:cs="Times New Roman"/>
                <w:color w:val="000000" w:themeColor="text1"/>
              </w:rPr>
              <w:t xml:space="preserve">This domain measures </w:t>
            </w:r>
            <w:r w:rsidRPr="008826F4">
              <w:rPr>
                <w:rFonts w:cs="Times New Roman"/>
                <w:color w:val="000000" w:themeColor="text1"/>
              </w:rPr>
              <w:t xml:space="preserve">the vertical overlap </w:t>
            </w:r>
            <w:r>
              <w:rPr>
                <w:rFonts w:cs="Times New Roman"/>
                <w:color w:val="000000" w:themeColor="text1"/>
              </w:rPr>
              <w:t>as positive or negative</w:t>
            </w:r>
            <w:r w:rsidRPr="008826F4">
              <w:rPr>
                <w:rFonts w:cs="Times New Roman"/>
                <w:color w:val="000000" w:themeColor="text1"/>
              </w:rPr>
              <w:t xml:space="preserve"> </w:t>
            </w:r>
            <w:r>
              <w:rPr>
                <w:rFonts w:cs="Times New Roman"/>
                <w:color w:val="000000" w:themeColor="text1"/>
              </w:rPr>
              <w:t>(</w:t>
            </w:r>
            <w:r w:rsidRPr="008826F4">
              <w:rPr>
                <w:rFonts w:cs="Times New Roman"/>
                <w:color w:val="000000" w:themeColor="text1"/>
              </w:rPr>
              <w:t>open</w:t>
            </w:r>
            <w:r>
              <w:rPr>
                <w:rFonts w:cs="Times New Roman"/>
                <w:color w:val="000000" w:themeColor="text1"/>
              </w:rPr>
              <w:t>)</w:t>
            </w:r>
            <w:r w:rsidRPr="008826F4">
              <w:rPr>
                <w:rFonts w:cs="Times New Roman"/>
                <w:color w:val="000000" w:themeColor="text1"/>
              </w:rPr>
              <w:t xml:space="preserve"> </w:t>
            </w:r>
            <w:r>
              <w:rPr>
                <w:rFonts w:cs="Times New Roman"/>
                <w:color w:val="000000" w:themeColor="text1"/>
              </w:rPr>
              <w:t>over</w:t>
            </w:r>
            <w:r w:rsidRPr="008826F4">
              <w:rPr>
                <w:rFonts w:cs="Times New Roman"/>
                <w:color w:val="000000" w:themeColor="text1"/>
              </w:rPr>
              <w:t>bite of the anterior teeth on occlusion.</w:t>
            </w:r>
          </w:p>
          <w:p w14:paraId="59542A3E" w14:textId="38290D39" w:rsidR="00A76667" w:rsidRDefault="00A76667" w:rsidP="00A76667">
            <w:pPr>
              <w:pStyle w:val="ListParagraph"/>
              <w:numPr>
                <w:ilvl w:val="0"/>
                <w:numId w:val="7"/>
              </w:numPr>
              <w:jc w:val="both"/>
              <w:rPr>
                <w:rFonts w:cs="Times New Roman"/>
                <w:color w:val="000000" w:themeColor="text1"/>
              </w:rPr>
            </w:pPr>
            <w:r>
              <w:rPr>
                <w:rFonts w:cs="Times New Roman"/>
                <w:color w:val="000000" w:themeColor="text1"/>
              </w:rPr>
              <w:t>Positive a</w:t>
            </w:r>
            <w:r w:rsidR="008826F4" w:rsidRPr="008826F4">
              <w:rPr>
                <w:rFonts w:cs="Times New Roman"/>
                <w:color w:val="000000" w:themeColor="text1"/>
              </w:rPr>
              <w:t xml:space="preserve">nterior overbite is </w:t>
            </w:r>
            <w:r>
              <w:rPr>
                <w:rFonts w:cs="Times New Roman"/>
                <w:color w:val="000000" w:themeColor="text1"/>
              </w:rPr>
              <w:t xml:space="preserve">considered when the upper incisor is covering the lower incisor vertically. </w:t>
            </w:r>
          </w:p>
          <w:p w14:paraId="05FA6975" w14:textId="2CD1401F" w:rsidR="00A76667" w:rsidRPr="00A76667" w:rsidRDefault="00A76667" w:rsidP="00A76667">
            <w:pPr>
              <w:pStyle w:val="ListParagraph"/>
              <w:numPr>
                <w:ilvl w:val="0"/>
                <w:numId w:val="7"/>
              </w:numPr>
              <w:jc w:val="both"/>
              <w:rPr>
                <w:rFonts w:cs="Times New Roman"/>
                <w:color w:val="000000" w:themeColor="text1"/>
              </w:rPr>
            </w:pPr>
            <w:r>
              <w:rPr>
                <w:rFonts w:cs="Times New Roman"/>
                <w:color w:val="000000" w:themeColor="text1"/>
              </w:rPr>
              <w:t>Negative a</w:t>
            </w:r>
            <w:r w:rsidRPr="008826F4">
              <w:rPr>
                <w:rFonts w:cs="Times New Roman"/>
                <w:color w:val="000000" w:themeColor="text1"/>
              </w:rPr>
              <w:t xml:space="preserve">nterior overbite </w:t>
            </w:r>
            <w:r>
              <w:rPr>
                <w:rFonts w:cs="Times New Roman"/>
                <w:color w:val="000000" w:themeColor="text1"/>
              </w:rPr>
              <w:t xml:space="preserve">(openbite) </w:t>
            </w:r>
            <w:r w:rsidRPr="008826F4">
              <w:rPr>
                <w:rFonts w:cs="Times New Roman"/>
                <w:color w:val="000000" w:themeColor="text1"/>
              </w:rPr>
              <w:t xml:space="preserve">is </w:t>
            </w:r>
            <w:r>
              <w:rPr>
                <w:rFonts w:cs="Times New Roman"/>
                <w:color w:val="000000" w:themeColor="text1"/>
              </w:rPr>
              <w:t xml:space="preserve">considered when the one or all upper incisors is/ are not covering the lower incisor vertically. </w:t>
            </w:r>
          </w:p>
          <w:p w14:paraId="24E32276" w14:textId="77777777" w:rsidR="008826F4" w:rsidRPr="008826F4" w:rsidRDefault="008826F4" w:rsidP="008826F4">
            <w:pPr>
              <w:pStyle w:val="ListParagraph"/>
              <w:numPr>
                <w:ilvl w:val="0"/>
                <w:numId w:val="7"/>
              </w:numPr>
              <w:jc w:val="both"/>
              <w:rPr>
                <w:rFonts w:cs="Times New Roman"/>
                <w:color w:val="000000" w:themeColor="text1"/>
              </w:rPr>
            </w:pPr>
            <w:r w:rsidRPr="008826F4">
              <w:rPr>
                <w:rFonts w:cs="Times New Roman"/>
                <w:color w:val="000000" w:themeColor="text1"/>
              </w:rPr>
              <w:t>The tooth with the greatest or lowest overlap is recorded.</w:t>
            </w:r>
          </w:p>
          <w:p w14:paraId="38ADCD34" w14:textId="77777777" w:rsidR="008826F4" w:rsidRPr="008826F4" w:rsidRDefault="008826F4" w:rsidP="008826F4">
            <w:pPr>
              <w:pStyle w:val="ListParagraph"/>
              <w:numPr>
                <w:ilvl w:val="0"/>
                <w:numId w:val="7"/>
              </w:numPr>
              <w:jc w:val="both"/>
              <w:rPr>
                <w:rFonts w:cs="Times New Roman"/>
                <w:color w:val="000000" w:themeColor="text1"/>
              </w:rPr>
            </w:pPr>
            <w:r w:rsidRPr="008826F4">
              <w:rPr>
                <w:rFonts w:cs="Times New Roman"/>
                <w:color w:val="000000" w:themeColor="text1"/>
              </w:rPr>
              <w:t>If both positive and negative overbite are present, then they should be added.</w:t>
            </w:r>
          </w:p>
          <w:p w14:paraId="750AD7B1" w14:textId="77777777" w:rsidR="00D94784" w:rsidRDefault="00D94784" w:rsidP="00E32955"/>
        </w:tc>
      </w:tr>
      <w:tr w:rsidR="008826F4" w14:paraId="4313C909" w14:textId="77777777" w:rsidTr="00E32955">
        <w:tc>
          <w:tcPr>
            <w:tcW w:w="1435" w:type="dxa"/>
          </w:tcPr>
          <w:p w14:paraId="22D7A37B" w14:textId="0CE55FC6" w:rsidR="008826F4" w:rsidRDefault="008826F4" w:rsidP="00E32955">
            <w:r w:rsidRPr="00B81DE6">
              <w:t xml:space="preserve">Help </w:t>
            </w:r>
            <w:r>
              <w:t xml:space="preserve"> 36</w:t>
            </w:r>
          </w:p>
        </w:tc>
        <w:tc>
          <w:tcPr>
            <w:tcW w:w="7575" w:type="dxa"/>
          </w:tcPr>
          <w:p w14:paraId="45A76D2A" w14:textId="30BE29C1" w:rsidR="008826F4" w:rsidRDefault="008826F4" w:rsidP="00E32955">
            <w:r>
              <w:rPr>
                <w:color w:val="000000" w:themeColor="text1"/>
              </w:rPr>
              <w:t>Upper incisor is covering l</w:t>
            </w:r>
            <w:r w:rsidRPr="00BD2612">
              <w:rPr>
                <w:color w:val="000000" w:themeColor="text1"/>
              </w:rPr>
              <w:t>ess than or equal to 1/3 of the lower incisor</w:t>
            </w:r>
            <w:r>
              <w:rPr>
                <w:color w:val="000000" w:themeColor="text1"/>
              </w:rPr>
              <w:t>.</w:t>
            </w:r>
          </w:p>
        </w:tc>
      </w:tr>
      <w:tr w:rsidR="008826F4" w14:paraId="4E3437B1" w14:textId="77777777" w:rsidTr="00E32955">
        <w:tc>
          <w:tcPr>
            <w:tcW w:w="1435" w:type="dxa"/>
          </w:tcPr>
          <w:p w14:paraId="691443DF" w14:textId="54E8DA4E" w:rsidR="008826F4" w:rsidRDefault="008826F4" w:rsidP="00E32955">
            <w:r w:rsidRPr="00B81DE6">
              <w:t xml:space="preserve">Help </w:t>
            </w:r>
            <w:r>
              <w:t xml:space="preserve"> 37</w:t>
            </w:r>
          </w:p>
        </w:tc>
        <w:tc>
          <w:tcPr>
            <w:tcW w:w="7575" w:type="dxa"/>
          </w:tcPr>
          <w:p w14:paraId="497CA78A" w14:textId="0A549AFF" w:rsidR="008826F4" w:rsidRDefault="008826F4" w:rsidP="00E32955">
            <w:r>
              <w:rPr>
                <w:color w:val="000000" w:themeColor="text1"/>
              </w:rPr>
              <w:t>Upper incisor is covering greater than 1/3</w:t>
            </w:r>
            <w:r w:rsidRPr="00BD2612">
              <w:rPr>
                <w:color w:val="000000" w:themeColor="text1"/>
              </w:rPr>
              <w:t xml:space="preserve"> but less than 2/3 of the lower incisor</w:t>
            </w:r>
            <w:r>
              <w:rPr>
                <w:color w:val="000000" w:themeColor="text1"/>
              </w:rPr>
              <w:t>.</w:t>
            </w:r>
          </w:p>
        </w:tc>
      </w:tr>
      <w:tr w:rsidR="008826F4" w14:paraId="24077F3D" w14:textId="77777777" w:rsidTr="00E32955">
        <w:tc>
          <w:tcPr>
            <w:tcW w:w="1435" w:type="dxa"/>
          </w:tcPr>
          <w:p w14:paraId="444963FB" w14:textId="040BBDD4" w:rsidR="008826F4" w:rsidRDefault="008826F4" w:rsidP="00E32955">
            <w:r w:rsidRPr="00B81DE6">
              <w:t xml:space="preserve">Help </w:t>
            </w:r>
            <w:r>
              <w:t xml:space="preserve"> 38</w:t>
            </w:r>
          </w:p>
        </w:tc>
        <w:tc>
          <w:tcPr>
            <w:tcW w:w="7575" w:type="dxa"/>
          </w:tcPr>
          <w:p w14:paraId="4E8D767D" w14:textId="6ACADFDB" w:rsidR="008826F4" w:rsidRDefault="008826F4" w:rsidP="00E32955">
            <w:r>
              <w:rPr>
                <w:color w:val="000000" w:themeColor="text1"/>
              </w:rPr>
              <w:t>Upper incisor is covering g</w:t>
            </w:r>
            <w:r w:rsidRPr="00BD2612">
              <w:rPr>
                <w:color w:val="000000" w:themeColor="text1"/>
              </w:rPr>
              <w:t>reater than 2/3 of the lower incisor</w:t>
            </w:r>
            <w:r>
              <w:rPr>
                <w:color w:val="000000" w:themeColor="text1"/>
              </w:rPr>
              <w:t>.</w:t>
            </w:r>
          </w:p>
        </w:tc>
      </w:tr>
      <w:tr w:rsidR="008826F4" w14:paraId="69CE9C4A" w14:textId="77777777" w:rsidTr="00E32955">
        <w:tc>
          <w:tcPr>
            <w:tcW w:w="1435" w:type="dxa"/>
          </w:tcPr>
          <w:p w14:paraId="4EA91B3B" w14:textId="3B50F483" w:rsidR="008826F4" w:rsidRDefault="008826F4" w:rsidP="00677D9D">
            <w:r w:rsidRPr="00B81DE6">
              <w:t xml:space="preserve">Help </w:t>
            </w:r>
            <w:r>
              <w:t xml:space="preserve"> </w:t>
            </w:r>
            <w:r w:rsidR="00677D9D">
              <w:t>39</w:t>
            </w:r>
          </w:p>
        </w:tc>
        <w:tc>
          <w:tcPr>
            <w:tcW w:w="7575" w:type="dxa"/>
          </w:tcPr>
          <w:p w14:paraId="488678A1" w14:textId="03FACFBF" w:rsidR="008826F4" w:rsidRDefault="008826F4" w:rsidP="00E32955">
            <w:r>
              <w:rPr>
                <w:color w:val="000000" w:themeColor="text1"/>
              </w:rPr>
              <w:t xml:space="preserve">Upper incisor is covering </w:t>
            </w:r>
            <w:r w:rsidRPr="00BD2612">
              <w:rPr>
                <w:color w:val="000000" w:themeColor="text1"/>
              </w:rPr>
              <w:t>full</w:t>
            </w:r>
            <w:r>
              <w:rPr>
                <w:color w:val="000000" w:themeColor="text1"/>
              </w:rPr>
              <w:t xml:space="preserve">y the </w:t>
            </w:r>
            <w:r w:rsidRPr="00BD2612">
              <w:rPr>
                <w:color w:val="000000" w:themeColor="text1"/>
              </w:rPr>
              <w:t>lower incisor.</w:t>
            </w:r>
          </w:p>
        </w:tc>
      </w:tr>
      <w:tr w:rsidR="00677D9D" w14:paraId="0B696236" w14:textId="77777777" w:rsidTr="00E32955">
        <w:tc>
          <w:tcPr>
            <w:tcW w:w="1435" w:type="dxa"/>
          </w:tcPr>
          <w:p w14:paraId="364EC0FD" w14:textId="6AE6FD4D" w:rsidR="00677D9D" w:rsidRDefault="00677D9D" w:rsidP="00E32955">
            <w:r w:rsidRPr="00B81DE6">
              <w:t xml:space="preserve">Help </w:t>
            </w:r>
            <w:r>
              <w:t xml:space="preserve"> </w:t>
            </w:r>
            <w:r w:rsidR="00A67A70">
              <w:t>40</w:t>
            </w:r>
          </w:p>
        </w:tc>
        <w:tc>
          <w:tcPr>
            <w:tcW w:w="7575" w:type="dxa"/>
          </w:tcPr>
          <w:p w14:paraId="064E784A" w14:textId="3B225861" w:rsidR="00677D9D" w:rsidRDefault="00677D9D" w:rsidP="00E32955">
            <w:r w:rsidRPr="00BD2612">
              <w:rPr>
                <w:color w:val="000000" w:themeColor="text1"/>
              </w:rPr>
              <w:t>No open bite</w:t>
            </w:r>
            <w:r>
              <w:rPr>
                <w:color w:val="000000" w:themeColor="text1"/>
              </w:rPr>
              <w:t xml:space="preserve"> (negative overbite) is present. </w:t>
            </w:r>
          </w:p>
        </w:tc>
      </w:tr>
      <w:tr w:rsidR="00677D9D" w14:paraId="3F4F66FE" w14:textId="77777777" w:rsidTr="00E32955">
        <w:tc>
          <w:tcPr>
            <w:tcW w:w="1435" w:type="dxa"/>
          </w:tcPr>
          <w:p w14:paraId="64E9755A" w14:textId="3A9055CE" w:rsidR="00677D9D" w:rsidRDefault="00677D9D" w:rsidP="00E32955">
            <w:r w:rsidRPr="00B81DE6">
              <w:t xml:space="preserve">Help </w:t>
            </w:r>
            <w:r>
              <w:t xml:space="preserve"> </w:t>
            </w:r>
            <w:r w:rsidR="00A67A70">
              <w:t>41</w:t>
            </w:r>
          </w:p>
        </w:tc>
        <w:tc>
          <w:tcPr>
            <w:tcW w:w="7575" w:type="dxa"/>
          </w:tcPr>
          <w:p w14:paraId="6B47DF53" w14:textId="2FA54DAB" w:rsidR="00677D9D" w:rsidRDefault="00677D9D" w:rsidP="00E32955">
            <w:r w:rsidRPr="00BD2612">
              <w:rPr>
                <w:color w:val="000000" w:themeColor="text1"/>
              </w:rPr>
              <w:t xml:space="preserve">Openbite </w:t>
            </w:r>
            <w:r>
              <w:rPr>
                <w:color w:val="000000" w:themeColor="text1"/>
              </w:rPr>
              <w:t xml:space="preserve">is equal or </w:t>
            </w:r>
            <w:r w:rsidRPr="00BD2612">
              <w:rPr>
                <w:color w:val="000000" w:themeColor="text1"/>
              </w:rPr>
              <w:t>less than 1mm</w:t>
            </w:r>
            <w:r>
              <w:rPr>
                <w:color w:val="000000" w:themeColor="text1"/>
              </w:rPr>
              <w:t>.</w:t>
            </w:r>
          </w:p>
        </w:tc>
      </w:tr>
      <w:tr w:rsidR="00677D9D" w14:paraId="3937B6B4" w14:textId="77777777" w:rsidTr="00E32955">
        <w:tc>
          <w:tcPr>
            <w:tcW w:w="1435" w:type="dxa"/>
          </w:tcPr>
          <w:p w14:paraId="642EF138" w14:textId="4E3889CA" w:rsidR="00677D9D" w:rsidRDefault="00677D9D" w:rsidP="00E32955">
            <w:r w:rsidRPr="00B81DE6">
              <w:t xml:space="preserve">Help </w:t>
            </w:r>
            <w:r>
              <w:t xml:space="preserve"> </w:t>
            </w:r>
            <w:r w:rsidR="00A67A70">
              <w:t>42</w:t>
            </w:r>
          </w:p>
        </w:tc>
        <w:tc>
          <w:tcPr>
            <w:tcW w:w="7575" w:type="dxa"/>
          </w:tcPr>
          <w:p w14:paraId="77E8CE1A" w14:textId="73A15715" w:rsidR="00677D9D" w:rsidRDefault="00677D9D" w:rsidP="00E32955">
            <w:r w:rsidRPr="00BD2612">
              <w:rPr>
                <w:color w:val="000000" w:themeColor="text1"/>
              </w:rPr>
              <w:t xml:space="preserve">Openbite </w:t>
            </w:r>
            <w:r>
              <w:rPr>
                <w:color w:val="000000" w:themeColor="text1"/>
              </w:rPr>
              <w:t xml:space="preserve">between </w:t>
            </w:r>
            <w:r w:rsidRPr="00BD2612">
              <w:rPr>
                <w:color w:val="000000" w:themeColor="text1"/>
              </w:rPr>
              <w:t>1.1 mm – 2 mm</w:t>
            </w:r>
            <w:r>
              <w:rPr>
                <w:color w:val="000000" w:themeColor="text1"/>
              </w:rPr>
              <w:t xml:space="preserve"> is present.</w:t>
            </w:r>
          </w:p>
        </w:tc>
      </w:tr>
      <w:tr w:rsidR="00677D9D" w14:paraId="0549525B" w14:textId="77777777" w:rsidTr="00E32955">
        <w:tc>
          <w:tcPr>
            <w:tcW w:w="1435" w:type="dxa"/>
          </w:tcPr>
          <w:p w14:paraId="2968E997" w14:textId="6A0AEEEF" w:rsidR="00677D9D" w:rsidRDefault="00677D9D" w:rsidP="00E32955">
            <w:r w:rsidRPr="00B81DE6">
              <w:t xml:space="preserve">Help </w:t>
            </w:r>
            <w:r>
              <w:t xml:space="preserve"> </w:t>
            </w:r>
            <w:r w:rsidR="00A67A70">
              <w:t>43</w:t>
            </w:r>
          </w:p>
        </w:tc>
        <w:tc>
          <w:tcPr>
            <w:tcW w:w="7575" w:type="dxa"/>
          </w:tcPr>
          <w:p w14:paraId="38D6034C" w14:textId="0F96C927" w:rsidR="00677D9D" w:rsidRDefault="00677D9D" w:rsidP="00E32955">
            <w:r w:rsidRPr="00BD2612">
              <w:rPr>
                <w:color w:val="000000" w:themeColor="text1"/>
              </w:rPr>
              <w:t xml:space="preserve">Openbite </w:t>
            </w:r>
            <w:r>
              <w:rPr>
                <w:color w:val="000000" w:themeColor="text1"/>
              </w:rPr>
              <w:t xml:space="preserve">between </w:t>
            </w:r>
            <w:r w:rsidRPr="00BD2612">
              <w:rPr>
                <w:color w:val="000000" w:themeColor="text1"/>
              </w:rPr>
              <w:t>2.1 mm- 3 mm</w:t>
            </w:r>
            <w:r>
              <w:rPr>
                <w:color w:val="000000" w:themeColor="text1"/>
              </w:rPr>
              <w:t xml:space="preserve"> is present.</w:t>
            </w:r>
          </w:p>
        </w:tc>
      </w:tr>
      <w:tr w:rsidR="00677D9D" w14:paraId="5D05F42B" w14:textId="77777777" w:rsidTr="00E32955">
        <w:tc>
          <w:tcPr>
            <w:tcW w:w="1435" w:type="dxa"/>
          </w:tcPr>
          <w:p w14:paraId="68E91511" w14:textId="407D3DE3" w:rsidR="00677D9D" w:rsidRDefault="00677D9D" w:rsidP="00E32955">
            <w:r w:rsidRPr="00B81DE6">
              <w:t xml:space="preserve">Help </w:t>
            </w:r>
            <w:r>
              <w:t xml:space="preserve"> </w:t>
            </w:r>
            <w:r w:rsidR="00A67A70">
              <w:t>44</w:t>
            </w:r>
          </w:p>
        </w:tc>
        <w:tc>
          <w:tcPr>
            <w:tcW w:w="7575" w:type="dxa"/>
          </w:tcPr>
          <w:p w14:paraId="50DA2D3A" w14:textId="26AF8ED9" w:rsidR="00677D9D" w:rsidRDefault="00677D9D" w:rsidP="00E32955">
            <w:r>
              <w:rPr>
                <w:color w:val="000000" w:themeColor="text1"/>
              </w:rPr>
              <w:t>Open</w:t>
            </w:r>
            <w:r w:rsidRPr="00BD2612">
              <w:rPr>
                <w:color w:val="000000" w:themeColor="text1"/>
              </w:rPr>
              <w:t xml:space="preserve">bite </w:t>
            </w:r>
            <w:r>
              <w:rPr>
                <w:color w:val="000000" w:themeColor="text1"/>
              </w:rPr>
              <w:t xml:space="preserve">equal or </w:t>
            </w:r>
            <w:r w:rsidRPr="00BD2612">
              <w:rPr>
                <w:color w:val="000000" w:themeColor="text1"/>
              </w:rPr>
              <w:t>greater than 4mm</w:t>
            </w:r>
            <w:r>
              <w:rPr>
                <w:color w:val="000000" w:themeColor="text1"/>
              </w:rPr>
              <w:t xml:space="preserve"> is present.</w:t>
            </w:r>
          </w:p>
        </w:tc>
      </w:tr>
      <w:tr w:rsidR="00D94784" w14:paraId="5213B327" w14:textId="77777777" w:rsidTr="00E32955">
        <w:tc>
          <w:tcPr>
            <w:tcW w:w="1435" w:type="dxa"/>
          </w:tcPr>
          <w:p w14:paraId="4874F741" w14:textId="08F2234E" w:rsidR="00D94784" w:rsidRDefault="00D94784" w:rsidP="00E32955">
            <w:r w:rsidRPr="00B81DE6">
              <w:t xml:space="preserve">Help </w:t>
            </w:r>
            <w:r>
              <w:t xml:space="preserve"> </w:t>
            </w:r>
            <w:r w:rsidR="00E362E5">
              <w:t>45</w:t>
            </w:r>
          </w:p>
        </w:tc>
        <w:tc>
          <w:tcPr>
            <w:tcW w:w="7575" w:type="dxa"/>
          </w:tcPr>
          <w:p w14:paraId="26887B80" w14:textId="77777777" w:rsidR="00E362E5" w:rsidRPr="00E362E5" w:rsidRDefault="00E362E5" w:rsidP="00E362E5">
            <w:pPr>
              <w:pStyle w:val="ListParagraph"/>
              <w:numPr>
                <w:ilvl w:val="0"/>
                <w:numId w:val="7"/>
              </w:numPr>
              <w:jc w:val="both"/>
              <w:rPr>
                <w:rFonts w:cs="Times New Roman"/>
                <w:color w:val="000000" w:themeColor="text1"/>
              </w:rPr>
            </w:pPr>
            <w:r w:rsidRPr="00E362E5">
              <w:rPr>
                <w:rFonts w:cs="Times New Roman"/>
                <w:color w:val="000000" w:themeColor="text1"/>
              </w:rPr>
              <w:t xml:space="preserve">Records the upper dental </w:t>
            </w:r>
            <w:proofErr w:type="spellStart"/>
            <w:r w:rsidRPr="00E362E5">
              <w:rPr>
                <w:rFonts w:cs="Times New Roman"/>
                <w:color w:val="000000" w:themeColor="text1"/>
              </w:rPr>
              <w:t>centerline</w:t>
            </w:r>
            <w:proofErr w:type="spellEnd"/>
            <w:r w:rsidRPr="00E362E5">
              <w:rPr>
                <w:rFonts w:cs="Times New Roman"/>
                <w:color w:val="000000" w:themeColor="text1"/>
              </w:rPr>
              <w:t xml:space="preserve"> (midline) discrepancy in relation to the lower dental </w:t>
            </w:r>
            <w:proofErr w:type="spellStart"/>
            <w:r w:rsidRPr="00E362E5">
              <w:rPr>
                <w:rFonts w:cs="Times New Roman"/>
                <w:color w:val="000000" w:themeColor="text1"/>
              </w:rPr>
              <w:t>centerline</w:t>
            </w:r>
            <w:proofErr w:type="spellEnd"/>
            <w:r w:rsidRPr="00E362E5">
              <w:rPr>
                <w:rFonts w:cs="Times New Roman"/>
                <w:color w:val="000000" w:themeColor="text1"/>
              </w:rPr>
              <w:t>.</w:t>
            </w:r>
          </w:p>
          <w:p w14:paraId="4A3E4617" w14:textId="266EEFCC" w:rsidR="00D94784" w:rsidRPr="00E362E5" w:rsidRDefault="00E362E5" w:rsidP="00E362E5">
            <w:pPr>
              <w:pStyle w:val="ListParagraph"/>
              <w:numPr>
                <w:ilvl w:val="0"/>
                <w:numId w:val="7"/>
              </w:numPr>
              <w:jc w:val="both"/>
              <w:rPr>
                <w:rFonts w:cs="Times New Roman"/>
                <w:color w:val="000000" w:themeColor="text1"/>
              </w:rPr>
            </w:pPr>
            <w:r w:rsidRPr="00E362E5">
              <w:rPr>
                <w:rFonts w:cs="Times New Roman"/>
                <w:color w:val="000000" w:themeColor="text1"/>
              </w:rPr>
              <w:t>If a lower incisor has been extracted, then score this domain as (0).</w:t>
            </w:r>
          </w:p>
        </w:tc>
      </w:tr>
      <w:tr w:rsidR="00E362E5" w14:paraId="73377B84" w14:textId="77777777" w:rsidTr="00E32955">
        <w:tc>
          <w:tcPr>
            <w:tcW w:w="1435" w:type="dxa"/>
          </w:tcPr>
          <w:p w14:paraId="58CCADFE" w14:textId="63694AF6" w:rsidR="00E362E5" w:rsidRDefault="00E362E5" w:rsidP="00E32955">
            <w:r w:rsidRPr="00B81DE6">
              <w:t xml:space="preserve">Help </w:t>
            </w:r>
            <w:r>
              <w:t xml:space="preserve"> 46</w:t>
            </w:r>
          </w:p>
        </w:tc>
        <w:tc>
          <w:tcPr>
            <w:tcW w:w="7575" w:type="dxa"/>
          </w:tcPr>
          <w:p w14:paraId="3F3BC669" w14:textId="31CBEDE1" w:rsidR="00E362E5" w:rsidRDefault="00E362E5" w:rsidP="00E32955">
            <w:r>
              <w:rPr>
                <w:color w:val="000000" w:themeColor="text1"/>
              </w:rPr>
              <w:t xml:space="preserve">Upper &amp; lower dental </w:t>
            </w:r>
            <w:proofErr w:type="spellStart"/>
            <w:r>
              <w:rPr>
                <w:color w:val="000000" w:themeColor="text1"/>
              </w:rPr>
              <w:t>centerlines</w:t>
            </w:r>
            <w:proofErr w:type="spellEnd"/>
            <w:r>
              <w:rPr>
                <w:color w:val="000000" w:themeColor="text1"/>
              </w:rPr>
              <w:t xml:space="preserve"> are c</w:t>
            </w:r>
            <w:r w:rsidRPr="00BD2612">
              <w:rPr>
                <w:color w:val="000000" w:themeColor="text1"/>
              </w:rPr>
              <w:t xml:space="preserve">oincident </w:t>
            </w:r>
            <w:r>
              <w:rPr>
                <w:color w:val="000000" w:themeColor="text1"/>
              </w:rPr>
              <w:t>or non-c</w:t>
            </w:r>
            <w:r w:rsidRPr="00BD2612">
              <w:rPr>
                <w:color w:val="000000" w:themeColor="text1"/>
              </w:rPr>
              <w:t xml:space="preserve">oincident </w:t>
            </w:r>
            <w:r>
              <w:rPr>
                <w:color w:val="000000" w:themeColor="text1"/>
              </w:rPr>
              <w:t>by less than</w:t>
            </w:r>
            <w:r w:rsidRPr="00BD2612">
              <w:rPr>
                <w:color w:val="000000" w:themeColor="text1"/>
              </w:rPr>
              <w:t xml:space="preserve"> ¼ lower incisor width</w:t>
            </w:r>
            <w:r>
              <w:rPr>
                <w:color w:val="000000" w:themeColor="text1"/>
              </w:rPr>
              <w:t>.</w:t>
            </w:r>
          </w:p>
        </w:tc>
      </w:tr>
      <w:tr w:rsidR="00E362E5" w14:paraId="788522F1" w14:textId="77777777" w:rsidTr="00E32955">
        <w:tc>
          <w:tcPr>
            <w:tcW w:w="1435" w:type="dxa"/>
          </w:tcPr>
          <w:p w14:paraId="040713F9" w14:textId="596D9F20" w:rsidR="00E362E5" w:rsidRDefault="00E362E5" w:rsidP="00E32955">
            <w:r w:rsidRPr="00B81DE6">
              <w:t xml:space="preserve">Help </w:t>
            </w:r>
            <w:r>
              <w:t xml:space="preserve"> 47</w:t>
            </w:r>
          </w:p>
        </w:tc>
        <w:tc>
          <w:tcPr>
            <w:tcW w:w="7575" w:type="dxa"/>
          </w:tcPr>
          <w:p w14:paraId="1E95EBD6" w14:textId="77718C9A" w:rsidR="00E362E5" w:rsidRDefault="00E362E5" w:rsidP="00E32955">
            <w:r>
              <w:rPr>
                <w:color w:val="000000" w:themeColor="text1"/>
              </w:rPr>
              <w:t xml:space="preserve">Upper &amp; lower dental </w:t>
            </w:r>
            <w:proofErr w:type="spellStart"/>
            <w:r>
              <w:rPr>
                <w:color w:val="000000" w:themeColor="text1"/>
              </w:rPr>
              <w:t>centerlines</w:t>
            </w:r>
            <w:proofErr w:type="spellEnd"/>
            <w:r>
              <w:rPr>
                <w:color w:val="000000" w:themeColor="text1"/>
              </w:rPr>
              <w:t xml:space="preserve"> are non-c</w:t>
            </w:r>
            <w:r w:rsidRPr="00BD2612">
              <w:rPr>
                <w:color w:val="000000" w:themeColor="text1"/>
              </w:rPr>
              <w:t xml:space="preserve">oincident </w:t>
            </w:r>
            <w:r>
              <w:rPr>
                <w:color w:val="000000" w:themeColor="text1"/>
              </w:rPr>
              <w:t xml:space="preserve">by </w:t>
            </w:r>
            <w:r w:rsidRPr="00BD2612">
              <w:rPr>
                <w:color w:val="000000" w:themeColor="text1"/>
              </w:rPr>
              <w:t>¼ to ½ lower incisor width</w:t>
            </w:r>
            <w:r>
              <w:rPr>
                <w:color w:val="000000" w:themeColor="text1"/>
              </w:rPr>
              <w:t>.</w:t>
            </w:r>
          </w:p>
        </w:tc>
      </w:tr>
      <w:tr w:rsidR="00E362E5" w14:paraId="772C3D1D" w14:textId="77777777" w:rsidTr="00E32955">
        <w:tc>
          <w:tcPr>
            <w:tcW w:w="1435" w:type="dxa"/>
          </w:tcPr>
          <w:p w14:paraId="269A6C37" w14:textId="5D7E6DB5" w:rsidR="00E362E5" w:rsidRDefault="00E362E5" w:rsidP="00E32955">
            <w:r w:rsidRPr="00B81DE6">
              <w:t xml:space="preserve">Help </w:t>
            </w:r>
            <w:r>
              <w:t xml:space="preserve"> 48</w:t>
            </w:r>
          </w:p>
        </w:tc>
        <w:tc>
          <w:tcPr>
            <w:tcW w:w="7575" w:type="dxa"/>
          </w:tcPr>
          <w:p w14:paraId="0D364CC8" w14:textId="5A2BF52B" w:rsidR="00E362E5" w:rsidRDefault="00E362E5" w:rsidP="00E32955">
            <w:r>
              <w:rPr>
                <w:color w:val="000000" w:themeColor="text1"/>
              </w:rPr>
              <w:t xml:space="preserve">Upper &amp; lower dental </w:t>
            </w:r>
            <w:proofErr w:type="spellStart"/>
            <w:r>
              <w:rPr>
                <w:color w:val="000000" w:themeColor="text1"/>
              </w:rPr>
              <w:t>centerlines</w:t>
            </w:r>
            <w:proofErr w:type="spellEnd"/>
            <w:r>
              <w:rPr>
                <w:color w:val="000000" w:themeColor="text1"/>
              </w:rPr>
              <w:t xml:space="preserve"> are non-c</w:t>
            </w:r>
            <w:r w:rsidRPr="00BD2612">
              <w:rPr>
                <w:color w:val="000000" w:themeColor="text1"/>
              </w:rPr>
              <w:t xml:space="preserve">oincident </w:t>
            </w:r>
            <w:r>
              <w:rPr>
                <w:color w:val="000000" w:themeColor="text1"/>
              </w:rPr>
              <w:t>by more</w:t>
            </w:r>
            <w:r w:rsidRPr="00BD2612">
              <w:rPr>
                <w:color w:val="000000" w:themeColor="text1"/>
              </w:rPr>
              <w:t xml:space="preserve"> than ½ lower incisor width</w:t>
            </w:r>
            <w:r>
              <w:rPr>
                <w:color w:val="000000" w:themeColor="text1"/>
              </w:rPr>
              <w:t>.</w:t>
            </w:r>
          </w:p>
        </w:tc>
      </w:tr>
      <w:tr w:rsidR="00ED5148" w14:paraId="699C0667" w14:textId="77777777" w:rsidTr="00E32955">
        <w:tc>
          <w:tcPr>
            <w:tcW w:w="1435" w:type="dxa"/>
          </w:tcPr>
          <w:p w14:paraId="77318508" w14:textId="75EFB870" w:rsidR="00ED5148" w:rsidRDefault="00ED5148" w:rsidP="00E32955">
            <w:r w:rsidRPr="00B81DE6">
              <w:t xml:space="preserve">Help </w:t>
            </w:r>
            <w:r>
              <w:t xml:space="preserve"> </w:t>
            </w:r>
            <w:r w:rsidR="00A76667">
              <w:t>49</w:t>
            </w:r>
          </w:p>
        </w:tc>
        <w:tc>
          <w:tcPr>
            <w:tcW w:w="7575" w:type="dxa"/>
          </w:tcPr>
          <w:p w14:paraId="606AA2AD" w14:textId="77777777" w:rsidR="00A76667" w:rsidRPr="008826F4" w:rsidRDefault="00A76667" w:rsidP="00A76667">
            <w:pPr>
              <w:pStyle w:val="ListParagraph"/>
              <w:numPr>
                <w:ilvl w:val="0"/>
                <w:numId w:val="7"/>
              </w:numPr>
              <w:jc w:val="both"/>
              <w:rPr>
                <w:rFonts w:cs="Times New Roman"/>
                <w:color w:val="000000" w:themeColor="text1"/>
              </w:rPr>
            </w:pPr>
            <w:r w:rsidRPr="008826F4">
              <w:rPr>
                <w:rFonts w:cs="Times New Roman"/>
                <w:color w:val="000000" w:themeColor="text1"/>
              </w:rPr>
              <w:t>If both positive and negative overbite are present, then they should be added.</w:t>
            </w:r>
          </w:p>
          <w:p w14:paraId="41C97BB8" w14:textId="77777777" w:rsidR="00ED5148" w:rsidRDefault="00ED5148" w:rsidP="00E32955"/>
        </w:tc>
      </w:tr>
      <w:tr w:rsidR="00ED5148" w14:paraId="386E846F" w14:textId="77777777" w:rsidTr="00E32955">
        <w:tc>
          <w:tcPr>
            <w:tcW w:w="1435" w:type="dxa"/>
          </w:tcPr>
          <w:p w14:paraId="21AE7EFA" w14:textId="49734F17" w:rsidR="00ED5148" w:rsidRDefault="00ED5148" w:rsidP="00E32955">
            <w:r w:rsidRPr="00B81DE6">
              <w:t xml:space="preserve">Help </w:t>
            </w:r>
            <w:r>
              <w:t xml:space="preserve"> </w:t>
            </w:r>
            <w:r w:rsidR="00A76667">
              <w:t>50</w:t>
            </w:r>
          </w:p>
        </w:tc>
        <w:tc>
          <w:tcPr>
            <w:tcW w:w="7575" w:type="dxa"/>
          </w:tcPr>
          <w:p w14:paraId="0C928B91" w14:textId="492F50CF" w:rsidR="00A76667" w:rsidRDefault="00A76667" w:rsidP="00A76667">
            <w:pPr>
              <w:pStyle w:val="ListParagraph"/>
              <w:numPr>
                <w:ilvl w:val="0"/>
                <w:numId w:val="7"/>
              </w:numPr>
              <w:jc w:val="both"/>
              <w:rPr>
                <w:rFonts w:cs="Times New Roman"/>
                <w:color w:val="000000" w:themeColor="text1"/>
              </w:rPr>
            </w:pPr>
            <w:r>
              <w:rPr>
                <w:rFonts w:cs="Times New Roman"/>
                <w:color w:val="000000" w:themeColor="text1"/>
              </w:rPr>
              <w:t>Positive a</w:t>
            </w:r>
            <w:r w:rsidRPr="008826F4">
              <w:rPr>
                <w:rFonts w:cs="Times New Roman"/>
                <w:color w:val="000000" w:themeColor="text1"/>
              </w:rPr>
              <w:t xml:space="preserve">nterior overbite is </w:t>
            </w:r>
            <w:r>
              <w:rPr>
                <w:rFonts w:cs="Times New Roman"/>
                <w:color w:val="000000" w:themeColor="text1"/>
              </w:rPr>
              <w:t xml:space="preserve">measured depending on the maximum vertical coverage of one of upper incisors on lower incisors. </w:t>
            </w:r>
          </w:p>
          <w:p w14:paraId="3E4A0354" w14:textId="77777777" w:rsidR="00ED5148" w:rsidRDefault="00ED5148" w:rsidP="00E32955"/>
        </w:tc>
      </w:tr>
      <w:tr w:rsidR="00ED5148" w14:paraId="1D75C079" w14:textId="77777777" w:rsidTr="00E32955">
        <w:tc>
          <w:tcPr>
            <w:tcW w:w="1435" w:type="dxa"/>
          </w:tcPr>
          <w:p w14:paraId="02DB64C7" w14:textId="67ADFB39" w:rsidR="00ED5148" w:rsidRDefault="00ED5148" w:rsidP="00E32955">
            <w:r w:rsidRPr="00B81DE6">
              <w:lastRenderedPageBreak/>
              <w:t xml:space="preserve">Help </w:t>
            </w:r>
            <w:r>
              <w:t xml:space="preserve"> </w:t>
            </w:r>
            <w:r w:rsidR="00A76667">
              <w:t>51</w:t>
            </w:r>
          </w:p>
        </w:tc>
        <w:tc>
          <w:tcPr>
            <w:tcW w:w="7575" w:type="dxa"/>
          </w:tcPr>
          <w:p w14:paraId="35B5E097" w14:textId="750919EE" w:rsidR="00ED5148" w:rsidRPr="00A76667" w:rsidRDefault="00A76667" w:rsidP="00A76667">
            <w:pPr>
              <w:pStyle w:val="ListParagraph"/>
              <w:numPr>
                <w:ilvl w:val="0"/>
                <w:numId w:val="7"/>
              </w:numPr>
              <w:jc w:val="both"/>
              <w:rPr>
                <w:rFonts w:cs="Times New Roman"/>
                <w:color w:val="000000" w:themeColor="text1"/>
              </w:rPr>
            </w:pPr>
            <w:r>
              <w:rPr>
                <w:rFonts w:cs="Times New Roman"/>
                <w:color w:val="000000" w:themeColor="text1"/>
              </w:rPr>
              <w:t>Negative a</w:t>
            </w:r>
            <w:r w:rsidRPr="008826F4">
              <w:rPr>
                <w:rFonts w:cs="Times New Roman"/>
                <w:color w:val="000000" w:themeColor="text1"/>
              </w:rPr>
              <w:t xml:space="preserve">nterior overbite </w:t>
            </w:r>
            <w:r>
              <w:rPr>
                <w:rFonts w:cs="Times New Roman"/>
                <w:color w:val="000000" w:themeColor="text1"/>
              </w:rPr>
              <w:t xml:space="preserve">(openbite) </w:t>
            </w:r>
            <w:r w:rsidRPr="008826F4">
              <w:rPr>
                <w:rFonts w:cs="Times New Roman"/>
                <w:color w:val="000000" w:themeColor="text1"/>
              </w:rPr>
              <w:t xml:space="preserve">is </w:t>
            </w:r>
            <w:r>
              <w:rPr>
                <w:rFonts w:cs="Times New Roman"/>
                <w:color w:val="000000" w:themeColor="text1"/>
              </w:rPr>
              <w:t>measured depending on the maximum lack of vertical coverage of one of upper incisors on lower incisors.</w:t>
            </w:r>
          </w:p>
        </w:tc>
      </w:tr>
      <w:tr w:rsidR="00ED5148" w14:paraId="5126E68B" w14:textId="77777777" w:rsidTr="00E32955">
        <w:tc>
          <w:tcPr>
            <w:tcW w:w="1435" w:type="dxa"/>
          </w:tcPr>
          <w:p w14:paraId="4965B49A" w14:textId="3BDA88B2" w:rsidR="00ED5148" w:rsidRDefault="00ED5148" w:rsidP="00E32955">
            <w:r w:rsidRPr="00B81DE6">
              <w:t xml:space="preserve">Help </w:t>
            </w:r>
            <w:r>
              <w:t xml:space="preserve"> </w:t>
            </w:r>
            <w:r w:rsidR="007711EC">
              <w:t>52</w:t>
            </w:r>
          </w:p>
        </w:tc>
        <w:tc>
          <w:tcPr>
            <w:tcW w:w="7575" w:type="dxa"/>
          </w:tcPr>
          <w:p w14:paraId="5FB91C72" w14:textId="77777777" w:rsidR="007711EC" w:rsidRPr="00346D0E" w:rsidRDefault="007711EC" w:rsidP="007711EC">
            <w:pPr>
              <w:pStyle w:val="ListParagraph"/>
              <w:numPr>
                <w:ilvl w:val="0"/>
                <w:numId w:val="9"/>
              </w:numPr>
              <w:spacing w:after="160" w:line="259" w:lineRule="auto"/>
            </w:pPr>
            <w:r>
              <w:t xml:space="preserve">Total pre-treatment PAR value is </w:t>
            </w:r>
            <w:r w:rsidRPr="00346D0E">
              <w:t xml:space="preserve">the sum of the values of </w:t>
            </w:r>
            <w:r>
              <w:t xml:space="preserve">domains 1-5, </w:t>
            </w:r>
            <w:r w:rsidRPr="00346D0E">
              <w:t>let us call it P1</w:t>
            </w:r>
            <w:r>
              <w:t>.</w:t>
            </w:r>
          </w:p>
          <w:p w14:paraId="5DCE5F32" w14:textId="72011959" w:rsidR="00ED5148" w:rsidRPr="009C37A4" w:rsidRDefault="007711EC" w:rsidP="009C37A4">
            <w:pPr>
              <w:pStyle w:val="ListParagraph"/>
              <w:numPr>
                <w:ilvl w:val="0"/>
                <w:numId w:val="9"/>
              </w:numPr>
              <w:spacing w:after="160" w:line="259" w:lineRule="auto"/>
              <w:rPr>
                <w:color w:val="000000" w:themeColor="text1"/>
              </w:rPr>
            </w:pPr>
            <w:r w:rsidRPr="00AA00C7">
              <w:rPr>
                <w:color w:val="000000" w:themeColor="text1"/>
              </w:rPr>
              <w:t>Total post-treatment PAR value is the sum of the values of domains 1-5, let us call it P2.</w:t>
            </w:r>
            <w:r>
              <w:t xml:space="preserve"> </w:t>
            </w:r>
          </w:p>
        </w:tc>
      </w:tr>
      <w:tr w:rsidR="00AA00C7" w14:paraId="4C0D863C" w14:textId="77777777" w:rsidTr="00E32955">
        <w:tc>
          <w:tcPr>
            <w:tcW w:w="1435" w:type="dxa"/>
          </w:tcPr>
          <w:p w14:paraId="58DEAFBB" w14:textId="57964334" w:rsidR="00AA00C7" w:rsidRDefault="00AA00C7" w:rsidP="00E32955">
            <w:r w:rsidRPr="00B81DE6">
              <w:t xml:space="preserve">Help </w:t>
            </w:r>
            <w:r>
              <w:t xml:space="preserve"> </w:t>
            </w:r>
            <w:r w:rsidR="00E32955">
              <w:t>53</w:t>
            </w:r>
          </w:p>
        </w:tc>
        <w:tc>
          <w:tcPr>
            <w:tcW w:w="7575" w:type="dxa"/>
          </w:tcPr>
          <w:p w14:paraId="118255E1" w14:textId="40FDC9FB" w:rsidR="00AA00C7" w:rsidRDefault="00AA00C7" w:rsidP="00AA00C7">
            <w:pPr>
              <w:pStyle w:val="ListParagraph"/>
              <w:numPr>
                <w:ilvl w:val="0"/>
                <w:numId w:val="9"/>
              </w:numPr>
            </w:pPr>
            <w:r>
              <w:t>The weighted overjet domain (domain No. 1) is equal to the total score of the domain multiplied by 6.</w:t>
            </w:r>
          </w:p>
          <w:p w14:paraId="3F76CC5D" w14:textId="77777777" w:rsidR="00AA00C7" w:rsidRDefault="00AA00C7" w:rsidP="00AA00C7">
            <w:pPr>
              <w:pStyle w:val="ListParagraph"/>
              <w:numPr>
                <w:ilvl w:val="0"/>
                <w:numId w:val="9"/>
              </w:numPr>
            </w:pPr>
            <w:r>
              <w:t>The weighted buccal occlusion domain (domain No. 2) is equal to the total score of the domain multiplied by 1.</w:t>
            </w:r>
          </w:p>
          <w:p w14:paraId="244E04C0" w14:textId="77777777" w:rsidR="00AA00C7" w:rsidRDefault="00AA00C7" w:rsidP="00AA00C7">
            <w:pPr>
              <w:pStyle w:val="ListParagraph"/>
              <w:numPr>
                <w:ilvl w:val="0"/>
                <w:numId w:val="9"/>
              </w:numPr>
            </w:pPr>
            <w:r>
              <w:t>The weighted anterior segment domain (</w:t>
            </w:r>
            <w:proofErr w:type="spellStart"/>
            <w:r>
              <w:t>domain</w:t>
            </w:r>
            <w:proofErr w:type="spellEnd"/>
            <w:r>
              <w:t xml:space="preserve"> No. 3) is equal to the total score of the domain multiplied by 1.</w:t>
            </w:r>
          </w:p>
          <w:p w14:paraId="0D90ACB2" w14:textId="77777777" w:rsidR="00AA00C7" w:rsidRDefault="00AA00C7" w:rsidP="00AA00C7">
            <w:pPr>
              <w:pStyle w:val="ListParagraph"/>
              <w:numPr>
                <w:ilvl w:val="0"/>
                <w:numId w:val="9"/>
              </w:numPr>
            </w:pPr>
            <w:r>
              <w:t>The weighted centerline domain (</w:t>
            </w:r>
            <w:proofErr w:type="spellStart"/>
            <w:r>
              <w:t>domain</w:t>
            </w:r>
            <w:proofErr w:type="spellEnd"/>
            <w:r>
              <w:t xml:space="preserve"> No. 4) is equal to the total score of the domain multiplied by 4.</w:t>
            </w:r>
          </w:p>
          <w:p w14:paraId="7208861A" w14:textId="7D0B7F2C" w:rsidR="00AA00C7" w:rsidRDefault="00AA00C7" w:rsidP="00AA00C7">
            <w:pPr>
              <w:pStyle w:val="ListParagraph"/>
              <w:numPr>
                <w:ilvl w:val="0"/>
                <w:numId w:val="9"/>
              </w:numPr>
            </w:pPr>
            <w:r>
              <w:t>The weighted overbite domain (</w:t>
            </w:r>
            <w:proofErr w:type="spellStart"/>
            <w:r>
              <w:t>domain</w:t>
            </w:r>
            <w:proofErr w:type="spellEnd"/>
            <w:r>
              <w:t xml:space="preserve"> No. 5) is equal to the total score of the domain multiplied by 2.</w:t>
            </w:r>
          </w:p>
        </w:tc>
      </w:tr>
      <w:tr w:rsidR="009C37A4" w14:paraId="40BA90DB" w14:textId="77777777" w:rsidTr="00D23148">
        <w:tc>
          <w:tcPr>
            <w:tcW w:w="1435" w:type="dxa"/>
          </w:tcPr>
          <w:p w14:paraId="0426073C" w14:textId="77777777" w:rsidR="009C37A4" w:rsidRPr="00B81DE6" w:rsidRDefault="009C37A4" w:rsidP="00D23148">
            <w:r w:rsidRPr="00B81DE6">
              <w:t xml:space="preserve">Help </w:t>
            </w:r>
            <w:r>
              <w:t xml:space="preserve"> 53</w:t>
            </w:r>
          </w:p>
        </w:tc>
        <w:tc>
          <w:tcPr>
            <w:tcW w:w="7575" w:type="dxa"/>
          </w:tcPr>
          <w:p w14:paraId="132D0236" w14:textId="4E3A33B2" w:rsidR="009C37A4" w:rsidRPr="009C37A4" w:rsidRDefault="009C37A4" w:rsidP="009C37A4">
            <w:pPr>
              <w:pStyle w:val="ListParagraph"/>
              <w:numPr>
                <w:ilvl w:val="0"/>
                <w:numId w:val="9"/>
              </w:numPr>
              <w:spacing w:after="160" w:line="259" w:lineRule="auto"/>
              <w:rPr>
                <w:color w:val="000000" w:themeColor="text1"/>
              </w:rPr>
            </w:pPr>
            <w:r w:rsidRPr="00AA00C7">
              <w:rPr>
                <w:color w:val="000000" w:themeColor="text1"/>
              </w:rPr>
              <w:t xml:space="preserve">Point based treatment changes: P1-P2. Change is more than 22 point indicates a great improvement secondary to the treatment. </w:t>
            </w:r>
          </w:p>
        </w:tc>
      </w:tr>
      <w:tr w:rsidR="009C37A4" w14:paraId="680BF808" w14:textId="77777777" w:rsidTr="00D23148">
        <w:tc>
          <w:tcPr>
            <w:tcW w:w="1435" w:type="dxa"/>
          </w:tcPr>
          <w:p w14:paraId="24EC8D4E" w14:textId="77777777" w:rsidR="009C37A4" w:rsidRPr="00B81DE6" w:rsidRDefault="009C37A4" w:rsidP="00D23148">
            <w:r w:rsidRPr="00B81DE6">
              <w:t xml:space="preserve">Help </w:t>
            </w:r>
            <w:r>
              <w:t xml:space="preserve"> 54</w:t>
            </w:r>
          </w:p>
        </w:tc>
        <w:tc>
          <w:tcPr>
            <w:tcW w:w="7575" w:type="dxa"/>
          </w:tcPr>
          <w:p w14:paraId="21F5A6C8" w14:textId="0195EDD4" w:rsidR="009C37A4" w:rsidRPr="009C37A4" w:rsidRDefault="009C37A4" w:rsidP="009C37A4">
            <w:pPr>
              <w:pStyle w:val="ListParagraph"/>
              <w:numPr>
                <w:ilvl w:val="0"/>
                <w:numId w:val="9"/>
              </w:numPr>
              <w:spacing w:after="160" w:line="259" w:lineRule="auto"/>
              <w:rPr>
                <w:color w:val="000000" w:themeColor="text1"/>
              </w:rPr>
            </w:pPr>
            <w:r w:rsidRPr="00AA00C7">
              <w:rPr>
                <w:color w:val="000000" w:themeColor="text1"/>
              </w:rPr>
              <w:t xml:space="preserve">PAR percentage changes: P2-P1/P1. A ratio equal or more than 70%, 30%-70% and less than 30% indicate a </w:t>
            </w:r>
            <w:bookmarkStart w:id="0" w:name="_GoBack"/>
            <w:r w:rsidRPr="00AA00C7">
              <w:rPr>
                <w:color w:val="000000" w:themeColor="text1"/>
              </w:rPr>
              <w:t>great improvement, improvement, worse/no improvement secondary to the treatment</w:t>
            </w:r>
            <w:bookmarkEnd w:id="0"/>
            <w:r w:rsidRPr="00AA00C7">
              <w:rPr>
                <w:color w:val="000000" w:themeColor="text1"/>
              </w:rPr>
              <w:t xml:space="preserve"> respectively.  </w:t>
            </w:r>
          </w:p>
        </w:tc>
      </w:tr>
      <w:tr w:rsidR="00AA00C7" w14:paraId="46205D7A" w14:textId="77777777" w:rsidTr="00E32955">
        <w:tc>
          <w:tcPr>
            <w:tcW w:w="1435" w:type="dxa"/>
          </w:tcPr>
          <w:p w14:paraId="5A386495" w14:textId="189176A2" w:rsidR="00AA00C7" w:rsidRPr="00B81DE6" w:rsidRDefault="009C37A4" w:rsidP="009C37A4">
            <w:r w:rsidRPr="00B81DE6">
              <w:t xml:space="preserve">Help </w:t>
            </w:r>
            <w:r>
              <w:t xml:space="preserve"> </w:t>
            </w:r>
            <w:r>
              <w:t>55</w:t>
            </w:r>
          </w:p>
        </w:tc>
        <w:tc>
          <w:tcPr>
            <w:tcW w:w="7575" w:type="dxa"/>
          </w:tcPr>
          <w:p w14:paraId="407791C7" w14:textId="62654659" w:rsidR="00AA00C7" w:rsidRDefault="009C37A4" w:rsidP="009C37A4">
            <w:r w:rsidRPr="00AA00C7">
              <w:rPr>
                <w:color w:val="000000" w:themeColor="text1"/>
              </w:rPr>
              <w:t xml:space="preserve">PAR nomogram: P1 and P2 </w:t>
            </w:r>
            <w:r>
              <w:t xml:space="preserve">scores is plotted on a PAR </w:t>
            </w:r>
            <w:proofErr w:type="spellStart"/>
            <w:r>
              <w:t>nomograph</w:t>
            </w:r>
            <w:proofErr w:type="spellEnd"/>
            <w:r>
              <w:t>.</w:t>
            </w:r>
          </w:p>
        </w:tc>
      </w:tr>
    </w:tbl>
    <w:p w14:paraId="6CCC1328" w14:textId="77777777" w:rsidR="00A256B3" w:rsidRDefault="00A256B3"/>
    <w:sectPr w:rsidR="00A256B3" w:rsidSect="005F22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5039"/>
    <w:multiLevelType w:val="hybridMultilevel"/>
    <w:tmpl w:val="D2C205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6D15AA"/>
    <w:multiLevelType w:val="hybridMultilevel"/>
    <w:tmpl w:val="3CBEC270"/>
    <w:lvl w:ilvl="0" w:tplc="0809000F">
      <w:start w:val="1"/>
      <w:numFmt w:val="decimal"/>
      <w:lvlText w:val="%1."/>
      <w:lvlJc w:val="left"/>
      <w:pPr>
        <w:tabs>
          <w:tab w:val="num" w:pos="720"/>
        </w:tabs>
        <w:ind w:left="720" w:hanging="360"/>
      </w:pPr>
    </w:lvl>
    <w:lvl w:ilvl="1" w:tplc="0809000F">
      <w:start w:val="1"/>
      <w:numFmt w:val="decimal"/>
      <w:lvlText w:val="%2."/>
      <w:lvlJc w:val="left"/>
      <w:pPr>
        <w:ind w:left="1440" w:hanging="360"/>
      </w:pPr>
      <w:rPr>
        <w:rFonts w:hint="default"/>
      </w:rPr>
    </w:lvl>
    <w:lvl w:ilvl="2" w:tplc="9AD8FAC6">
      <w:start w:val="1"/>
      <w:numFmt w:val="decimal"/>
      <w:lvlText w:val="%3."/>
      <w:lvlJc w:val="left"/>
      <w:pPr>
        <w:tabs>
          <w:tab w:val="num" w:pos="113"/>
        </w:tabs>
        <w:ind w:left="227" w:hanging="227"/>
      </w:pPr>
      <w:rPr>
        <w:rFonts w:hint="default"/>
        <w:b w:val="0"/>
        <w:i w:val="0"/>
        <w:sz w:val="24"/>
        <w:szCs w:val="24"/>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9372370"/>
    <w:multiLevelType w:val="hybridMultilevel"/>
    <w:tmpl w:val="87F2ECF8"/>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800"/>
        </w:tabs>
        <w:ind w:left="1800" w:hanging="360"/>
      </w:pPr>
      <w:rPr>
        <w:rFonts w:ascii="Courier New" w:hAnsi="Courier New" w:cs="Courier New" w:hint="default"/>
      </w:rPr>
    </w:lvl>
    <w:lvl w:ilvl="2" w:tplc="9AD8FAC6">
      <w:start w:val="1"/>
      <w:numFmt w:val="decimal"/>
      <w:lvlText w:val="%3."/>
      <w:lvlJc w:val="left"/>
      <w:pPr>
        <w:tabs>
          <w:tab w:val="num" w:pos="113"/>
        </w:tabs>
        <w:ind w:left="227" w:hanging="227"/>
      </w:pPr>
      <w:rPr>
        <w:rFonts w:hint="default"/>
        <w:b w:val="0"/>
        <w:i w:val="0"/>
        <w:sz w:val="24"/>
        <w:szCs w:val="24"/>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EDE7E8F"/>
    <w:multiLevelType w:val="hybridMultilevel"/>
    <w:tmpl w:val="7EBA49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43A602EF"/>
    <w:multiLevelType w:val="hybridMultilevel"/>
    <w:tmpl w:val="8F8ECF68"/>
    <w:lvl w:ilvl="0" w:tplc="08090003">
      <w:start w:val="1"/>
      <w:numFmt w:val="bullet"/>
      <w:lvlText w:val="o"/>
      <w:lvlJc w:val="left"/>
      <w:pPr>
        <w:tabs>
          <w:tab w:val="num" w:pos="1440"/>
        </w:tabs>
        <w:ind w:left="144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nsid w:val="450C2A69"/>
    <w:multiLevelType w:val="hybridMultilevel"/>
    <w:tmpl w:val="C55CD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9B6CFD"/>
    <w:multiLevelType w:val="hybridMultilevel"/>
    <w:tmpl w:val="F1E0C674"/>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800"/>
        </w:tabs>
        <w:ind w:left="1800" w:hanging="360"/>
      </w:pPr>
      <w:rPr>
        <w:rFonts w:ascii="Courier New" w:hAnsi="Courier New" w:cs="Courier New" w:hint="default"/>
      </w:rPr>
    </w:lvl>
    <w:lvl w:ilvl="2" w:tplc="9AD8FAC6">
      <w:start w:val="1"/>
      <w:numFmt w:val="decimal"/>
      <w:lvlText w:val="%3."/>
      <w:lvlJc w:val="left"/>
      <w:pPr>
        <w:tabs>
          <w:tab w:val="num" w:pos="113"/>
        </w:tabs>
        <w:ind w:left="227" w:hanging="227"/>
      </w:pPr>
      <w:rPr>
        <w:rFonts w:hint="default"/>
        <w:b w:val="0"/>
        <w:i w:val="0"/>
        <w:sz w:val="24"/>
        <w:szCs w:val="24"/>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798B0CCC"/>
    <w:multiLevelType w:val="hybridMultilevel"/>
    <w:tmpl w:val="560A1E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EA543D4"/>
    <w:multiLevelType w:val="hybridMultilevel"/>
    <w:tmpl w:val="DEA02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4"/>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8F"/>
    <w:rsid w:val="00001515"/>
    <w:rsid w:val="000070D6"/>
    <w:rsid w:val="00007D29"/>
    <w:rsid w:val="0001675E"/>
    <w:rsid w:val="00022605"/>
    <w:rsid w:val="00022911"/>
    <w:rsid w:val="0002479C"/>
    <w:rsid w:val="00026533"/>
    <w:rsid w:val="00030442"/>
    <w:rsid w:val="0003164C"/>
    <w:rsid w:val="0003169C"/>
    <w:rsid w:val="00035FF5"/>
    <w:rsid w:val="00036607"/>
    <w:rsid w:val="00040712"/>
    <w:rsid w:val="00040AB6"/>
    <w:rsid w:val="00045027"/>
    <w:rsid w:val="000520A7"/>
    <w:rsid w:val="00052EAF"/>
    <w:rsid w:val="00053937"/>
    <w:rsid w:val="000601D7"/>
    <w:rsid w:val="00064D7C"/>
    <w:rsid w:val="00065865"/>
    <w:rsid w:val="00081077"/>
    <w:rsid w:val="00082C6A"/>
    <w:rsid w:val="00095A87"/>
    <w:rsid w:val="000A22EE"/>
    <w:rsid w:val="000A3869"/>
    <w:rsid w:val="000B03C1"/>
    <w:rsid w:val="000B06BD"/>
    <w:rsid w:val="000B1891"/>
    <w:rsid w:val="000B4A80"/>
    <w:rsid w:val="000B59E5"/>
    <w:rsid w:val="000C032F"/>
    <w:rsid w:val="000C6C9B"/>
    <w:rsid w:val="000D2809"/>
    <w:rsid w:val="000D35FA"/>
    <w:rsid w:val="000D61CE"/>
    <w:rsid w:val="000D7D93"/>
    <w:rsid w:val="000E1597"/>
    <w:rsid w:val="000E2F83"/>
    <w:rsid w:val="000E33E9"/>
    <w:rsid w:val="000E7599"/>
    <w:rsid w:val="000F750A"/>
    <w:rsid w:val="00100839"/>
    <w:rsid w:val="001062D2"/>
    <w:rsid w:val="0011039A"/>
    <w:rsid w:val="00116CEC"/>
    <w:rsid w:val="00116FEB"/>
    <w:rsid w:val="00121862"/>
    <w:rsid w:val="00121E31"/>
    <w:rsid w:val="00124202"/>
    <w:rsid w:val="00126585"/>
    <w:rsid w:val="001270C9"/>
    <w:rsid w:val="001331AB"/>
    <w:rsid w:val="00135549"/>
    <w:rsid w:val="00136C57"/>
    <w:rsid w:val="00141BD3"/>
    <w:rsid w:val="0014229F"/>
    <w:rsid w:val="001658D5"/>
    <w:rsid w:val="001665BA"/>
    <w:rsid w:val="00166727"/>
    <w:rsid w:val="0017122F"/>
    <w:rsid w:val="0017189C"/>
    <w:rsid w:val="00171D90"/>
    <w:rsid w:val="001737C4"/>
    <w:rsid w:val="001769EB"/>
    <w:rsid w:val="00180718"/>
    <w:rsid w:val="001818DD"/>
    <w:rsid w:val="00182021"/>
    <w:rsid w:val="001821EF"/>
    <w:rsid w:val="001823FD"/>
    <w:rsid w:val="00182657"/>
    <w:rsid w:val="001879BC"/>
    <w:rsid w:val="00192AFC"/>
    <w:rsid w:val="00192D7E"/>
    <w:rsid w:val="00193CCB"/>
    <w:rsid w:val="001A2306"/>
    <w:rsid w:val="001A29B2"/>
    <w:rsid w:val="001A4A79"/>
    <w:rsid w:val="001A6F07"/>
    <w:rsid w:val="001A7B27"/>
    <w:rsid w:val="001B01AE"/>
    <w:rsid w:val="001B0C8C"/>
    <w:rsid w:val="001B2E74"/>
    <w:rsid w:val="001B4131"/>
    <w:rsid w:val="001B7044"/>
    <w:rsid w:val="001C6D75"/>
    <w:rsid w:val="001D07DE"/>
    <w:rsid w:val="001D31BA"/>
    <w:rsid w:val="001D3302"/>
    <w:rsid w:val="001D3B54"/>
    <w:rsid w:val="001D51F3"/>
    <w:rsid w:val="001D75C8"/>
    <w:rsid w:val="001E05E2"/>
    <w:rsid w:val="001E0D76"/>
    <w:rsid w:val="001E2B3B"/>
    <w:rsid w:val="001E3E87"/>
    <w:rsid w:val="001E64B7"/>
    <w:rsid w:val="001E74A6"/>
    <w:rsid w:val="001E75B5"/>
    <w:rsid w:val="001F0909"/>
    <w:rsid w:val="001F4884"/>
    <w:rsid w:val="001F55BB"/>
    <w:rsid w:val="0020099E"/>
    <w:rsid w:val="00201227"/>
    <w:rsid w:val="0020379F"/>
    <w:rsid w:val="0020413E"/>
    <w:rsid w:val="002058AD"/>
    <w:rsid w:val="0021299C"/>
    <w:rsid w:val="002176EF"/>
    <w:rsid w:val="0022090F"/>
    <w:rsid w:val="002257AF"/>
    <w:rsid w:val="00231925"/>
    <w:rsid w:val="00231A79"/>
    <w:rsid w:val="00233724"/>
    <w:rsid w:val="002357AD"/>
    <w:rsid w:val="0023580B"/>
    <w:rsid w:val="002372CF"/>
    <w:rsid w:val="002400F8"/>
    <w:rsid w:val="00241887"/>
    <w:rsid w:val="00241D69"/>
    <w:rsid w:val="00244419"/>
    <w:rsid w:val="00245408"/>
    <w:rsid w:val="002459E9"/>
    <w:rsid w:val="00251CE0"/>
    <w:rsid w:val="00251E65"/>
    <w:rsid w:val="0025203D"/>
    <w:rsid w:val="00252AE6"/>
    <w:rsid w:val="00253EB8"/>
    <w:rsid w:val="002562F3"/>
    <w:rsid w:val="00256AB5"/>
    <w:rsid w:val="00257BDF"/>
    <w:rsid w:val="0026213C"/>
    <w:rsid w:val="00264EC7"/>
    <w:rsid w:val="0026784A"/>
    <w:rsid w:val="00271CEB"/>
    <w:rsid w:val="002803A9"/>
    <w:rsid w:val="00280F56"/>
    <w:rsid w:val="00281019"/>
    <w:rsid w:val="002817AC"/>
    <w:rsid w:val="0028406F"/>
    <w:rsid w:val="00284420"/>
    <w:rsid w:val="00286529"/>
    <w:rsid w:val="0029763B"/>
    <w:rsid w:val="002A011D"/>
    <w:rsid w:val="002A0A0E"/>
    <w:rsid w:val="002A0E16"/>
    <w:rsid w:val="002A56D3"/>
    <w:rsid w:val="002A7CFE"/>
    <w:rsid w:val="002B07CF"/>
    <w:rsid w:val="002B1B0C"/>
    <w:rsid w:val="002B2C9D"/>
    <w:rsid w:val="002B3DC3"/>
    <w:rsid w:val="002B4450"/>
    <w:rsid w:val="002B4F87"/>
    <w:rsid w:val="002C04A0"/>
    <w:rsid w:val="002C308E"/>
    <w:rsid w:val="002C39F1"/>
    <w:rsid w:val="002C522D"/>
    <w:rsid w:val="002C73FE"/>
    <w:rsid w:val="002D7674"/>
    <w:rsid w:val="002E22EA"/>
    <w:rsid w:val="002E5405"/>
    <w:rsid w:val="002E5A1B"/>
    <w:rsid w:val="002E7FDA"/>
    <w:rsid w:val="002F2086"/>
    <w:rsid w:val="002F679D"/>
    <w:rsid w:val="00302E8F"/>
    <w:rsid w:val="00302EF4"/>
    <w:rsid w:val="003044CD"/>
    <w:rsid w:val="00305563"/>
    <w:rsid w:val="00315D5B"/>
    <w:rsid w:val="00316350"/>
    <w:rsid w:val="00317038"/>
    <w:rsid w:val="003201B0"/>
    <w:rsid w:val="00321117"/>
    <w:rsid w:val="00325B00"/>
    <w:rsid w:val="00327C53"/>
    <w:rsid w:val="0033549C"/>
    <w:rsid w:val="00336F19"/>
    <w:rsid w:val="0034106D"/>
    <w:rsid w:val="00342A98"/>
    <w:rsid w:val="0034584C"/>
    <w:rsid w:val="00347833"/>
    <w:rsid w:val="0035403C"/>
    <w:rsid w:val="00355E03"/>
    <w:rsid w:val="00356594"/>
    <w:rsid w:val="00356A35"/>
    <w:rsid w:val="003672B3"/>
    <w:rsid w:val="00373DEE"/>
    <w:rsid w:val="003764CB"/>
    <w:rsid w:val="00376B2E"/>
    <w:rsid w:val="003773FF"/>
    <w:rsid w:val="003833E2"/>
    <w:rsid w:val="0038526A"/>
    <w:rsid w:val="00392E32"/>
    <w:rsid w:val="00393F02"/>
    <w:rsid w:val="003A150E"/>
    <w:rsid w:val="003A7A09"/>
    <w:rsid w:val="003A7D1A"/>
    <w:rsid w:val="003B0F0E"/>
    <w:rsid w:val="003B1514"/>
    <w:rsid w:val="003B2F93"/>
    <w:rsid w:val="003B3643"/>
    <w:rsid w:val="003B3C36"/>
    <w:rsid w:val="003B6896"/>
    <w:rsid w:val="003C05AE"/>
    <w:rsid w:val="003C3BC3"/>
    <w:rsid w:val="003C4A90"/>
    <w:rsid w:val="003C5789"/>
    <w:rsid w:val="003C7DE8"/>
    <w:rsid w:val="003D6481"/>
    <w:rsid w:val="003D69C2"/>
    <w:rsid w:val="003E400C"/>
    <w:rsid w:val="003E4DEB"/>
    <w:rsid w:val="003E55FD"/>
    <w:rsid w:val="003E7708"/>
    <w:rsid w:val="003F1A32"/>
    <w:rsid w:val="003F1A4B"/>
    <w:rsid w:val="003F29A9"/>
    <w:rsid w:val="003F43E6"/>
    <w:rsid w:val="003F4C59"/>
    <w:rsid w:val="003F768D"/>
    <w:rsid w:val="003F771D"/>
    <w:rsid w:val="00402E1A"/>
    <w:rsid w:val="00405377"/>
    <w:rsid w:val="00406601"/>
    <w:rsid w:val="004150C8"/>
    <w:rsid w:val="004162C7"/>
    <w:rsid w:val="00421959"/>
    <w:rsid w:val="00421D7F"/>
    <w:rsid w:val="00425A4D"/>
    <w:rsid w:val="0042644E"/>
    <w:rsid w:val="00433EA3"/>
    <w:rsid w:val="00435BCA"/>
    <w:rsid w:val="0043750C"/>
    <w:rsid w:val="00442A8E"/>
    <w:rsid w:val="0044402C"/>
    <w:rsid w:val="00446C94"/>
    <w:rsid w:val="00447901"/>
    <w:rsid w:val="00450116"/>
    <w:rsid w:val="00452880"/>
    <w:rsid w:val="00455CD2"/>
    <w:rsid w:val="0045734C"/>
    <w:rsid w:val="00457762"/>
    <w:rsid w:val="00467938"/>
    <w:rsid w:val="00467E31"/>
    <w:rsid w:val="004758C4"/>
    <w:rsid w:val="004776BE"/>
    <w:rsid w:val="00480CD9"/>
    <w:rsid w:val="00483850"/>
    <w:rsid w:val="00483B76"/>
    <w:rsid w:val="004861D9"/>
    <w:rsid w:val="00487999"/>
    <w:rsid w:val="0049101B"/>
    <w:rsid w:val="004913FD"/>
    <w:rsid w:val="0049283B"/>
    <w:rsid w:val="004948D4"/>
    <w:rsid w:val="00496841"/>
    <w:rsid w:val="004973C5"/>
    <w:rsid w:val="004A066A"/>
    <w:rsid w:val="004A1686"/>
    <w:rsid w:val="004A646C"/>
    <w:rsid w:val="004B2169"/>
    <w:rsid w:val="004B281C"/>
    <w:rsid w:val="004B3329"/>
    <w:rsid w:val="004B3A37"/>
    <w:rsid w:val="004B56DD"/>
    <w:rsid w:val="004C1408"/>
    <w:rsid w:val="004D0FAD"/>
    <w:rsid w:val="004D1576"/>
    <w:rsid w:val="004D1632"/>
    <w:rsid w:val="004D4160"/>
    <w:rsid w:val="004D76C5"/>
    <w:rsid w:val="004D79D4"/>
    <w:rsid w:val="004E22A9"/>
    <w:rsid w:val="004E3A16"/>
    <w:rsid w:val="004E784E"/>
    <w:rsid w:val="004F20D4"/>
    <w:rsid w:val="004F308E"/>
    <w:rsid w:val="004F75DA"/>
    <w:rsid w:val="004F7C54"/>
    <w:rsid w:val="00500216"/>
    <w:rsid w:val="0050110A"/>
    <w:rsid w:val="00502368"/>
    <w:rsid w:val="00503E60"/>
    <w:rsid w:val="00504B16"/>
    <w:rsid w:val="00513B04"/>
    <w:rsid w:val="00521851"/>
    <w:rsid w:val="00523661"/>
    <w:rsid w:val="005259AD"/>
    <w:rsid w:val="00526390"/>
    <w:rsid w:val="00530711"/>
    <w:rsid w:val="00532145"/>
    <w:rsid w:val="0053225B"/>
    <w:rsid w:val="00532ADF"/>
    <w:rsid w:val="0053384E"/>
    <w:rsid w:val="005402C7"/>
    <w:rsid w:val="00542C16"/>
    <w:rsid w:val="00546A2B"/>
    <w:rsid w:val="00547199"/>
    <w:rsid w:val="005473B4"/>
    <w:rsid w:val="00547BA6"/>
    <w:rsid w:val="005527F2"/>
    <w:rsid w:val="00554275"/>
    <w:rsid w:val="00556435"/>
    <w:rsid w:val="00557348"/>
    <w:rsid w:val="00560388"/>
    <w:rsid w:val="005647E4"/>
    <w:rsid w:val="00564925"/>
    <w:rsid w:val="00565B08"/>
    <w:rsid w:val="0056772D"/>
    <w:rsid w:val="00573575"/>
    <w:rsid w:val="00575365"/>
    <w:rsid w:val="00575CE8"/>
    <w:rsid w:val="00576025"/>
    <w:rsid w:val="00576CD0"/>
    <w:rsid w:val="00581779"/>
    <w:rsid w:val="00584320"/>
    <w:rsid w:val="00592049"/>
    <w:rsid w:val="00594E22"/>
    <w:rsid w:val="0059568C"/>
    <w:rsid w:val="005A453B"/>
    <w:rsid w:val="005A7A69"/>
    <w:rsid w:val="005B0C5F"/>
    <w:rsid w:val="005B1FDA"/>
    <w:rsid w:val="005B2235"/>
    <w:rsid w:val="005B4F28"/>
    <w:rsid w:val="005B6195"/>
    <w:rsid w:val="005B64AD"/>
    <w:rsid w:val="005C106D"/>
    <w:rsid w:val="005C189E"/>
    <w:rsid w:val="005C34A4"/>
    <w:rsid w:val="005C4D6C"/>
    <w:rsid w:val="005D11B0"/>
    <w:rsid w:val="005D1DC4"/>
    <w:rsid w:val="005D43B1"/>
    <w:rsid w:val="005D43FD"/>
    <w:rsid w:val="005E1DD3"/>
    <w:rsid w:val="005E3267"/>
    <w:rsid w:val="005E3D90"/>
    <w:rsid w:val="005E44A5"/>
    <w:rsid w:val="005E4F18"/>
    <w:rsid w:val="005E64C0"/>
    <w:rsid w:val="005E7AF8"/>
    <w:rsid w:val="005F1AAF"/>
    <w:rsid w:val="005F216E"/>
    <w:rsid w:val="005F22E9"/>
    <w:rsid w:val="005F45E2"/>
    <w:rsid w:val="005F48EC"/>
    <w:rsid w:val="006001FF"/>
    <w:rsid w:val="00601315"/>
    <w:rsid w:val="00602D94"/>
    <w:rsid w:val="00604387"/>
    <w:rsid w:val="00604C93"/>
    <w:rsid w:val="00607094"/>
    <w:rsid w:val="006075FD"/>
    <w:rsid w:val="00612F9B"/>
    <w:rsid w:val="00614B5E"/>
    <w:rsid w:val="00616FCC"/>
    <w:rsid w:val="00625482"/>
    <w:rsid w:val="00626AAA"/>
    <w:rsid w:val="00632B2D"/>
    <w:rsid w:val="00633BF2"/>
    <w:rsid w:val="00633D19"/>
    <w:rsid w:val="006346E0"/>
    <w:rsid w:val="0063696A"/>
    <w:rsid w:val="00636E61"/>
    <w:rsid w:val="00641B15"/>
    <w:rsid w:val="00642E70"/>
    <w:rsid w:val="006430B1"/>
    <w:rsid w:val="00643375"/>
    <w:rsid w:val="00643CFD"/>
    <w:rsid w:val="00645387"/>
    <w:rsid w:val="00645FE0"/>
    <w:rsid w:val="006471A5"/>
    <w:rsid w:val="00647AC5"/>
    <w:rsid w:val="0065576A"/>
    <w:rsid w:val="00657425"/>
    <w:rsid w:val="0067696A"/>
    <w:rsid w:val="00677994"/>
    <w:rsid w:val="00677D9D"/>
    <w:rsid w:val="00680343"/>
    <w:rsid w:val="0068053A"/>
    <w:rsid w:val="00680F0E"/>
    <w:rsid w:val="0068156A"/>
    <w:rsid w:val="00686204"/>
    <w:rsid w:val="006865CE"/>
    <w:rsid w:val="00687416"/>
    <w:rsid w:val="0068752E"/>
    <w:rsid w:val="00696775"/>
    <w:rsid w:val="006A0212"/>
    <w:rsid w:val="006A10C8"/>
    <w:rsid w:val="006A11F6"/>
    <w:rsid w:val="006B1E3A"/>
    <w:rsid w:val="006B47D1"/>
    <w:rsid w:val="006D0589"/>
    <w:rsid w:val="006D2449"/>
    <w:rsid w:val="006E1B1C"/>
    <w:rsid w:val="006E67BF"/>
    <w:rsid w:val="006E7F0D"/>
    <w:rsid w:val="0070100E"/>
    <w:rsid w:val="00703972"/>
    <w:rsid w:val="0070489D"/>
    <w:rsid w:val="00705D8D"/>
    <w:rsid w:val="00713C98"/>
    <w:rsid w:val="00714D43"/>
    <w:rsid w:val="00715DB7"/>
    <w:rsid w:val="0071766B"/>
    <w:rsid w:val="00717840"/>
    <w:rsid w:val="00720048"/>
    <w:rsid w:val="007207DE"/>
    <w:rsid w:val="00722124"/>
    <w:rsid w:val="00723996"/>
    <w:rsid w:val="00724435"/>
    <w:rsid w:val="00726CD3"/>
    <w:rsid w:val="0072771B"/>
    <w:rsid w:val="007369BB"/>
    <w:rsid w:val="0074241F"/>
    <w:rsid w:val="00742FCB"/>
    <w:rsid w:val="00743A37"/>
    <w:rsid w:val="00743FE8"/>
    <w:rsid w:val="00746674"/>
    <w:rsid w:val="00752A1E"/>
    <w:rsid w:val="007540DF"/>
    <w:rsid w:val="00757A89"/>
    <w:rsid w:val="0076357F"/>
    <w:rsid w:val="00765579"/>
    <w:rsid w:val="007711EC"/>
    <w:rsid w:val="0077252D"/>
    <w:rsid w:val="00777CBE"/>
    <w:rsid w:val="00780983"/>
    <w:rsid w:val="007820D2"/>
    <w:rsid w:val="00782E4A"/>
    <w:rsid w:val="0078327B"/>
    <w:rsid w:val="007928EF"/>
    <w:rsid w:val="007951ED"/>
    <w:rsid w:val="00795FA4"/>
    <w:rsid w:val="007972A9"/>
    <w:rsid w:val="00797C9F"/>
    <w:rsid w:val="007A25B0"/>
    <w:rsid w:val="007A38D9"/>
    <w:rsid w:val="007A6DF2"/>
    <w:rsid w:val="007B7FF2"/>
    <w:rsid w:val="007C03E7"/>
    <w:rsid w:val="007C2C8E"/>
    <w:rsid w:val="007C3B28"/>
    <w:rsid w:val="007C3C4A"/>
    <w:rsid w:val="007C4777"/>
    <w:rsid w:val="007C6179"/>
    <w:rsid w:val="007D0756"/>
    <w:rsid w:val="007D56DD"/>
    <w:rsid w:val="007D5DAC"/>
    <w:rsid w:val="007D6F65"/>
    <w:rsid w:val="007D71B4"/>
    <w:rsid w:val="007F0F2D"/>
    <w:rsid w:val="007F11AE"/>
    <w:rsid w:val="008046B0"/>
    <w:rsid w:val="008102CF"/>
    <w:rsid w:val="0081088B"/>
    <w:rsid w:val="00810CE3"/>
    <w:rsid w:val="00817FC9"/>
    <w:rsid w:val="00820324"/>
    <w:rsid w:val="00823F87"/>
    <w:rsid w:val="008248BA"/>
    <w:rsid w:val="00825730"/>
    <w:rsid w:val="0082656B"/>
    <w:rsid w:val="00826882"/>
    <w:rsid w:val="008273DB"/>
    <w:rsid w:val="008308FA"/>
    <w:rsid w:val="00841455"/>
    <w:rsid w:val="00842465"/>
    <w:rsid w:val="00842A91"/>
    <w:rsid w:val="0084437A"/>
    <w:rsid w:val="00844716"/>
    <w:rsid w:val="00846268"/>
    <w:rsid w:val="00850644"/>
    <w:rsid w:val="00852C58"/>
    <w:rsid w:val="008535F3"/>
    <w:rsid w:val="00854188"/>
    <w:rsid w:val="0085513C"/>
    <w:rsid w:val="00857846"/>
    <w:rsid w:val="00857A49"/>
    <w:rsid w:val="00864C46"/>
    <w:rsid w:val="0087130E"/>
    <w:rsid w:val="00873582"/>
    <w:rsid w:val="00873A7F"/>
    <w:rsid w:val="00875A5B"/>
    <w:rsid w:val="00877B9B"/>
    <w:rsid w:val="008826F4"/>
    <w:rsid w:val="00890713"/>
    <w:rsid w:val="008915B7"/>
    <w:rsid w:val="00891713"/>
    <w:rsid w:val="008944A7"/>
    <w:rsid w:val="00894D51"/>
    <w:rsid w:val="00894DB5"/>
    <w:rsid w:val="00895B1E"/>
    <w:rsid w:val="008A4C06"/>
    <w:rsid w:val="008A661E"/>
    <w:rsid w:val="008A698C"/>
    <w:rsid w:val="008A6BD3"/>
    <w:rsid w:val="008A7927"/>
    <w:rsid w:val="008B366B"/>
    <w:rsid w:val="008B450A"/>
    <w:rsid w:val="008B4DF3"/>
    <w:rsid w:val="008B62B4"/>
    <w:rsid w:val="008C0FBA"/>
    <w:rsid w:val="008C3694"/>
    <w:rsid w:val="008C5AD9"/>
    <w:rsid w:val="008C6B7D"/>
    <w:rsid w:val="008D0D79"/>
    <w:rsid w:val="008D3616"/>
    <w:rsid w:val="008D3F07"/>
    <w:rsid w:val="008D5D22"/>
    <w:rsid w:val="008D677E"/>
    <w:rsid w:val="008E6E95"/>
    <w:rsid w:val="008E7655"/>
    <w:rsid w:val="008F21CF"/>
    <w:rsid w:val="008F5327"/>
    <w:rsid w:val="008F55D3"/>
    <w:rsid w:val="008F6628"/>
    <w:rsid w:val="00900C72"/>
    <w:rsid w:val="0090247B"/>
    <w:rsid w:val="00904205"/>
    <w:rsid w:val="00905F42"/>
    <w:rsid w:val="009063CC"/>
    <w:rsid w:val="00906CAB"/>
    <w:rsid w:val="0091251A"/>
    <w:rsid w:val="00912BA4"/>
    <w:rsid w:val="00912DC3"/>
    <w:rsid w:val="00913810"/>
    <w:rsid w:val="00915909"/>
    <w:rsid w:val="0091782A"/>
    <w:rsid w:val="00921DCD"/>
    <w:rsid w:val="00922551"/>
    <w:rsid w:val="00926492"/>
    <w:rsid w:val="00930682"/>
    <w:rsid w:val="009323AA"/>
    <w:rsid w:val="00933CBB"/>
    <w:rsid w:val="00941E19"/>
    <w:rsid w:val="00944160"/>
    <w:rsid w:val="00944CD8"/>
    <w:rsid w:val="009473B1"/>
    <w:rsid w:val="00954194"/>
    <w:rsid w:val="00957A57"/>
    <w:rsid w:val="00957C88"/>
    <w:rsid w:val="00960189"/>
    <w:rsid w:val="009626FA"/>
    <w:rsid w:val="00965A77"/>
    <w:rsid w:val="00966401"/>
    <w:rsid w:val="00973B05"/>
    <w:rsid w:val="00976A27"/>
    <w:rsid w:val="009813F6"/>
    <w:rsid w:val="00982E72"/>
    <w:rsid w:val="00985EB0"/>
    <w:rsid w:val="0099118F"/>
    <w:rsid w:val="009939C8"/>
    <w:rsid w:val="00994406"/>
    <w:rsid w:val="009952E6"/>
    <w:rsid w:val="009969BA"/>
    <w:rsid w:val="00996DC3"/>
    <w:rsid w:val="009A060A"/>
    <w:rsid w:val="009A1C92"/>
    <w:rsid w:val="009A294C"/>
    <w:rsid w:val="009A2F0C"/>
    <w:rsid w:val="009B2181"/>
    <w:rsid w:val="009B252E"/>
    <w:rsid w:val="009B54FF"/>
    <w:rsid w:val="009C37A4"/>
    <w:rsid w:val="009C68E6"/>
    <w:rsid w:val="009D3182"/>
    <w:rsid w:val="009D3CB5"/>
    <w:rsid w:val="009D4095"/>
    <w:rsid w:val="009D52F6"/>
    <w:rsid w:val="009D744E"/>
    <w:rsid w:val="009E0F6E"/>
    <w:rsid w:val="009E4B79"/>
    <w:rsid w:val="009E5078"/>
    <w:rsid w:val="009E5B12"/>
    <w:rsid w:val="009F06F2"/>
    <w:rsid w:val="009F194D"/>
    <w:rsid w:val="009F2B4C"/>
    <w:rsid w:val="009F5492"/>
    <w:rsid w:val="009F775B"/>
    <w:rsid w:val="00A027CE"/>
    <w:rsid w:val="00A0338E"/>
    <w:rsid w:val="00A07210"/>
    <w:rsid w:val="00A0759E"/>
    <w:rsid w:val="00A0792A"/>
    <w:rsid w:val="00A12AD5"/>
    <w:rsid w:val="00A16E2F"/>
    <w:rsid w:val="00A17735"/>
    <w:rsid w:val="00A178A0"/>
    <w:rsid w:val="00A17AE3"/>
    <w:rsid w:val="00A203D7"/>
    <w:rsid w:val="00A207F3"/>
    <w:rsid w:val="00A21E67"/>
    <w:rsid w:val="00A24E28"/>
    <w:rsid w:val="00A256B3"/>
    <w:rsid w:val="00A25723"/>
    <w:rsid w:val="00A25C37"/>
    <w:rsid w:val="00A25E6F"/>
    <w:rsid w:val="00A26BD8"/>
    <w:rsid w:val="00A26FB8"/>
    <w:rsid w:val="00A27A7A"/>
    <w:rsid w:val="00A35D7A"/>
    <w:rsid w:val="00A518BB"/>
    <w:rsid w:val="00A525DD"/>
    <w:rsid w:val="00A52755"/>
    <w:rsid w:val="00A53B60"/>
    <w:rsid w:val="00A54D7A"/>
    <w:rsid w:val="00A56244"/>
    <w:rsid w:val="00A61681"/>
    <w:rsid w:val="00A619BD"/>
    <w:rsid w:val="00A67A70"/>
    <w:rsid w:val="00A7102D"/>
    <w:rsid w:val="00A76667"/>
    <w:rsid w:val="00A76B81"/>
    <w:rsid w:val="00A801AE"/>
    <w:rsid w:val="00A82FB2"/>
    <w:rsid w:val="00A832B4"/>
    <w:rsid w:val="00A91BEE"/>
    <w:rsid w:val="00A934DA"/>
    <w:rsid w:val="00A9405A"/>
    <w:rsid w:val="00A95F4F"/>
    <w:rsid w:val="00AA00C7"/>
    <w:rsid w:val="00AA039C"/>
    <w:rsid w:val="00AA227F"/>
    <w:rsid w:val="00AA45F3"/>
    <w:rsid w:val="00AB3371"/>
    <w:rsid w:val="00AB44B2"/>
    <w:rsid w:val="00AB46DC"/>
    <w:rsid w:val="00AB6ED9"/>
    <w:rsid w:val="00AC0D26"/>
    <w:rsid w:val="00AC0EC0"/>
    <w:rsid w:val="00AC3037"/>
    <w:rsid w:val="00AC39D1"/>
    <w:rsid w:val="00AC3D66"/>
    <w:rsid w:val="00AC4F8F"/>
    <w:rsid w:val="00AC724C"/>
    <w:rsid w:val="00AD0D3D"/>
    <w:rsid w:val="00AD47FA"/>
    <w:rsid w:val="00AD52B2"/>
    <w:rsid w:val="00AD52D0"/>
    <w:rsid w:val="00AD75D4"/>
    <w:rsid w:val="00AE6AB9"/>
    <w:rsid w:val="00AE7254"/>
    <w:rsid w:val="00AF0883"/>
    <w:rsid w:val="00AF0ABF"/>
    <w:rsid w:val="00AF1695"/>
    <w:rsid w:val="00AF28FB"/>
    <w:rsid w:val="00AF33FA"/>
    <w:rsid w:val="00AF3DFA"/>
    <w:rsid w:val="00AF7CF1"/>
    <w:rsid w:val="00B0136C"/>
    <w:rsid w:val="00B0248C"/>
    <w:rsid w:val="00B03581"/>
    <w:rsid w:val="00B0473F"/>
    <w:rsid w:val="00B04B67"/>
    <w:rsid w:val="00B05A8E"/>
    <w:rsid w:val="00B0729D"/>
    <w:rsid w:val="00B07598"/>
    <w:rsid w:val="00B07D31"/>
    <w:rsid w:val="00B117D3"/>
    <w:rsid w:val="00B13CFD"/>
    <w:rsid w:val="00B143DB"/>
    <w:rsid w:val="00B2048A"/>
    <w:rsid w:val="00B2219F"/>
    <w:rsid w:val="00B2276C"/>
    <w:rsid w:val="00B2494F"/>
    <w:rsid w:val="00B26239"/>
    <w:rsid w:val="00B271E2"/>
    <w:rsid w:val="00B27E52"/>
    <w:rsid w:val="00B30376"/>
    <w:rsid w:val="00B30D0B"/>
    <w:rsid w:val="00B31061"/>
    <w:rsid w:val="00B33360"/>
    <w:rsid w:val="00B34305"/>
    <w:rsid w:val="00B449FF"/>
    <w:rsid w:val="00B51570"/>
    <w:rsid w:val="00B540A9"/>
    <w:rsid w:val="00B564C5"/>
    <w:rsid w:val="00B6210E"/>
    <w:rsid w:val="00B65860"/>
    <w:rsid w:val="00B66FB4"/>
    <w:rsid w:val="00B70257"/>
    <w:rsid w:val="00B7446B"/>
    <w:rsid w:val="00B7487E"/>
    <w:rsid w:val="00B75001"/>
    <w:rsid w:val="00B77844"/>
    <w:rsid w:val="00B85DC2"/>
    <w:rsid w:val="00B860B2"/>
    <w:rsid w:val="00B90CF7"/>
    <w:rsid w:val="00B91A7D"/>
    <w:rsid w:val="00B931E6"/>
    <w:rsid w:val="00B93AD6"/>
    <w:rsid w:val="00B93ED7"/>
    <w:rsid w:val="00B93FA0"/>
    <w:rsid w:val="00B94B4A"/>
    <w:rsid w:val="00B95B8F"/>
    <w:rsid w:val="00B9655C"/>
    <w:rsid w:val="00BA104E"/>
    <w:rsid w:val="00BA3DA6"/>
    <w:rsid w:val="00BA56AB"/>
    <w:rsid w:val="00BA5864"/>
    <w:rsid w:val="00BA5BDD"/>
    <w:rsid w:val="00BA7029"/>
    <w:rsid w:val="00BB0185"/>
    <w:rsid w:val="00BB025A"/>
    <w:rsid w:val="00BB16F5"/>
    <w:rsid w:val="00BB3117"/>
    <w:rsid w:val="00BB4A96"/>
    <w:rsid w:val="00BB5E69"/>
    <w:rsid w:val="00BC0AA3"/>
    <w:rsid w:val="00BC15F1"/>
    <w:rsid w:val="00BC3375"/>
    <w:rsid w:val="00BC72FC"/>
    <w:rsid w:val="00BC7943"/>
    <w:rsid w:val="00BC79EC"/>
    <w:rsid w:val="00BE2471"/>
    <w:rsid w:val="00BE57C4"/>
    <w:rsid w:val="00BF78F7"/>
    <w:rsid w:val="00C00678"/>
    <w:rsid w:val="00C029DB"/>
    <w:rsid w:val="00C053D4"/>
    <w:rsid w:val="00C10159"/>
    <w:rsid w:val="00C10176"/>
    <w:rsid w:val="00C10738"/>
    <w:rsid w:val="00C12050"/>
    <w:rsid w:val="00C13440"/>
    <w:rsid w:val="00C1411F"/>
    <w:rsid w:val="00C175B7"/>
    <w:rsid w:val="00C23628"/>
    <w:rsid w:val="00C2609B"/>
    <w:rsid w:val="00C334DD"/>
    <w:rsid w:val="00C34C61"/>
    <w:rsid w:val="00C370EE"/>
    <w:rsid w:val="00C41AF9"/>
    <w:rsid w:val="00C4747E"/>
    <w:rsid w:val="00C52060"/>
    <w:rsid w:val="00C52C30"/>
    <w:rsid w:val="00C60841"/>
    <w:rsid w:val="00C62921"/>
    <w:rsid w:val="00C6361C"/>
    <w:rsid w:val="00C651BD"/>
    <w:rsid w:val="00C704AF"/>
    <w:rsid w:val="00C71C5F"/>
    <w:rsid w:val="00C7273C"/>
    <w:rsid w:val="00C73726"/>
    <w:rsid w:val="00C7511D"/>
    <w:rsid w:val="00C803AB"/>
    <w:rsid w:val="00C80848"/>
    <w:rsid w:val="00C83585"/>
    <w:rsid w:val="00C846E5"/>
    <w:rsid w:val="00C8589B"/>
    <w:rsid w:val="00C86AA2"/>
    <w:rsid w:val="00C86CC5"/>
    <w:rsid w:val="00C87C15"/>
    <w:rsid w:val="00C92511"/>
    <w:rsid w:val="00C9404C"/>
    <w:rsid w:val="00C972EB"/>
    <w:rsid w:val="00C976D1"/>
    <w:rsid w:val="00CA0AD9"/>
    <w:rsid w:val="00CA1516"/>
    <w:rsid w:val="00CA1F39"/>
    <w:rsid w:val="00CA3146"/>
    <w:rsid w:val="00CA3C5C"/>
    <w:rsid w:val="00CA6B8C"/>
    <w:rsid w:val="00CA744D"/>
    <w:rsid w:val="00CB09BA"/>
    <w:rsid w:val="00CB2159"/>
    <w:rsid w:val="00CB3351"/>
    <w:rsid w:val="00CB6139"/>
    <w:rsid w:val="00CC3DE0"/>
    <w:rsid w:val="00CC5F5D"/>
    <w:rsid w:val="00CD057E"/>
    <w:rsid w:val="00CD2AF8"/>
    <w:rsid w:val="00CD3C09"/>
    <w:rsid w:val="00CD441D"/>
    <w:rsid w:val="00CD6035"/>
    <w:rsid w:val="00CD6EA2"/>
    <w:rsid w:val="00CE10B5"/>
    <w:rsid w:val="00CE13D3"/>
    <w:rsid w:val="00CE27D0"/>
    <w:rsid w:val="00CE52D9"/>
    <w:rsid w:val="00CE70E4"/>
    <w:rsid w:val="00CE7B46"/>
    <w:rsid w:val="00CF16E5"/>
    <w:rsid w:val="00CF207A"/>
    <w:rsid w:val="00CF3E90"/>
    <w:rsid w:val="00CF4587"/>
    <w:rsid w:val="00CF5E9A"/>
    <w:rsid w:val="00CF5F14"/>
    <w:rsid w:val="00CF73F6"/>
    <w:rsid w:val="00D01061"/>
    <w:rsid w:val="00D013A1"/>
    <w:rsid w:val="00D01F70"/>
    <w:rsid w:val="00D02EAA"/>
    <w:rsid w:val="00D02EDB"/>
    <w:rsid w:val="00D04F7E"/>
    <w:rsid w:val="00D108EF"/>
    <w:rsid w:val="00D139E6"/>
    <w:rsid w:val="00D167E1"/>
    <w:rsid w:val="00D213B0"/>
    <w:rsid w:val="00D23FED"/>
    <w:rsid w:val="00D24DB4"/>
    <w:rsid w:val="00D25970"/>
    <w:rsid w:val="00D306D3"/>
    <w:rsid w:val="00D32F7F"/>
    <w:rsid w:val="00D35111"/>
    <w:rsid w:val="00D35B81"/>
    <w:rsid w:val="00D40A5C"/>
    <w:rsid w:val="00D42193"/>
    <w:rsid w:val="00D461B3"/>
    <w:rsid w:val="00D54240"/>
    <w:rsid w:val="00D6330E"/>
    <w:rsid w:val="00D641F9"/>
    <w:rsid w:val="00D66735"/>
    <w:rsid w:val="00D71E54"/>
    <w:rsid w:val="00D724EB"/>
    <w:rsid w:val="00D73D09"/>
    <w:rsid w:val="00D73D5A"/>
    <w:rsid w:val="00D747BB"/>
    <w:rsid w:val="00D7725D"/>
    <w:rsid w:val="00D77BC4"/>
    <w:rsid w:val="00D81701"/>
    <w:rsid w:val="00D81E26"/>
    <w:rsid w:val="00D83B5F"/>
    <w:rsid w:val="00D83FC8"/>
    <w:rsid w:val="00D91751"/>
    <w:rsid w:val="00D94784"/>
    <w:rsid w:val="00D9657F"/>
    <w:rsid w:val="00D97163"/>
    <w:rsid w:val="00DA369D"/>
    <w:rsid w:val="00DA452C"/>
    <w:rsid w:val="00DA58BD"/>
    <w:rsid w:val="00DB3E01"/>
    <w:rsid w:val="00DB5117"/>
    <w:rsid w:val="00DB526E"/>
    <w:rsid w:val="00DB55D6"/>
    <w:rsid w:val="00DB696C"/>
    <w:rsid w:val="00DB7DFE"/>
    <w:rsid w:val="00DC0602"/>
    <w:rsid w:val="00DC1735"/>
    <w:rsid w:val="00DC2944"/>
    <w:rsid w:val="00DC4F94"/>
    <w:rsid w:val="00DD0352"/>
    <w:rsid w:val="00DD6558"/>
    <w:rsid w:val="00DE0B68"/>
    <w:rsid w:val="00DE145B"/>
    <w:rsid w:val="00DE27E2"/>
    <w:rsid w:val="00DE2E99"/>
    <w:rsid w:val="00DE4AA2"/>
    <w:rsid w:val="00DF2F89"/>
    <w:rsid w:val="00DF6D13"/>
    <w:rsid w:val="00DF6E97"/>
    <w:rsid w:val="00DF7683"/>
    <w:rsid w:val="00E011AF"/>
    <w:rsid w:val="00E020DB"/>
    <w:rsid w:val="00E06F3E"/>
    <w:rsid w:val="00E10180"/>
    <w:rsid w:val="00E12684"/>
    <w:rsid w:val="00E13139"/>
    <w:rsid w:val="00E140A6"/>
    <w:rsid w:val="00E14249"/>
    <w:rsid w:val="00E201F7"/>
    <w:rsid w:val="00E24D45"/>
    <w:rsid w:val="00E271D9"/>
    <w:rsid w:val="00E32955"/>
    <w:rsid w:val="00E3379D"/>
    <w:rsid w:val="00E33A35"/>
    <w:rsid w:val="00E34F62"/>
    <w:rsid w:val="00E362E5"/>
    <w:rsid w:val="00E36C35"/>
    <w:rsid w:val="00E417B5"/>
    <w:rsid w:val="00E41C54"/>
    <w:rsid w:val="00E4250B"/>
    <w:rsid w:val="00E42B5D"/>
    <w:rsid w:val="00E45BB0"/>
    <w:rsid w:val="00E47168"/>
    <w:rsid w:val="00E50AE2"/>
    <w:rsid w:val="00E563A4"/>
    <w:rsid w:val="00E70C4F"/>
    <w:rsid w:val="00E73FF6"/>
    <w:rsid w:val="00E75393"/>
    <w:rsid w:val="00E775BE"/>
    <w:rsid w:val="00E82AFB"/>
    <w:rsid w:val="00E84B51"/>
    <w:rsid w:val="00E84F07"/>
    <w:rsid w:val="00E860E6"/>
    <w:rsid w:val="00E92092"/>
    <w:rsid w:val="00E95221"/>
    <w:rsid w:val="00E954B7"/>
    <w:rsid w:val="00E958FC"/>
    <w:rsid w:val="00E95BBC"/>
    <w:rsid w:val="00EA158F"/>
    <w:rsid w:val="00EA24B2"/>
    <w:rsid w:val="00EA2503"/>
    <w:rsid w:val="00EA41F8"/>
    <w:rsid w:val="00EA5D7C"/>
    <w:rsid w:val="00EA7CD2"/>
    <w:rsid w:val="00EB336B"/>
    <w:rsid w:val="00EB72B5"/>
    <w:rsid w:val="00EC109B"/>
    <w:rsid w:val="00EC46BF"/>
    <w:rsid w:val="00EC4F4A"/>
    <w:rsid w:val="00ED228B"/>
    <w:rsid w:val="00ED4087"/>
    <w:rsid w:val="00ED4CEF"/>
    <w:rsid w:val="00ED4E1C"/>
    <w:rsid w:val="00ED5148"/>
    <w:rsid w:val="00ED6B0E"/>
    <w:rsid w:val="00ED74BA"/>
    <w:rsid w:val="00ED776C"/>
    <w:rsid w:val="00ED78A2"/>
    <w:rsid w:val="00EE0063"/>
    <w:rsid w:val="00EE4E18"/>
    <w:rsid w:val="00EE62B2"/>
    <w:rsid w:val="00EF0FED"/>
    <w:rsid w:val="00EF134C"/>
    <w:rsid w:val="00EF1DC3"/>
    <w:rsid w:val="00EF4F7D"/>
    <w:rsid w:val="00EF7577"/>
    <w:rsid w:val="00EF77B0"/>
    <w:rsid w:val="00F00429"/>
    <w:rsid w:val="00F04C5F"/>
    <w:rsid w:val="00F05680"/>
    <w:rsid w:val="00F06443"/>
    <w:rsid w:val="00F10740"/>
    <w:rsid w:val="00F2235E"/>
    <w:rsid w:val="00F23A95"/>
    <w:rsid w:val="00F24A06"/>
    <w:rsid w:val="00F31E75"/>
    <w:rsid w:val="00F36B88"/>
    <w:rsid w:val="00F4235E"/>
    <w:rsid w:val="00F424DE"/>
    <w:rsid w:val="00F42976"/>
    <w:rsid w:val="00F45C01"/>
    <w:rsid w:val="00F45D2A"/>
    <w:rsid w:val="00F460C1"/>
    <w:rsid w:val="00F61D88"/>
    <w:rsid w:val="00F6211C"/>
    <w:rsid w:val="00F63BF9"/>
    <w:rsid w:val="00F713BA"/>
    <w:rsid w:val="00F73C24"/>
    <w:rsid w:val="00F77764"/>
    <w:rsid w:val="00F862EC"/>
    <w:rsid w:val="00F90ACB"/>
    <w:rsid w:val="00F93092"/>
    <w:rsid w:val="00F93B65"/>
    <w:rsid w:val="00F97771"/>
    <w:rsid w:val="00FA2F74"/>
    <w:rsid w:val="00FA3137"/>
    <w:rsid w:val="00FB0F07"/>
    <w:rsid w:val="00FB14D4"/>
    <w:rsid w:val="00FB5C37"/>
    <w:rsid w:val="00FB7979"/>
    <w:rsid w:val="00FB7B50"/>
    <w:rsid w:val="00FC0040"/>
    <w:rsid w:val="00FC6AE1"/>
    <w:rsid w:val="00FD4352"/>
    <w:rsid w:val="00FD4CA5"/>
    <w:rsid w:val="00FE4E17"/>
    <w:rsid w:val="00FF51DF"/>
    <w:rsid w:val="00FF6F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CEEDD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3F87"/>
    <w:pPr>
      <w:keepNext/>
      <w:keepLines/>
      <w:spacing w:line="360" w:lineRule="auto"/>
      <w:jc w:val="both"/>
      <w:outlineLvl w:val="1"/>
    </w:pPr>
    <w:rPr>
      <w:rFonts w:eastAsiaTheme="majorEastAsia"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23F87"/>
    <w:rPr>
      <w:rFonts w:eastAsiaTheme="majorEastAsia" w:cs="Times New Roman"/>
      <w:b/>
      <w:bCs/>
      <w:color w:val="000000" w:themeColor="text1"/>
    </w:rPr>
  </w:style>
  <w:style w:type="paragraph" w:styleId="ListParagraph">
    <w:name w:val="List Paragraph"/>
    <w:basedOn w:val="Normal"/>
    <w:uiPriority w:val="34"/>
    <w:qFormat/>
    <w:rsid w:val="00823F87"/>
    <w:pPr>
      <w:spacing w:after="200" w:line="276"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1251</Words>
  <Characters>7133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Glasgow Orthodontic Academy</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Mohammed ALMUZIAN</dc:creator>
  <cp:keywords/>
  <dc:description/>
  <cp:lastModifiedBy>Dr. Mohammed ALMUZIAN</cp:lastModifiedBy>
  <cp:revision>10</cp:revision>
  <dcterms:created xsi:type="dcterms:W3CDTF">2020-01-24T15:14:00Z</dcterms:created>
  <dcterms:modified xsi:type="dcterms:W3CDTF">2020-01-24T17:20:00Z</dcterms:modified>
</cp:coreProperties>
</file>