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Rule="auto" w:line="360" w:before="0" w:after="80"/>
      </w:pPr>
      <w:r>
        <w:rPr>
          <w:rFonts w:ascii="Times New Roman" w:hAnsi="Times New Roman" w:cs="Times New Roman"/>
          <w:sz w:val="24"/>
        </w:rPr>
        <w:t xml:space="preserve">Guided-LIME</w:t>
      </w:r>
    </w:p>
    <w:p>
      <w:pPr>
        <w:spacing w:lineRule="auto" w:line="360" w:before="0" w:after="80"/>
      </w:pPr>
      <w:r>
        <w:rPr>
          <w:rFonts w:ascii="Times New Roman" w:hAnsi="Times New Roman" w:cs="Times New Roman"/>
          <w:b/>
          <w:sz w:val="24"/>
        </w:rPr>
        <w:t xml:space="preserve">Abstract</w:t>
      </w:r>
    </w:p>
    <w:p>
      <w:pPr>
        <w:pStyle w:val="BodyText"/>
        <w:spacing w:lineRule="auto" w:line="360" w:before="0" w:after="80"/>
      </w:pPr>
      <w:r>
        <w:rPr>
          <w:rFonts w:ascii="Times New Roman" w:hAnsi="Times New Roman" w:cs="Times New Roman"/>
          <w:sz w:val="22"/>
        </w:rPr>
        <w:t xml:space="preserve">The deployment of high-accuracy deep learning models in safety-critical domains is fundamentally constrained by their opacity, creating a gap between predictive performance and explainability. This paper introduces Guided-LIME, a novel hybrid Explainable AI (XAI) framework that fuses the global spatial prior of Grad-CAM with the local superpixel precision of LIME to produce causally faithful explanations. The framework is evaluated on Diabetic Retinopathy (DR) severity grading using a Swin Transformer backbone across two fundus photography datasets: APTOS 2019 (n=550 test images) and IDRiD (n=51 test images across 4 DR grades). On the APTOS 2019 test set, Guided-LIME achieves a Deletion AUC of 0.3329 (p = 5.3e-92 versus random, p = 5.6e-25 versus Standard LIME) and an Insertion AUC of 0.6517. On the IDRiD benchmark, Guided-LIME maintains its top-tier ranking (Deletion AUC = 0.188, p = 2.6e-10 versus random), confirming that the causal faithfulness advantage generalises across acquisition domains. The framework achieves a Test Quadratic Weighted Kappa of 0.8588 on the APTOS 2019 dataset, and its clinical relevance is validated via Jaccard Index alignment against pathological biomarker masks (mean IoU = 0.14). A stability analysis measuring explanation consistency under Gaussian noise and rotation perturbations yields a global stability score of 0.158.</w:t>
      </w:r>
    </w:p>
    <w:p>
      <w:pPr>
        <w:pStyle w:val="BodyText"/>
        <w:spacing w:lineRule="auto" w:line="360" w:before="0" w:after="80"/>
      </w:pPr>
      <w:r>
        <w:rPr>
          <w:rFonts w:ascii="Times New Roman" w:hAnsi="Times New Roman" w:cs="Times New Roman"/>
          <w:sz w:val="24"/>
        </w:rPr>
        <w:t xml:space="preserve">Explainable AI, Guided-LIME, Hybrid XAI, Fidelity Metrics, Swin Transformer, Diabetic Retinopathy</w:t>
      </w:r>
    </w:p>
    <w:bookmarkStart w:id="10" w:name="sec:introduction"/>
    <w:p>
      <w:pPr>
        <w:pStyle w:val="Heading1"/>
        <w:spacing w:lineRule="auto" w:line="288" w:before="0" w:after="80"/>
        <w:jc w:val="left"/>
      </w:pPr>
      <w:r>
        <w:rPr>
          <w:rFonts w:ascii="Times New Roman" w:hAnsi="Times New Roman" w:cs="Times New Roman"/>
          <w:sz w:val="28"/>
        </w:rPr>
        <w:t xml:space="preserve">Introduction</w:t>
      </w:r>
    </w:p>
    <w:p>
      <w:pPr>
        <w:pStyle w:val="FirstParagraph"/>
        <w:spacing w:lineRule="auto" w:line="360" w:before="0" w:after="80"/>
      </w:pPr>
      <w:r>
        <w:rPr>
          <w:rFonts w:ascii="Times New Roman" w:hAnsi="Times New Roman" w:cs="Times New Roman"/>
          <w:sz w:val="24"/>
        </w:rPr>
        <w:t xml:space="preserve">Diabetic Retinopathy (DR) represents a significant microvascular complication of diabetes and remains the primary cause of avoidable vision loss among the global working age population. Current estimates indicate that more than 537 million adults live with diabetes, with projections suggesting this figure will reach 643 million by 2030 </w:t>
      </w:r>
      <w:r>
        <w:rPr>
          <w:rFonts w:ascii="Times New Roman" w:hAnsi="Times New Roman" w:cs="Times New Roman"/>
          <w:sz w:val="24"/>
          <w:vertAlign w:val="superscript"/>
        </w:rPr>
        <w:t xml:space="preserve">1</w:t>
      </w:r>
      <w:r>
        <w:rPr>
          <w:rFonts w:ascii="Times New Roman" w:hAnsi="Times New Roman" w:cs="Times New Roman"/>
          <w:sz w:val="24"/>
        </w:rPr>
        <w:t xml:space="preserve">. The progression of chronic hyperglycaemia causes cumulative damage to the retinal vasculature, initiating a sequence of pathological changes including capillary microaneurysms, fluid exudation, retinal haemorrhaging, and ischaemia. In its advanced stages, the condition manifests as pathological neovascularisation, a state termed Proliferative DR. These clinical observations are categorised into five internationally established severity levels: No DR, Mild, Moderate, Severe, and Proliferative DR </w:t>
      </w:r>
      <w:r>
        <w:rPr>
          <w:rFonts w:ascii="Times New Roman" w:hAnsi="Times New Roman" w:cs="Times New Roman"/>
          <w:sz w:val="24"/>
          <w:vertAlign w:val="superscript"/>
        </w:rPr>
        <w:t xml:space="preserve">2</w:t>
      </w:r>
      <w:r>
        <w:rPr>
          <w:rFonts w:ascii="Times New Roman" w:hAnsi="Times New Roman" w:cs="Times New Roman"/>
          <w:sz w:val="24"/>
        </w:rPr>
        <w:t xml:space="preserve">.</w:t>
      </w:r>
    </w:p>
    <w:p>
      <w:pPr>
        <w:pStyle w:val="BodyText"/>
        <w:spacing w:lineRule="auto" w:line="360" w:before="0" w:after="80"/>
      </w:pPr>
      <w:r>
        <w:rPr>
          <w:rFonts w:ascii="Times New Roman" w:hAnsi="Times New Roman" w:cs="Times New Roman"/>
          <w:sz w:val="24"/>
        </w:rPr>
        <w:t xml:space="preserve">The global prevalence of diabetes is increasing at an accelerated rate. Consequently, the population affected by DR is expected to grow significantly, imposing a substantial burden on international public healthcare infrastructures </w:t>
      </w:r>
      <w:r>
        <w:rPr>
          <w:rFonts w:ascii="Times New Roman" w:hAnsi="Times New Roman" w:cs="Times New Roman"/>
          <w:sz w:val="24"/>
          <w:vertAlign w:val="superscript"/>
        </w:rPr>
        <w:t xml:space="preserve">1</w:t>
      </w:r>
      <w:r>
        <w:rPr>
          <w:rFonts w:ascii="Times New Roman" w:hAnsi="Times New Roman" w:cs="Times New Roman"/>
          <w:sz w:val="24"/>
        </w:rPr>
        <w:t xml:space="preserve">. Clinical intervention is most effective when the disease is identified early, as timely treatment can prevent permanent vision loss in the majority of patients. However, the asymptomatic nature of early stage DR often results in patients seeking medical attention only after the disease has reached a vision threatening stage.</w:t>
      </w:r>
    </w:p>
    <w:p>
      <w:pPr>
        <w:pStyle w:val="BodyText"/>
        <w:spacing w:lineRule="auto" w:line="360" w:before="0" w:after="80"/>
      </w:pPr>
      <w:r>
        <w:rPr>
          <w:rFonts w:ascii="Times New Roman" w:hAnsi="Times New Roman" w:cs="Times New Roman"/>
          <w:sz w:val="24"/>
        </w:rPr>
        <w:t xml:space="preserve">The existing clinical gold standard for DR diagnosis necessitates the manual interpretation of retinal fundus photographs by specialized ophthalmologists. Although reliable, this methodology is labor intensive and time consuming. Furthermore, manual grading is prone to both inter observer variability and intra observer variability </w:t>
      </w:r>
      <w:r>
        <w:rPr>
          <w:rFonts w:ascii="Times New Roman" w:hAnsi="Times New Roman" w:cs="Times New Roman"/>
          <w:sz w:val="24"/>
          <w:vertAlign w:val="superscript"/>
        </w:rPr>
        <w:t xml:space="preserve">3</w:t>
      </w:r>
      <w:r>
        <w:rPr>
          <w:rFonts w:ascii="Times New Roman" w:hAnsi="Times New Roman" w:cs="Times New Roman"/>
          <w:sz w:val="24"/>
        </w:rPr>
        <w:t xml:space="preserve">. The lack of available specialists, particularly in low resource or underserved regions, results in significant screening bottlenecks.</w:t>
      </w:r>
    </w:p>
    <w:p>
      <w:pPr>
        <w:pStyle w:val="BodyText"/>
        <w:spacing w:lineRule="auto" w:line="360" w:before="0" w:after="80"/>
      </w:pPr>
      <w:r>
        <w:rPr>
          <w:rFonts w:ascii="Times New Roman" w:hAnsi="Times New Roman" w:cs="Times New Roman"/>
          <w:sz w:val="24"/>
        </w:rPr>
        <w:t xml:space="preserve">To address these systemic challenges, artificial intelligence and deep learning have emerged as critical technologies for the automation of medical image analysis. Foundational research established that Convolutional Neural Network (CNN) architectures could achieve diagnostic performance comparable to or exceeding that of human experts </w:t>
      </w:r>
      <w:r>
        <w:rPr>
          <w:rFonts w:ascii="Times New Roman" w:hAnsi="Times New Roman" w:cs="Times New Roman"/>
          <w:sz w:val="24"/>
          <w:vertAlign w:val="superscript"/>
        </w:rPr>
        <w:t xml:space="preserve">4</w:t>
      </w:r>
      <w:r>
        <w:rPr>
          <w:rFonts w:ascii="Times New Roman" w:hAnsi="Times New Roman" w:cs="Times New Roman"/>
          <w:sz w:val="24"/>
        </w:rPr>
        <w:t xml:space="preserve">. More recently, Vision Transformer (ViT) models have defined new performance benchmarks. Specifically, the Swin Transformer </w:t>
      </w:r>
      <w:r>
        <w:rPr>
          <w:rFonts w:ascii="Times New Roman" w:hAnsi="Times New Roman" w:cs="Times New Roman"/>
          <w:sz w:val="24"/>
          <w:vertAlign w:val="superscript"/>
        </w:rPr>
        <w:t xml:space="preserve">5</w:t>
      </w:r>
      <w:r>
        <w:rPr>
          <w:rFonts w:ascii="Times New Roman" w:hAnsi="Times New Roman" w:cs="Times New Roman"/>
          <w:sz w:val="24"/>
        </w:rPr>
        <w:t xml:space="preserve">, with its shifted window attention mechanism and hierarchical design, has demonstrated exceptional efficacy in complex image classification tasks.</w:t>
      </w:r>
    </w:p>
    <w:p>
      <w:pPr>
        <w:pStyle w:val="BodyText"/>
        <w:spacing w:lineRule="auto" w:line="360" w:before="0" w:after="80"/>
      </w:pPr>
      <w:r>
        <w:rPr>
          <w:rFonts w:ascii="Times New Roman" w:hAnsi="Times New Roman" w:cs="Times New Roman"/>
          <w:sz w:val="24"/>
        </w:rPr>
        <w:t xml:space="preserve">Despite these technological advancements, the majority of high performance deep learning models function as black boxes. While they can provide highly accurate severity classifications, they generally fail to articulate the underlying medical evidence used to reach a decision. This lack of interpretability is one of several barriers to the integration of AI in high stakes clinical environments </w:t>
      </w:r>
      <w:r>
        <w:rPr>
          <w:rFonts w:ascii="Times New Roman" w:hAnsi="Times New Roman" w:cs="Times New Roman"/>
          <w:sz w:val="24"/>
          <w:vertAlign w:val="superscript"/>
        </w:rPr>
        <w:t xml:space="preserve">6</w:t>
      </w:r>
      <w:r>
        <w:rPr>
          <w:rFonts w:ascii="Times New Roman" w:hAnsi="Times New Roman" w:cs="Times New Roman"/>
          <w:sz w:val="24"/>
        </w:rPr>
        <w:t xml:space="preserve">. Without a clear justification for a diagnosis, clinicians are unable to verify the algorithmic output or confidently incorporate it into a patient treatment plan.</w:t>
      </w:r>
    </w:p>
    <w:p>
      <w:pPr>
        <w:pStyle w:val="BodyText"/>
        <w:spacing w:lineRule="auto" w:line="360" w:before="0" w:after="80"/>
      </w:pPr>
      <w:r>
        <w:rPr>
          <w:rFonts w:ascii="Times New Roman" w:hAnsi="Times New Roman" w:cs="Times New Roman"/>
          <w:sz w:val="24"/>
        </w:rPr>
        <w:t xml:space="preserve">This study provides both internal and external validation. The primary experiments were conducted on the APTOS 2019 Blindness Detection dataset </w:t>
      </w:r>
      <w:r>
        <w:rPr>
          <w:rFonts w:ascii="Times New Roman" w:hAnsi="Times New Roman" w:cs="Times New Roman"/>
          <w:sz w:val="24"/>
          <w:vertAlign w:val="superscript"/>
        </w:rPr>
        <w:t xml:space="preserve">7</w:t>
      </w:r>
      <w:r>
        <w:rPr>
          <w:rFonts w:ascii="Times New Roman" w:hAnsi="Times New Roman" w:cs="Times New Roman"/>
          <w:sz w:val="24"/>
        </w:rPr>
        <w:t xml:space="preserve">. To evaluate cross-dataset generalizability, we further validate on the IDRiD (Indian Diabetic Retinopathy Image Dataset) benchmark </w:t>
      </w:r>
      <w:r>
        <w:rPr>
          <w:rFonts w:ascii="Times New Roman" w:hAnsi="Times New Roman" w:cs="Times New Roman"/>
          <w:sz w:val="24"/>
          <w:vertAlign w:val="superscript"/>
        </w:rPr>
        <w:t xml:space="preserve">8</w:t>
      </w:r>
      <w:r>
        <w:rPr>
          <w:rFonts w:ascii="Times New Roman" w:hAnsi="Times New Roman" w:cs="Times New Roman"/>
          <w:sz w:val="24"/>
        </w:rPr>
        <w:t xml:space="preserve">, which contains images from multiple fundus camera manufacturers across a distinct population cohort. The IDRiD model was obtained by fine-tuning the APTOS-trained Swin Transformer backbone, achieving 73.91% test accuracy on the held-out IDRiD test set, after which the full 7-method fidelity evaluation was replicated.</w:t>
      </w:r>
    </w:p>
    <w:bookmarkStart w:id="9" w:name="contributions"/>
    <w:p>
      <w:pPr>
        <w:pStyle w:val="Heading2"/>
        <w:spacing w:lineRule="auto" w:line="288" w:before="0" w:after="80"/>
        <w:jc w:val="left"/>
      </w:pPr>
      <w:r>
        <w:rPr>
          <w:rFonts w:ascii="Times New Roman" w:hAnsi="Times New Roman" w:cs="Times New Roman"/>
          <w:sz w:val="26"/>
        </w:rPr>
        <w:t xml:space="preserve">Contributions</w:t>
      </w:r>
    </w:p>
    <w:p>
      <w:pPr>
        <w:pStyle w:val="FirstParagraph"/>
        <w:spacing w:lineRule="auto" w:line="360" w:before="0" w:after="80"/>
      </w:pPr>
      <w:r>
        <w:rPr>
          <w:rFonts w:ascii="Times New Roman" w:hAnsi="Times New Roman" w:cs="Times New Roman"/>
          <w:sz w:val="24"/>
        </w:rPr>
        <w:t xml:space="preserve">The primary contributions of this research are:</w:t>
      </w:r>
    </w:p>
    <w:p>
      <w:pPr>
        <w:numPr>
          <w:ilvl w:val="0"/>
          <w:numId w:val="1001"/>
        </w:numPr>
        <w:spacing w:lineRule="auto" w:line="360" w:before="0" w:after="80"/>
      </w:pPr>
      <w:r>
        <w:rPr>
          <w:rFonts w:ascii="Times New Roman" w:hAnsi="Times New Roman" w:cs="Times New Roman"/>
          <w:b/>
          <w:bCs/>
          <w:sz w:val="24"/>
        </w:rPr>
        <w:t xml:space="preserve">The Guided-LIME algorithm</w:t>
      </w:r>
      <w:r>
        <w:rPr>
          <w:rFonts w:ascii="Times New Roman" w:hAnsi="Times New Roman" w:cs="Times New Roman"/>
          <w:sz w:val="24"/>
        </w:rPr>
        <w:t xml:space="preserve">: a hybrid explainer that multiplicatively combines Grad-CAM global spatial priors with LIME local superpixel coefficients to suppress spurious explanations;</w:t>
      </w:r>
    </w:p>
    <w:p>
      <w:pPr>
        <w:numPr>
          <w:ilvl w:val="0"/>
          <w:numId w:val="1001"/>
        </w:numPr>
        <w:spacing w:lineRule="auto" w:line="360" w:before="0" w:after="80"/>
      </w:pPr>
      <w:r>
        <w:rPr>
          <w:rFonts w:ascii="Times New Roman" w:hAnsi="Times New Roman" w:cs="Times New Roman"/>
          <w:b/>
          <w:bCs/>
          <w:sz w:val="24"/>
        </w:rPr>
        <w:t xml:space="preserve">A rigorous fidelity evaluation pipeline</w:t>
      </w:r>
      <w:r>
        <w:rPr>
          <w:rFonts w:ascii="Times New Roman" w:hAnsi="Times New Roman" w:cs="Times New Roman"/>
          <w:sz w:val="24"/>
        </w:rPr>
        <w:t xml:space="preserve">: with constant-gray baseline replacement, Wilcoxon signed-rank statistical validation, and Bootstrap confidence interval analysis;</w:t>
      </w:r>
    </w:p>
    <w:p>
      <w:pPr>
        <w:numPr>
          <w:ilvl w:val="0"/>
          <w:numId w:val="1001"/>
        </w:numPr>
        <w:spacing w:lineRule="auto" w:line="360" w:before="0" w:after="80"/>
      </w:pPr>
      <w:r>
        <w:rPr>
          <w:rFonts w:ascii="Times New Roman" w:hAnsi="Times New Roman" w:cs="Times New Roman"/>
          <w:b/>
          <w:bCs/>
          <w:sz w:val="24"/>
        </w:rPr>
        <w:t xml:space="preserve">A clinical alignment framework</w:t>
      </w:r>
      <w:r>
        <w:rPr>
          <w:rFonts w:ascii="Times New Roman" w:hAnsi="Times New Roman" w:cs="Times New Roman"/>
          <w:sz w:val="24"/>
        </w:rPr>
        <w:t xml:space="preserve">: using Jaccard Index against proxy biomarker masks;</w:t>
      </w:r>
    </w:p>
    <w:p>
      <w:pPr>
        <w:numPr>
          <w:ilvl w:val="0"/>
          <w:numId w:val="1001"/>
        </w:numPr>
        <w:spacing w:lineRule="auto" w:line="360" w:before="0" w:after="80"/>
      </w:pPr>
      <w:r>
        <w:rPr>
          <w:rFonts w:ascii="Times New Roman" w:hAnsi="Times New Roman" w:cs="Times New Roman"/>
          <w:b/>
          <w:bCs/>
          <w:sz w:val="24"/>
        </w:rPr>
        <w:t xml:space="preserve">A stability analysis</w:t>
      </w:r>
      <w:r>
        <w:rPr>
          <w:rFonts w:ascii="Times New Roman" w:hAnsi="Times New Roman" w:cs="Times New Roman"/>
          <w:sz w:val="24"/>
        </w:rPr>
        <w:t xml:space="preserve">: measuring explanation consistency under Gaussian noise and rotation perturbations;</w:t>
      </w:r>
    </w:p>
    <w:p>
      <w:pPr>
        <w:numPr>
          <w:ilvl w:val="0"/>
          <w:numId w:val="1001"/>
        </w:numPr>
        <w:spacing w:lineRule="auto" w:line="360" w:before="0" w:after="80"/>
      </w:pPr>
      <w:r>
        <w:rPr>
          <w:rFonts w:ascii="Times New Roman" w:hAnsi="Times New Roman" w:cs="Times New Roman"/>
          <w:b/>
          <w:bCs/>
          <w:sz w:val="24"/>
        </w:rPr>
        <w:t xml:space="preserve">Cross-dataset generalizability</w:t>
      </w:r>
      <w:r>
        <w:rPr>
          <w:rFonts w:ascii="Times New Roman" w:hAnsi="Times New Roman" w:cs="Times New Roman"/>
          <w:sz w:val="24"/>
        </w:rPr>
        <w:t xml:space="preserve">: validation on the IDRiD benchmark demonstrating that Guided-LIME maintains its top fidelity ranking across independent acquisition domains.</w:t>
      </w:r>
    </w:p>
    <w:bookmarkEnd w:id="9"/>
    <w:bookmarkEnd w:id="10"/>
    <w:bookmarkStart w:id="15" w:name="sec:related"/>
    <w:p>
      <w:pPr>
        <w:pStyle w:val="Heading1"/>
        <w:spacing w:lineRule="auto" w:line="288" w:before="0" w:after="80"/>
        <w:jc w:val="left"/>
      </w:pPr>
      <w:r>
        <w:rPr>
          <w:rFonts w:ascii="Times New Roman" w:hAnsi="Times New Roman" w:cs="Times New Roman"/>
          <w:sz w:val="28"/>
        </w:rPr>
        <w:t xml:space="preserve">Related Work</w:t>
      </w:r>
    </w:p>
    <w:bookmarkStart w:id="11" w:name="automated-diabetic-retinopathy-grading"/>
    <w:p>
      <w:pPr>
        <w:pStyle w:val="Heading2"/>
        <w:spacing w:lineRule="auto" w:line="288" w:before="0" w:after="80"/>
        <w:jc w:val="left"/>
      </w:pPr>
      <w:r>
        <w:rPr>
          <w:rFonts w:ascii="Times New Roman" w:hAnsi="Times New Roman" w:cs="Times New Roman"/>
          <w:sz w:val="26"/>
        </w:rPr>
        <w:t xml:space="preserve">Automated Diabetic Retinopathy Grading</w:t>
      </w:r>
    </w:p>
    <w:p>
      <w:pPr>
        <w:pStyle w:val="FirstParagraph"/>
        <w:spacing w:lineRule="auto" w:line="360" w:before="0" w:after="80"/>
      </w:pPr>
      <w:r>
        <w:rPr>
          <w:rFonts w:ascii="Times New Roman" w:hAnsi="Times New Roman" w:cs="Times New Roman"/>
          <w:sz w:val="24"/>
        </w:rPr>
        <w:t xml:space="preserve">The methodology for grading DR has transitioned from expert-driven feature engineering to data-driven deep learning architecture. Historical systems relied on domain knowledge to extract specific retinal features, such as vessel segmentation and optic disc geometry, which were then processed by traditional classifiers </w:t>
      </w:r>
      <w:r>
        <w:rPr>
          <w:rFonts w:ascii="Times New Roman" w:hAnsi="Times New Roman" w:cs="Times New Roman"/>
          <w:sz w:val="24"/>
          <w:vertAlign w:val="superscript"/>
        </w:rPr>
        <w:t xml:space="preserve">9</w:t>
      </w:r>
      <w:r>
        <w:rPr>
          <w:rFonts w:ascii="Times New Roman" w:hAnsi="Times New Roman" w:cs="Times New Roman"/>
          <w:sz w:val="24"/>
        </w:rPr>
        <w:t xml:space="preserve">. The emergence of deep learning fundamentally altered this field. A landmark study by Gulshan et al. </w:t>
      </w:r>
      <w:r>
        <w:rPr>
          <w:rFonts w:ascii="Times New Roman" w:hAnsi="Times New Roman" w:cs="Times New Roman"/>
          <w:sz w:val="24"/>
          <w:vertAlign w:val="superscript"/>
        </w:rPr>
        <w:t xml:space="preserve">4</w:t>
      </w:r>
      <w:r>
        <w:rPr>
          <w:rFonts w:ascii="Times New Roman" w:hAnsi="Times New Roman" w:cs="Times New Roman"/>
          <w:sz w:val="24"/>
        </w:rPr>
        <w:t xml:space="preserve"> </w:t>
      </w:r>
      <w:r>
        <w:rPr>
          <w:rFonts w:ascii="Times New Roman" w:hAnsi="Times New Roman" w:cs="Times New Roman"/>
          <w:sz w:val="24"/>
        </w:rPr>
        <w:t xml:space="preserve">demonstrated that a deep Convolutional Neural Network could match the diagnostic precision of ophthalmologists. More recently, Vision Transformers have emerged as high-performance alternatives </w:t>
      </w:r>
      <w:r>
        <w:rPr>
          <w:rFonts w:ascii="Times New Roman" w:hAnsi="Times New Roman" w:cs="Times New Roman"/>
          <w:sz w:val="24"/>
          <w:vertAlign w:val="superscript"/>
        </w:rPr>
        <w:t xml:space="preserve">10</w:t>
      </w:r>
      <w:r>
        <w:rPr>
          <w:rFonts w:ascii="Times New Roman" w:hAnsi="Times New Roman" w:cs="Times New Roman"/>
          <w:sz w:val="24"/>
        </w:rPr>
        <w:t xml:space="preserve">. The Swin Transformer is particularly noteworthy for its hierarchical structure </w:t>
      </w:r>
      <w:r>
        <w:rPr>
          <w:rFonts w:ascii="Times New Roman" w:hAnsi="Times New Roman" w:cs="Times New Roman"/>
          <w:sz w:val="24"/>
          <w:vertAlign w:val="superscript"/>
        </w:rPr>
        <w:t xml:space="preserve">5</w:t>
      </w:r>
      <w:r>
        <w:rPr>
          <w:rFonts w:ascii="Times New Roman" w:hAnsi="Times New Roman" w:cs="Times New Roman"/>
          <w:sz w:val="24"/>
        </w:rPr>
        <w:t xml:space="preserve">. While some ensemble-based approaches such as Zhu et al. </w:t>
      </w:r>
      <w:r>
        <w:rPr>
          <w:rFonts w:ascii="Times New Roman" w:hAnsi="Times New Roman" w:cs="Times New Roman"/>
          <w:sz w:val="24"/>
          <w:vertAlign w:val="superscript"/>
        </w:rPr>
        <w:t xml:space="preserve">11</w:t>
      </w:r>
      <w:r>
        <w:rPr>
          <w:rFonts w:ascii="Times New Roman" w:hAnsi="Times New Roman" w:cs="Times New Roman"/>
          <w:sz w:val="24"/>
        </w:rPr>
        <w:t xml:space="preserve"> </w:t>
      </w:r>
      <w:r>
        <w:rPr>
          <w:rFonts w:ascii="Times New Roman" w:hAnsi="Times New Roman" w:cs="Times New Roman"/>
          <w:sz w:val="24"/>
        </w:rPr>
        <w:t xml:space="preserve">and Huang et al. </w:t>
      </w:r>
      <w:r>
        <w:rPr>
          <w:rFonts w:ascii="Times New Roman" w:hAnsi="Times New Roman" w:cs="Times New Roman"/>
          <w:sz w:val="24"/>
          <w:vertAlign w:val="superscript"/>
        </w:rPr>
        <w:t xml:space="preserve">12</w:t>
      </w:r>
      <w:r>
        <w:rPr>
          <w:rFonts w:ascii="Times New Roman" w:hAnsi="Times New Roman" w:cs="Times New Roman"/>
          <w:sz w:val="24"/>
        </w:rPr>
        <w:t xml:space="preserve"> </w:t>
      </w:r>
      <w:r>
        <w:rPr>
          <w:rFonts w:ascii="Times New Roman" w:hAnsi="Times New Roman" w:cs="Times New Roman"/>
          <w:sz w:val="24"/>
        </w:rPr>
        <w:t xml:space="preserve">report QWK scores of 0.925, these works do not include quantitative XAI validation, which is the focus of the present study.</w:t>
      </w:r>
    </w:p>
    <w:bookmarkEnd w:id="11"/>
    <w:bookmarkStart w:id="12" w:name="X613a4243bf28bade9d6c21a771f146e07bcb66d"/>
    <w:p>
      <w:pPr>
        <w:pStyle w:val="Heading2"/>
        <w:spacing w:lineRule="auto" w:line="288" w:before="0" w:after="80"/>
        <w:jc w:val="left"/>
      </w:pPr>
      <w:r>
        <w:rPr>
          <w:rFonts w:ascii="Times New Roman" w:hAnsi="Times New Roman" w:cs="Times New Roman"/>
          <w:sz w:val="26"/>
        </w:rPr>
        <w:t xml:space="preserve">The Interpretability Challenge in Medical AI</w:t>
      </w:r>
    </w:p>
    <w:p>
      <w:pPr>
        <w:pStyle w:val="FirstParagraph"/>
        <w:spacing w:lineRule="auto" w:line="360" w:before="0" w:after="80"/>
      </w:pPr>
      <w:r>
        <w:rPr>
          <w:rFonts w:ascii="Times New Roman" w:hAnsi="Times New Roman" w:cs="Times New Roman"/>
          <w:sz w:val="24"/>
        </w:rPr>
        <w:t xml:space="preserve">Despite the exceptional benchmarks achieved by modern models, their clinical utility is constrained by their lack of transparency. These architectures often function as black boxes, providing accurate classifications without revealing the underlying diagnostic logic. This operational opacity creates a significant barrier to adoption in high-stakes medicine </w:t>
      </w:r>
      <w:r>
        <w:rPr>
          <w:rFonts w:ascii="Times New Roman" w:hAnsi="Times New Roman" w:cs="Times New Roman"/>
          <w:sz w:val="24"/>
          <w:vertAlign w:val="superscript"/>
        </w:rPr>
        <w:t xml:space="preserve">6</w:t>
      </w:r>
      <w:r>
        <w:rPr>
          <w:rFonts w:ascii="Times New Roman" w:hAnsi="Times New Roman" w:cs="Times New Roman"/>
          <w:sz w:val="24"/>
        </w:rPr>
        <w:t xml:space="preserve">. Predictions that lack explanation raise concerns regarding accountability and safety </w:t>
      </w:r>
      <w:r>
        <w:rPr>
          <w:rFonts w:ascii="Times New Roman" w:hAnsi="Times New Roman" w:cs="Times New Roman"/>
          <w:sz w:val="24"/>
          <w:vertAlign w:val="superscript"/>
        </w:rPr>
        <w:t xml:space="preserve">13</w:t>
      </w:r>
      <w:r>
        <w:rPr>
          <w:rFonts w:ascii="Times New Roman" w:hAnsi="Times New Roman" w:cs="Times New Roman"/>
          <w:sz w:val="24"/>
        </w:rPr>
        <w:t xml:space="preserve">. This necessity has spurred the growth of Explainable AI (XAI), which aims to develop systems that are simultaneously high-performing and interpretable.</w:t>
      </w:r>
    </w:p>
    <w:bookmarkEnd w:id="12"/>
    <w:bookmarkStart w:id="13" w:name="X356548001043ee9f4ba5c6b328f4b7b9d34f724"/>
    <w:p>
      <w:pPr>
        <w:pStyle w:val="Heading2"/>
        <w:spacing w:lineRule="auto" w:line="288" w:before="0" w:after="80"/>
        <w:jc w:val="left"/>
      </w:pPr>
      <w:r>
        <w:rPr>
          <w:rFonts w:ascii="Times New Roman" w:hAnsi="Times New Roman" w:cs="Times New Roman"/>
          <w:sz w:val="26"/>
        </w:rPr>
        <w:t xml:space="preserve">Methodologies in Explainable AI for Medical Imaging</w:t>
      </w:r>
    </w:p>
    <w:p>
      <w:pPr>
        <w:pStyle w:val="FirstParagraph"/>
        <w:spacing w:lineRule="auto" w:line="360" w:before="0" w:after="80"/>
      </w:pPr>
      <w:r>
        <w:rPr>
          <w:rFonts w:ascii="Times New Roman" w:hAnsi="Times New Roman" w:cs="Times New Roman"/>
          <w:sz w:val="24"/>
        </w:rPr>
        <w:t xml:space="preserve">Interpretability research in medical imaging generally follows two paradigms. Gradient-based saliency methods, primarily Grad-CAM </w:t>
      </w:r>
      <w:r>
        <w:rPr>
          <w:rFonts w:ascii="Times New Roman" w:hAnsi="Times New Roman" w:cs="Times New Roman"/>
          <w:sz w:val="24"/>
          <w:vertAlign w:val="superscript"/>
        </w:rPr>
        <w:t xml:space="preserve">14</w:t>
      </w:r>
      <w:r>
        <w:rPr>
          <w:rFonts w:ascii="Times New Roman" w:hAnsi="Times New Roman" w:cs="Times New Roman"/>
          <w:sz w:val="24"/>
        </w:rPr>
        <w:t xml:space="preserve">, trace network gradients to produce coarse heatmaps of influential image regions. When applied to a fundus photograph classified as Severe DR, Grad-CAM computes the gradient of the Severe class score with respect to the feature maps of the final convolutional layer of the Swin Transformer. These gradients are globally average-pooled to obtain importance weights, which are then used to produce a coarse heatmap highlighting the disc and large vessel regions. The resulting heatmap indicates</w:t>
      </w:r>
      <w:r>
        <w:rPr>
          <w:rFonts w:ascii="Times New Roman" w:hAnsi="Times New Roman" w:cs="Times New Roman"/>
          <w:sz w:val="24"/>
        </w:rPr>
        <w:t xml:space="preserve"> </w:t>
      </w:r>
      <w:r>
        <w:rPr>
          <w:rFonts w:ascii="Times New Roman" w:hAnsi="Times New Roman" w:cs="Times New Roman"/>
          <w:i/>
          <w:iCs/>
          <w:sz w:val="24"/>
        </w:rPr>
        <w:t xml:space="preserve">where</w:t>
      </w:r>
      <w:r>
        <w:rPr>
          <w:rFonts w:ascii="Times New Roman" w:hAnsi="Times New Roman" w:cs="Times New Roman"/>
          <w:sz w:val="24"/>
        </w:rPr>
        <w:t xml:space="preserve"> </w:t>
      </w:r>
      <w:r>
        <w:rPr>
          <w:rFonts w:ascii="Times New Roman" w:hAnsi="Times New Roman" w:cs="Times New Roman"/>
          <w:sz w:val="24"/>
        </w:rPr>
        <w:t xml:space="preserve">the model looked, but lacks fine-grained boundary information.</w:t>
      </w:r>
    </w:p>
    <w:p>
      <w:pPr>
        <w:pStyle w:val="BodyText"/>
        <w:spacing w:lineRule="auto" w:line="360" w:before="0" w:after="80"/>
      </w:pPr>
      <w:r>
        <w:rPr>
          <w:rFonts w:ascii="Times New Roman" w:hAnsi="Times New Roman" w:cs="Times New Roman"/>
          <w:sz w:val="24"/>
        </w:rPr>
        <w:t xml:space="preserve">The second paradigm focuses on perturbation-based techniques such as LIME </w:t>
      </w:r>
      <w:r>
        <w:rPr>
          <w:rFonts w:ascii="Times New Roman" w:hAnsi="Times New Roman" w:cs="Times New Roman"/>
          <w:sz w:val="24"/>
          <w:vertAlign w:val="superscript"/>
        </w:rPr>
        <w:t xml:space="preserve">15</w:t>
      </w:r>
      <w:r>
        <w:rPr>
          <w:rFonts w:ascii="Times New Roman" w:hAnsi="Times New Roman" w:cs="Times New Roman"/>
          <w:sz w:val="24"/>
        </w:rPr>
        <w:t xml:space="preserve"> </w:t>
      </w:r>
      <w:r>
        <w:rPr>
          <w:rFonts w:ascii="Times New Roman" w:hAnsi="Times New Roman" w:cs="Times New Roman"/>
          <w:sz w:val="24"/>
        </w:rPr>
        <w:t xml:space="preserve">and SHAP </w:t>
      </w:r>
      <w:r>
        <w:rPr>
          <w:rFonts w:ascii="Times New Roman" w:hAnsi="Times New Roman" w:cs="Times New Roman"/>
          <w:sz w:val="24"/>
          <w:vertAlign w:val="superscript"/>
        </w:rPr>
        <w:t xml:space="preserve">16</w:t>
      </w:r>
      <w:r>
        <w:rPr>
          <w:rFonts w:ascii="Times New Roman" w:hAnsi="Times New Roman" w:cs="Times New Roman"/>
          <w:sz w:val="24"/>
        </w:rPr>
        <w:t xml:space="preserve">. LIME decomposes the same fundus image into approximately 100 SLIC superpixels </w:t>
      </w:r>
      <w:r>
        <w:rPr>
          <w:rFonts w:ascii="Times New Roman" w:hAnsi="Times New Roman" w:cs="Times New Roman"/>
          <w:sz w:val="24"/>
          <w:vertAlign w:val="superscript"/>
        </w:rPr>
        <w:t xml:space="preserve">17</w:t>
      </w:r>
      <w:r>
        <w:rPr>
          <w:rFonts w:ascii="Times New Roman" w:hAnsi="Times New Roman" w:cs="Times New Roman"/>
          <w:sz w:val="24"/>
        </w:rPr>
        <w:t xml:space="preserve">, then generates 1,000 perturbed versions by randomly masking subsets of these superpixels. Each perturbed image is passed through the Swin Transformer to obtain a prediction, and a Ridge regression surrogate is fit on the binary superpixel masks weighted by an exponential proximity kernel. The resulting coefficients indicate which superpixels were most important for the original prediction. Unlike Grad-CAM, LIME produces a fine-grained attribution map but suffers from stochastic instability. Recent work on CoCoX </w:t>
      </w:r>
      <w:r>
        <w:rPr>
          <w:rFonts w:ascii="Times New Roman" w:hAnsi="Times New Roman" w:cs="Times New Roman"/>
          <w:sz w:val="24"/>
          <w:vertAlign w:val="superscript"/>
        </w:rPr>
        <w:t xml:space="preserve">18</w:t>
      </w:r>
      <w:r>
        <w:rPr>
          <w:rFonts w:ascii="Times New Roman" w:hAnsi="Times New Roman" w:cs="Times New Roman"/>
          <w:sz w:val="24"/>
        </w:rPr>
        <w:t xml:space="preserve"> </w:t>
      </w:r>
      <w:r>
        <w:rPr>
          <w:rFonts w:ascii="Times New Roman" w:hAnsi="Times New Roman" w:cs="Times New Roman"/>
          <w:sz w:val="24"/>
        </w:rPr>
        <w:t xml:space="preserve">and Faithful LIME variants </w:t>
      </w:r>
      <w:r>
        <w:rPr>
          <w:rFonts w:ascii="Times New Roman" w:hAnsi="Times New Roman" w:cs="Times New Roman"/>
          <w:sz w:val="24"/>
          <w:vertAlign w:val="superscript"/>
        </w:rPr>
        <w:t xml:space="preserve">19</w:t>
      </w:r>
      <w:r>
        <w:rPr>
          <w:rFonts w:ascii="Times New Roman" w:hAnsi="Times New Roman" w:cs="Times New Roman"/>
          <w:sz w:val="24"/>
        </w:rPr>
        <w:t xml:space="preserve"> </w:t>
      </w:r>
      <w:r>
        <w:rPr>
          <w:rFonts w:ascii="Times New Roman" w:hAnsi="Times New Roman" w:cs="Times New Roman"/>
          <w:sz w:val="24"/>
        </w:rPr>
        <w:t xml:space="preserve">has begun to address quantitative faithfulness validation, although few studies have applied these rigorously to DR grading.</w:t>
      </w:r>
    </w:p>
    <w:bookmarkEnd w:id="13"/>
    <w:bookmarkStart w:id="14" w:name="identified-research-gap"/>
    <w:p>
      <w:pPr>
        <w:pStyle w:val="Heading2"/>
        <w:spacing w:lineRule="auto" w:line="288" w:before="0" w:after="80"/>
        <w:jc w:val="left"/>
      </w:pPr>
      <w:r>
        <w:rPr>
          <w:rFonts w:ascii="Times New Roman" w:hAnsi="Times New Roman" w:cs="Times New Roman"/>
          <w:sz w:val="26"/>
        </w:rPr>
        <w:t xml:space="preserve">Identified Research Gap</w:t>
      </w:r>
    </w:p>
    <w:p>
      <w:pPr>
        <w:pStyle w:val="FirstParagraph"/>
        <w:spacing w:lineRule="auto" w:line="360" w:before="0" w:after="80"/>
      </w:pPr>
      <w:r>
        <w:rPr>
          <w:rFonts w:ascii="Times New Roman" w:hAnsi="Times New Roman" w:cs="Times New Roman"/>
          <w:sz w:val="24"/>
        </w:rPr>
        <w:t xml:space="preserve">A review of the existing literature reveals a clear research gap: existing DR research predominantly focuses on maximising classification accuracy, with XAI analysis either entirely absent or limited to a superficial demonstration of saliency maps. Furthermore, few studies quantitatively validate the faithfulness of their explanations using fidelity metrics or rigorously test their clinical alignment with actual pathological biomarkers. This paper directly addresses this gap by introducing a hybrid Guided-LIME approach and a multi-tiered validation suite.</w:t>
      </w:r>
    </w:p>
    <w:bookmarkEnd w:id="14"/>
    <w:bookmarkEnd w:id="15"/>
    <w:bookmarkStart w:id="38" w:name="sec:methods"/>
    <w:p>
      <w:pPr>
        <w:pStyle w:val="Heading1"/>
        <w:spacing w:lineRule="auto" w:line="288" w:before="0" w:after="80"/>
        <w:jc w:val="left"/>
      </w:pPr>
      <w:r>
        <w:rPr>
          <w:rFonts w:ascii="Times New Roman" w:hAnsi="Times New Roman" w:cs="Times New Roman"/>
          <w:sz w:val="28"/>
        </w:rPr>
        <w:t xml:space="preserve">Materials and Methods</w:t>
      </w:r>
    </w:p>
    <w:bookmarkStart w:id="20" w:name="system-architecture-overview"/>
    <w:p>
      <w:pPr>
        <w:pStyle w:val="Heading2"/>
        <w:spacing w:lineRule="auto" w:line="288" w:before="0" w:after="80"/>
        <w:jc w:val="left"/>
      </w:pPr>
      <w:r>
        <w:rPr>
          <w:rFonts w:ascii="Times New Roman" w:hAnsi="Times New Roman" w:cs="Times New Roman"/>
          <w:sz w:val="26"/>
        </w:rPr>
        <w:t xml:space="preserve">System Architecture Overview</w:t>
      </w:r>
    </w:p>
    <w:p>
      <w:pPr>
        <w:pStyle w:val="FirstParagraph"/>
        <w:spacing w:lineRule="auto" w:line="240" w:before="0" w:after="80"/>
      </w:pPr>
      <w:r>
        <w:rPr>
          <w:rFonts w:ascii="Times New Roman" w:hAnsi="Times New Roman" w:cs="Times New Roman"/>
          <w:sz w:val="20"/>
        </w:rPr>
        <w:t xml:space="preserve">Figure </w:t>
      </w:r>
      <w:hyperlink w:anchor="fig:architecture">
        <w:r>
          <w:rPr>
            <w:rStyle w:val="Hyperlink"/>
          </w:rPr>
          <w:t xml:space="preserve">1</w:t>
        </w:r>
      </w:hyperlink>
      <w:r>
        <w:rPr>
          <w:rFonts w:ascii="Times New Roman" w:hAnsi="Times New Roman" w:cs="Times New Roman"/>
          <w:sz w:val="20"/>
        </w:rPr>
        <w:t xml:space="preserve"> </w:t>
      </w:r>
      <w:r>
        <w:rPr>
          <w:rFonts w:ascii="Times New Roman" w:hAnsi="Times New Roman" w:cs="Times New Roman"/>
          <w:sz w:val="20"/>
        </w:rPr>
        <w:t xml:space="preserve">presents the complete end-to-end system architecture of the proposed Guided-LIME framework. The pipeline follows a modular design pattern: (1) an input pre-processing stage implementing the OpenCV-First pipeline; (2) a classification backbone using the Swin Transformer; (3) a dual-stream explanation generation stage combining Grad-CAM global activations with LIME local superpixel segmentation; (4) a hybrid importance scoring module implementing the Guided-LIME equation; and (5) a multi-tiered validation suite comprising fidelity metrics, statistical tests, clinical alignment scoring, and stability analysis.</w:t>
      </w:r>
    </w:p>
    <w:bookmarkStart w:id="19" w:name="fig:architecture"/>
    <w:p>
      <w:pPr>
        <w:pStyle w:val="CaptionedFigure"/>
        <w:spacing w:lineRule="auto" w:line="240" w:before="0" w:after="80"/>
      </w:pPr>
      <w:r>
        <w:rPr>
          <w:rFonts w:ascii="Times New Roman" w:hAnsi="Times New Roman" w:cs="Times New Roman"/>
          <w:sz w:val="20"/>
        </w:rPr>
        <w:drawing>
          <wp:inline>
            <wp:extent cx="5334000" cy="2794922"/>
            <wp:effectExtent b="0" l="0" r="0" t="0"/>
            <wp:docPr descr="" title="" id="17" name="Picture"/>
            <a:graphic>
              <a:graphicData uri="http://schemas.openxmlformats.org/drawingml/2006/picture">
                <pic:pic>
                  <pic:nvPicPr>
                    <pic:cNvPr descr="Figure_1.jpg" id="18" name="Picture"/>
                    <pic:cNvPicPr>
                      <a:picLocks noChangeArrowheads="1" noChangeAspect="1"/>
                    </pic:cNvPicPr>
                  </pic:nvPicPr>
                  <pic:blipFill>
                    <a:blip r:embed="rId16"/>
                    <a:stretch>
                      <a:fillRect/>
                    </a:stretch>
                  </pic:blipFill>
                  <pic:spPr bwMode="auto">
                    <a:xfrm>
                      <a:off x="0" y="0"/>
                      <a:ext cx="5334000" cy="2794922"/>
                    </a:xfrm>
                    <a:prstGeom prst="rect">
                      <a:avLst/>
                    </a:prstGeom>
                    <a:noFill/>
                    <a:ln w="9525">
                      <a:noFill/>
                      <a:headEnd/>
                      <a:tailEnd/>
                    </a:ln>
                  </pic:spPr>
                </pic:pic>
              </a:graphicData>
            </a:graphic>
          </wp:inline>
        </w:drawing>
      </w:r>
    </w:p>
    <w:p>
      <w:pPr>
        <w:pStyle w:val="ImageCaption"/>
        <w:spacing w:lineRule="auto" w:line="240" w:before="0" w:after="80"/>
      </w:pPr>
      <w:r>
        <w:rPr>
          <w:rFonts w:ascii="Times New Roman" w:hAnsi="Times New Roman" w:cs="Times New Roman"/>
          <w:sz w:val="20"/>
        </w:rPr>
        <w:t xml:space="preserve">End-to-end system architecture of the proposed Guided-LIME framework. The pipeline consists of six modules: (1) Input Layer performing FOV cropping, CLAHE enhancement, and augmentation; (2) Model Architecture with the Swin Transformer (Swin-T) backbone; (3) Training Strategy using Weighted Random Sampling, Focal Loss (</w:t>
      </w:r>
      <m:oMath>
        <m:r>
          <m:t>γ</m:t>
        </m:r>
        <m:r>
          <m:rPr>
            <m:sty m:val="p"/>
          </m:rPr>
          <m:t>=</m:t>
        </m:r>
        <m:r>
          <m:t>2.0</m:t>
        </m:r>
      </m:oMath>
      <w:r>
        <w:rPr>
          <w:rFonts w:ascii="Times New Roman" w:hAnsi="Times New Roman" w:cs="Times New Roman"/>
          <w:sz w:val="20"/>
        </w:rPr>
        <w:t xml:space="preserve">), and AdamW with L2 regularisation (</w:t>
      </w:r>
      <m:oMath>
        <m:r>
          <m:t>λ</m:t>
        </m:r>
        <m:r>
          <m:rPr>
            <m:sty m:val="p"/>
          </m:rPr>
          <m:t>=</m:t>
        </m:r>
        <m:sSup>
          <m:e>
            <m:r>
              <m:t>10</m:t>
            </m:r>
          </m:e>
          <m:sup>
            <m:r>
              <m:rPr>
                <m:sty m:val="p"/>
              </m:rPr>
              <m:t>−</m:t>
            </m:r>
            <m:r>
              <m:t>2</m:t>
            </m:r>
          </m:sup>
        </m:sSup>
      </m:oMath>
      <w:r>
        <w:rPr>
          <w:rFonts w:ascii="Times New Roman" w:hAnsi="Times New Roman" w:cs="Times New Roman"/>
          <w:sz w:val="20"/>
        </w:rPr>
        <w:t xml:space="preserve">); (4) Guided-LIME Hybrid Explainer; (5) Multi-Tiered Validation; and (6) the Output module yielding the final DR severity prediction and explanation heatmap overlay.</w:t>
      </w:r>
    </w:p>
    <w:bookmarkEnd w:id="19"/>
    <w:bookmarkEnd w:id="20"/>
    <w:bookmarkStart w:id="23" w:name="dataset-and-data-preparation"/>
    <w:p>
      <w:pPr>
        <w:pStyle w:val="Heading2"/>
        <w:spacing w:lineRule="auto" w:line="288" w:before="0" w:after="80"/>
        <w:jc w:val="left"/>
      </w:pPr>
      <w:r>
        <w:rPr>
          <w:rFonts w:ascii="Times New Roman" w:hAnsi="Times New Roman" w:cs="Times New Roman"/>
          <w:sz w:val="26"/>
        </w:rPr>
        <w:t xml:space="preserve">Dataset and Data Preparation</w:t>
      </w:r>
    </w:p>
    <w:p>
      <w:pPr>
        <w:pStyle w:val="FirstParagraph"/>
        <w:spacing w:lineRule="auto" w:line="360" w:before="0" w:after="80"/>
      </w:pPr>
      <w:r>
        <w:rPr>
          <w:rFonts w:ascii="Times New Roman" w:hAnsi="Times New Roman" w:cs="Times New Roman"/>
          <w:sz w:val="24"/>
        </w:rPr>
        <w:t xml:space="preserve">This study used the APTOS 2019 Blindness Detection dataset </w:t>
      </w:r>
      <w:r>
        <w:rPr>
          <w:rFonts w:ascii="Times New Roman" w:hAnsi="Times New Roman" w:cs="Times New Roman"/>
          <w:sz w:val="24"/>
          <w:vertAlign w:val="superscript"/>
        </w:rPr>
        <w:t xml:space="preserve">7</w:t>
      </w:r>
      <w:r>
        <w:rPr>
          <w:rFonts w:ascii="Times New Roman" w:hAnsi="Times New Roman" w:cs="Times New Roman"/>
          <w:sz w:val="24"/>
        </w:rPr>
        <w:t xml:space="preserve">, a collection of 3,662 retinal fundus images labelled across five DR severity grades. The class distribution is shown in Table </w:t>
      </w:r>
      <w:hyperlink w:anchor="tab:classdist">
        <w:r>
          <w:rPr>
            <w:rStyle w:val="Hyperlink"/>
          </w:rPr>
          <w:t xml:space="preserve">1</w:t>
        </w:r>
      </w:hyperlink>
      <w:r>
        <w:rPr>
          <w:rFonts w:ascii="Times New Roman" w:hAnsi="Times New Roman" w:cs="Times New Roman"/>
          <w:sz w:val="24"/>
        </w:rPr>
        <w:t xml:space="preserve">. The dataset was partitioned via a stratified random split into training (70%, n=2,564), validation (15%, n=549), and test (15%, n=549) sets, with each subset preserving the original class proportions.</w:t>
      </w:r>
    </w:p>
    <w:p>
      <w:pPr>
        <w:pStyle w:val="BodyText"/>
      </w:pPr>
      <w:bookmarkStart w:id="21" w:name="tab:classdist"/>
      <w:bookmarkEnd w:id="21"/>
    </w:p>
    <w:bookmarkStart w:id="22" w:name="tab:classdist"/>
    <w:p>
      <w:pPr>
        <w:pStyle w:val="TableCaption"/>
        <w:spacing w:lineRule="auto" w:line="240" w:before="0" w:after="80"/>
      </w:pPr>
      <w:r>
        <w:rPr>
          <w:rFonts w:ascii="Times New Roman" w:hAnsi="Times New Roman" w:cs="Times New Roman"/>
          <w:sz w:val="20"/>
        </w:rPr>
        <w:t xml:space="preserve">Class distribution of the APTOS 2019 Blindness Detection dataset (n=3,662).</w:t>
      </w:r>
    </w:p>
    <w:tbl>
      <w:tblPr>
        <w:tblStyle w:val="Table"/>
        <w:tblW w:type="auto" w:w="0"/>
        <w:jc w:val="center"/>
        <w:tblLook w:firstRow="1" w:lastRow="0" w:firstColumn="0" w:lastColumn="0" w:noHBand="0" w:noVBand="0" w:val="0020"/>
        <w:tblCaption w:val="Class distribution of the APTOS 2019 Blindness Detection dataset (n=3,662)."/>
      </w:tblPr>
      <w:tblGrid>
        <w:gridCol w:w="2640"/>
        <w:gridCol w:w="2640"/>
        <w:gridCol w:w="2640"/>
      </w:tblGrid>
      <w:tr>
        <w:trPr>
          <w:tblHeader w:val="on"/>
        </w:trPr>
        <w:tc>
          <w:tcPr/>
          <w:p>
            <w:pPr>
              <w:pStyle w:val="Compact"/>
              <w:spacing w:line="240" w:lineRule="auto" w:before="40" w:after="40"/>
              <w:jc w:val="center"/>
            </w:pPr>
            <w:r>
              <w:rPr>
                <w:rFonts w:ascii="Times New Roman" w:hAnsi="Times New Roman" w:cs="Times New Roman"/>
                <w:sz w:val="18"/>
              </w:rPr>
              <w:t xml:space="preserve">DR Grade</w:t>
            </w:r>
          </w:p>
        </w:tc>
        <w:tc>
          <w:tcPr/>
          <w:p>
            <w:pPr>
              <w:pStyle w:val="Compact"/>
              <w:spacing w:line="240" w:lineRule="auto" w:before="40" w:after="40"/>
              <w:jc w:val="center"/>
            </w:pPr>
            <w:r>
              <w:rPr>
                <w:rFonts w:ascii="Times New Roman" w:hAnsi="Times New Roman" w:cs="Times New Roman"/>
                <w:sz w:val="18"/>
              </w:rPr>
              <w:t xml:space="preserve">Number of Images</w:t>
            </w:r>
          </w:p>
        </w:tc>
        <w:tc>
          <w:tcPr/>
          <w:p>
            <w:pPr>
              <w:pStyle w:val="Compact"/>
              <w:spacing w:line="240" w:lineRule="auto" w:before="40" w:after="40"/>
              <w:jc w:val="center"/>
            </w:pPr>
            <w:r>
              <w:rPr>
                <w:rFonts w:ascii="Times New Roman" w:hAnsi="Times New Roman" w:cs="Times New Roman"/>
                <w:sz w:val="18"/>
              </w:rPr>
              <w:t xml:space="preserve">Percentage</w:t>
            </w:r>
          </w:p>
        </w:tc>
      </w:tr>
      <w:tr>
        <w:tc>
          <w:tcPr/>
          <w:p>
            <w:pPr>
              <w:pStyle w:val="Compact"/>
              <w:spacing w:line="240" w:lineRule="auto" w:before="40" w:after="40"/>
              <w:jc w:val="center"/>
            </w:pPr>
            <w:r>
              <w:rPr>
                <w:rFonts w:ascii="Times New Roman" w:hAnsi="Times New Roman" w:cs="Times New Roman"/>
                <w:sz w:val="18"/>
              </w:rPr>
              <w:t xml:space="preserve">No DR (0)</w:t>
            </w:r>
          </w:p>
        </w:tc>
        <w:tc>
          <w:tcPr/>
          <w:p>
            <w:pPr>
              <w:pStyle w:val="Compact"/>
              <w:spacing w:line="240" w:lineRule="auto" w:before="40" w:after="40"/>
              <w:jc w:val="center"/>
            </w:pPr>
            <w:r>
              <w:rPr>
                <w:rFonts w:ascii="Times New Roman" w:hAnsi="Times New Roman" w:cs="Times New Roman"/>
                <w:sz w:val="18"/>
              </w:rPr>
              <w:t xml:space="preserve">1,805</w:t>
            </w:r>
          </w:p>
        </w:tc>
        <w:tc>
          <w:tcPr/>
          <w:p>
            <w:pPr>
              <w:pStyle w:val="Compact"/>
              <w:spacing w:line="240" w:lineRule="auto" w:before="40" w:after="40"/>
              <w:jc w:val="center"/>
            </w:pPr>
            <w:r>
              <w:rPr>
                <w:rFonts w:ascii="Times New Roman" w:hAnsi="Times New Roman" w:cs="Times New Roman"/>
                <w:sz w:val="18"/>
              </w:rPr>
              <w:t xml:space="preserve">49.3%</w:t>
            </w:r>
          </w:p>
        </w:tc>
      </w:tr>
      <w:tr>
        <w:tc>
          <w:tcPr/>
          <w:p>
            <w:pPr>
              <w:pStyle w:val="Compact"/>
              <w:spacing w:line="240" w:lineRule="auto" w:before="40" w:after="40"/>
              <w:jc w:val="center"/>
            </w:pPr>
            <w:r>
              <w:rPr>
                <w:rFonts w:ascii="Times New Roman" w:hAnsi="Times New Roman" w:cs="Times New Roman"/>
                <w:sz w:val="18"/>
              </w:rPr>
              <w:t xml:space="preserve">Mild (1)</w:t>
            </w:r>
          </w:p>
        </w:tc>
        <w:tc>
          <w:tcPr/>
          <w:p>
            <w:pPr>
              <w:pStyle w:val="Compact"/>
              <w:spacing w:line="240" w:lineRule="auto" w:before="40" w:after="40"/>
              <w:jc w:val="center"/>
            </w:pPr>
            <w:r>
              <w:rPr>
                <w:rFonts w:ascii="Times New Roman" w:hAnsi="Times New Roman" w:cs="Times New Roman"/>
                <w:sz w:val="18"/>
              </w:rPr>
              <w:t xml:space="preserve">370</w:t>
            </w:r>
          </w:p>
        </w:tc>
        <w:tc>
          <w:tcPr/>
          <w:p>
            <w:pPr>
              <w:pStyle w:val="Compact"/>
              <w:spacing w:line="240" w:lineRule="auto" w:before="40" w:after="40"/>
              <w:jc w:val="center"/>
            </w:pPr>
            <w:r>
              <w:rPr>
                <w:rFonts w:ascii="Times New Roman" w:hAnsi="Times New Roman" w:cs="Times New Roman"/>
                <w:sz w:val="18"/>
              </w:rPr>
              <w:t xml:space="preserve">10.1%</w:t>
            </w:r>
          </w:p>
        </w:tc>
      </w:tr>
      <w:tr>
        <w:tc>
          <w:tcPr/>
          <w:p>
            <w:pPr>
              <w:pStyle w:val="Compact"/>
              <w:spacing w:line="240" w:lineRule="auto" w:before="40" w:after="40"/>
              <w:jc w:val="center"/>
            </w:pPr>
            <w:r>
              <w:rPr>
                <w:rFonts w:ascii="Times New Roman" w:hAnsi="Times New Roman" w:cs="Times New Roman"/>
                <w:sz w:val="18"/>
              </w:rPr>
              <w:t xml:space="preserve">Moderate (2)</w:t>
            </w:r>
          </w:p>
        </w:tc>
        <w:tc>
          <w:tcPr/>
          <w:p>
            <w:pPr>
              <w:pStyle w:val="Compact"/>
              <w:spacing w:line="240" w:lineRule="auto" w:before="40" w:after="40"/>
              <w:jc w:val="center"/>
            </w:pPr>
            <w:r>
              <w:rPr>
                <w:rFonts w:ascii="Times New Roman" w:hAnsi="Times New Roman" w:cs="Times New Roman"/>
                <w:sz w:val="18"/>
              </w:rPr>
              <w:t xml:space="preserve">999</w:t>
            </w:r>
          </w:p>
        </w:tc>
        <w:tc>
          <w:tcPr/>
          <w:p>
            <w:pPr>
              <w:pStyle w:val="Compact"/>
              <w:spacing w:line="240" w:lineRule="auto" w:before="40" w:after="40"/>
              <w:jc w:val="center"/>
            </w:pPr>
            <w:r>
              <w:rPr>
                <w:rFonts w:ascii="Times New Roman" w:hAnsi="Times New Roman" w:cs="Times New Roman"/>
                <w:sz w:val="18"/>
              </w:rPr>
              <w:t xml:space="preserve">27.3%</w:t>
            </w:r>
          </w:p>
        </w:tc>
      </w:tr>
      <w:tr>
        <w:tc>
          <w:tcPr/>
          <w:p>
            <w:pPr>
              <w:pStyle w:val="Compact"/>
              <w:spacing w:line="240" w:lineRule="auto" w:before="40" w:after="40"/>
              <w:jc w:val="center"/>
            </w:pPr>
            <w:r>
              <w:rPr>
                <w:rFonts w:ascii="Times New Roman" w:hAnsi="Times New Roman" w:cs="Times New Roman"/>
                <w:sz w:val="18"/>
              </w:rPr>
              <w:t xml:space="preserve">Severe (3)</w:t>
            </w:r>
          </w:p>
        </w:tc>
        <w:tc>
          <w:tcPr/>
          <w:p>
            <w:pPr>
              <w:pStyle w:val="Compact"/>
              <w:spacing w:line="240" w:lineRule="auto" w:before="40" w:after="40"/>
              <w:jc w:val="center"/>
            </w:pPr>
            <w:r>
              <w:rPr>
                <w:rFonts w:ascii="Times New Roman" w:hAnsi="Times New Roman" w:cs="Times New Roman"/>
                <w:sz w:val="18"/>
              </w:rPr>
              <w:t xml:space="preserve">193</w:t>
            </w:r>
          </w:p>
        </w:tc>
        <w:tc>
          <w:tcPr/>
          <w:p>
            <w:pPr>
              <w:pStyle w:val="Compact"/>
              <w:spacing w:line="240" w:lineRule="auto" w:before="40" w:after="40"/>
              <w:jc w:val="center"/>
            </w:pPr>
            <w:r>
              <w:rPr>
                <w:rFonts w:ascii="Times New Roman" w:hAnsi="Times New Roman" w:cs="Times New Roman"/>
                <w:sz w:val="18"/>
              </w:rPr>
              <w:t xml:space="preserve">5.3%</w:t>
            </w:r>
          </w:p>
        </w:tc>
      </w:tr>
      <w:tr>
        <w:tc>
          <w:tcPr/>
          <w:p>
            <w:pPr>
              <w:pStyle w:val="Compact"/>
              <w:spacing w:line="240" w:lineRule="auto" w:before="40" w:after="40"/>
              <w:jc w:val="center"/>
            </w:pPr>
            <w:r>
              <w:rPr>
                <w:rFonts w:ascii="Times New Roman" w:hAnsi="Times New Roman" w:cs="Times New Roman"/>
                <w:sz w:val="18"/>
              </w:rPr>
              <w:t xml:space="preserve">Proliferative DR (4)</w:t>
            </w:r>
          </w:p>
        </w:tc>
        <w:tc>
          <w:tcPr/>
          <w:p>
            <w:pPr>
              <w:pStyle w:val="Compact"/>
              <w:spacing w:line="240" w:lineRule="auto" w:before="40" w:after="40"/>
              <w:jc w:val="center"/>
            </w:pPr>
            <w:r>
              <w:rPr>
                <w:rFonts w:ascii="Times New Roman" w:hAnsi="Times New Roman" w:cs="Times New Roman"/>
                <w:sz w:val="18"/>
              </w:rPr>
              <w:t xml:space="preserve">295</w:t>
            </w:r>
          </w:p>
        </w:tc>
        <w:tc>
          <w:tcPr/>
          <w:p>
            <w:pPr>
              <w:pStyle w:val="Compact"/>
              <w:spacing w:line="240" w:lineRule="auto" w:before="40" w:after="40"/>
              <w:jc w:val="center"/>
            </w:pPr>
            <w:r>
              <w:rPr>
                <w:rFonts w:ascii="Times New Roman" w:hAnsi="Times New Roman" w:cs="Times New Roman"/>
                <w:sz w:val="18"/>
              </w:rPr>
              <w:t xml:space="preserve">8.1%</w:t>
            </w:r>
          </w:p>
        </w:tc>
      </w:tr>
      <w:tr>
        <w:tc>
          <w:tcPr/>
          <w:p>
            <w:pPr>
              <w:pStyle w:val="Compact"/>
              <w:spacing w:line="240" w:lineRule="auto" w:before="40" w:after="40"/>
              <w:jc w:val="center"/>
            </w:pPr>
            <w:r>
              <w:rPr>
                <w:rFonts w:ascii="Times New Roman" w:hAnsi="Times New Roman" w:cs="Times New Roman"/>
                <w:b/>
                <w:bCs/>
                <w:sz w:val="18"/>
              </w:rPr>
              <w:t xml:space="preserve">Total</w:t>
            </w:r>
          </w:p>
        </w:tc>
        <w:tc>
          <w:tcPr/>
          <w:p>
            <w:pPr>
              <w:pStyle w:val="Compact"/>
              <w:spacing w:line="240" w:lineRule="auto" w:before="40" w:after="40"/>
              <w:jc w:val="center"/>
            </w:pPr>
            <w:r>
              <w:rPr>
                <w:rFonts w:ascii="Times New Roman" w:hAnsi="Times New Roman" w:cs="Times New Roman"/>
                <w:b/>
                <w:bCs/>
                <w:sz w:val="18"/>
              </w:rPr>
              <w:t xml:space="preserve">3,662</w:t>
            </w:r>
          </w:p>
        </w:tc>
        <w:tc>
          <w:tcPr/>
          <w:p>
            <w:pPr>
              <w:pStyle w:val="Compact"/>
              <w:spacing w:line="240" w:lineRule="auto" w:before="40" w:after="40"/>
              <w:jc w:val="center"/>
            </w:pPr>
            <w:r>
              <w:rPr>
                <w:rFonts w:ascii="Times New Roman" w:hAnsi="Times New Roman" w:cs="Times New Roman"/>
                <w:b/>
                <w:bCs/>
                <w:sz w:val="18"/>
              </w:rPr>
              <w:t xml:space="preserve">100.0%</w:t>
            </w:r>
          </w:p>
        </w:tc>
      </w:tr>
    </w:tbl>
    <w:bookmarkEnd w:id="22"/>
    <w:bookmarkEnd w:id="23"/>
    <w:bookmarkStart w:id="28" w:name="pre-processing-pipeline"/>
    <w:p>
      <w:pPr>
        <w:pStyle w:val="Heading2"/>
        <w:spacing w:lineRule="auto" w:line="288" w:before="0" w:after="80"/>
        <w:jc w:val="left"/>
      </w:pPr>
      <w:r>
        <w:rPr>
          <w:rFonts w:ascii="Times New Roman" w:hAnsi="Times New Roman" w:cs="Times New Roman"/>
          <w:sz w:val="26"/>
        </w:rPr>
        <w:t xml:space="preserve">Pre-processing Pipeline</w:t>
      </w:r>
    </w:p>
    <w:p>
      <w:pPr>
        <w:pStyle w:val="FirstParagraph"/>
        <w:spacing w:lineRule="auto" w:line="360" w:before="0" w:after="80"/>
      </w:pPr>
      <w:r>
        <w:rPr>
          <w:rFonts w:ascii="Times New Roman" w:hAnsi="Times New Roman" w:cs="Times New Roman"/>
          <w:sz w:val="24"/>
        </w:rPr>
        <w:t xml:space="preserve">A custom OpenCV-First pre-processing pipeline was developed and implemented as formalised in Algorithm </w:t>
      </w:r>
      <w:hyperlink w:anchor="alg:preprocessing">
        <w:r>
          <w:rPr>
            <w:rStyle w:val="Hyperlink"/>
          </w:rPr>
          <w:t xml:space="preserve">[alg:preprocessing]</w:t>
        </w:r>
      </w:hyperlink>
      <w:r>
        <w:rPr>
          <w:rFonts w:ascii="Times New Roman" w:hAnsi="Times New Roman" w:cs="Times New Roman"/>
          <w:sz w:val="24"/>
        </w:rPr>
        <w:t xml:space="preserve">. A visual illustration of the input image before and after pre-processing is provided in Figure </w:t>
      </w:r>
      <w:hyperlink w:anchor="fig:preprocessing">
        <w:r>
          <w:rPr>
            <w:rStyle w:val="Hyperlink"/>
          </w:rPr>
          <w:t xml:space="preserve">2</w:t>
        </w:r>
      </w:hyperlink>
      <w:r>
        <w:rPr>
          <w:rFonts w:ascii="Times New Roman" w:hAnsi="Times New Roman" w:cs="Times New Roman"/>
          <w:sz w:val="24"/>
        </w:rPr>
        <w:t xml:space="preserve">. The automated field-of-view (FOV) cropping step removes peripheral artifacts, while the application of Contrast Limited Adaptive Histogram Equalisation (CLAHE) to the L-channel in LAB colour space standardises local contrast </w:t>
      </w:r>
      <w:r>
        <w:rPr>
          <w:rFonts w:ascii="Times New Roman" w:hAnsi="Times New Roman" w:cs="Times New Roman"/>
          <w:sz w:val="24"/>
          <w:vertAlign w:val="superscript"/>
        </w:rPr>
        <w:t xml:space="preserve">20, 21</w:t>
      </w:r>
      <w:r>
        <w:rPr>
          <w:rFonts w:ascii="Times New Roman" w:hAnsi="Times New Roman" w:cs="Times New Roman"/>
          <w:sz w:val="24"/>
        </w:rPr>
        <w:t xml:space="preserve">.</w:t>
      </w:r>
    </w:p>
    <w:bookmarkStart w:id="27" w:name="fig:preprocessing"/>
    <w:p>
      <w:pPr>
        <w:pStyle w:val="CaptionedFigure"/>
        <w:spacing w:lineRule="auto" w:line="240" w:before="0" w:after="80"/>
      </w:pPr>
      <w:r>
        <w:rPr>
          <w:rFonts w:ascii="Times New Roman" w:hAnsi="Times New Roman" w:cs="Times New Roman"/>
          <w:sz w:val="20"/>
        </w:rPr>
        <w:drawing>
          <wp:inline>
            <wp:extent cx="5334000" cy="2667000"/>
            <wp:effectExtent b="0" l="0" r="0" t="0"/>
            <wp:docPr descr="" title="" id="25" name="Picture"/>
            <a:graphic>
              <a:graphicData uri="http://schemas.openxmlformats.org/drawingml/2006/picture">
                <pic:pic>
                  <pic:nvPicPr>
                    <pic:cNvPr descr="preprocessing_effect.png" id="26" name="Picture"/>
                    <pic:cNvPicPr>
                      <a:picLocks noChangeArrowheads="1" noChangeAspect="1"/>
                    </pic:cNvPicPr>
                  </pic:nvPicPr>
                  <pic:blipFill>
                    <a:blip r:embed="rId2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spacing w:lineRule="auto" w:line="240" w:before="0" w:after="80"/>
      </w:pPr>
      <w:r>
        <w:rPr>
          <w:rFonts w:ascii="Times New Roman" w:hAnsi="Times New Roman" w:cs="Times New Roman"/>
          <w:sz w:val="20"/>
        </w:rPr>
        <w:t xml:space="preserve">Illustration of the pre-processing pipeline: (left) Original retinal fundus image, (right) Image after FOV cropping, CLAHE enhancement, and augmentation.</w:t>
      </w:r>
    </w:p>
    <w:bookmarkEnd w:id="27"/>
    <w:p>
      <w:pPr>
        <w:spacing w:line="240" w:lineRule="auto" w:after="40"/>
        <w:jc w:val="left"/>
      </w:pPr>
      <w:r>
        <w:rPr>
          <w:rFonts w:ascii="Times New Roman" w:hAnsi="Times New Roman" w:cs="Times New Roman"/>
          <w:b/>
          <w:sz w:val="20"/>
        </w:rPr>
        <w:t>Algorithm 1: Retinal Image Pre-processing Pipeline</w:t>
      </w:r>
    </w:p>
    <w:p>
      <w:pPr>
        <w:spacing w:line="240" w:lineRule="auto" w:before="20" w:after="20"/>
        <w:ind w:left="432"/>
      </w:pPr>
      <w:r>
        <w:rPr>
          <w:rFonts w:ascii="Times New Roman" w:hAnsi="Times New Roman" w:cs="Times New Roman"/>
          <w:b/>
          <w:sz w:val="20"/>
        </w:rPr>
        <w:t>Require: Raw retinal fundus image $I$</w:t>
      </w:r>
    </w:p>
    <w:p>
      <w:pPr>
        <w:spacing w:line="240" w:lineRule="auto" w:before="20" w:after="20"/>
        <w:ind w:left="432"/>
      </w:pPr>
      <w:r>
        <w:rPr>
          <w:rFonts w:ascii="Times New Roman" w:hAnsi="Times New Roman" w:cs="Times New Roman"/>
          <w:b/>
          <w:sz w:val="20"/>
        </w:rPr>
        <w:t>Ensure: Pre-processed image $I'$</w:t>
      </w:r>
    </w:p>
    <w:p>
      <w:pPr>
        <w:spacing w:line="240" w:lineRule="auto" w:before="20" w:after="20"/>
        <w:ind w:left="432"/>
      </w:pPr>
      <w:r>
        <w:rPr>
          <w:rFonts w:ascii="Times New Roman" w:hAnsi="Times New Roman" w:cs="Times New Roman"/>
          <w:b w:val="0"/>
          <w:sz w:val="20"/>
        </w:rPr>
        <w:t xml:space="preserve">  1: Load raw image in BGR format</w:t>
      </w:r>
    </w:p>
    <w:p>
      <w:pPr>
        <w:spacing w:line="240" w:lineRule="auto" w:before="20" w:after="20"/>
        <w:ind w:left="432"/>
      </w:pPr>
      <w:r>
        <w:rPr>
          <w:rFonts w:ascii="Times New Roman" w:hAnsi="Times New Roman" w:cs="Times New Roman"/>
          <w:b w:val="0"/>
          <w:sz w:val="20"/>
        </w:rPr>
        <w:t xml:space="preserve">  2: Convert BGR to RGB</w:t>
      </w:r>
    </w:p>
    <w:p>
      <w:pPr>
        <w:spacing w:line="240" w:lineRule="auto" w:before="20" w:after="20"/>
        <w:ind w:left="432"/>
      </w:pPr>
      <w:r>
        <w:rPr>
          <w:rFonts w:ascii="Times New Roman" w:hAnsi="Times New Roman" w:cs="Times New Roman"/>
          <w:b w:val="0"/>
          <w:sz w:val="20"/>
        </w:rPr>
        <w:t xml:space="preserve">  3: Detect circular fundus boundary</w:t>
      </w:r>
    </w:p>
    <w:p>
      <w:pPr>
        <w:spacing w:line="240" w:lineRule="auto" w:before="20" w:after="20"/>
        <w:ind w:left="432"/>
      </w:pPr>
      <w:r>
        <w:rPr>
          <w:rFonts w:ascii="Times New Roman" w:hAnsi="Times New Roman" w:cs="Times New Roman"/>
          <w:b w:val="0"/>
          <w:sz w:val="20"/>
        </w:rPr>
        <w:t xml:space="preserve">  4: Crop to field-of-view</w:t>
      </w:r>
    </w:p>
    <w:p>
      <w:pPr>
        <w:spacing w:line="240" w:lineRule="auto" w:before="20" w:after="20"/>
        <w:ind w:left="432"/>
      </w:pPr>
      <w:r>
        <w:rPr>
          <w:rFonts w:ascii="Times New Roman" w:hAnsi="Times New Roman" w:cs="Times New Roman"/>
          <w:b w:val="0"/>
          <w:sz w:val="20"/>
        </w:rPr>
        <w:t xml:space="preserve">  5: Convert RGB to LAB color space</w:t>
      </w:r>
    </w:p>
    <w:p>
      <w:pPr>
        <w:spacing w:line="240" w:lineRule="auto" w:before="20" w:after="20"/>
        <w:ind w:left="432"/>
      </w:pPr>
      <w:r>
        <w:rPr>
          <w:rFonts w:ascii="Times New Roman" w:hAnsi="Times New Roman" w:cs="Times New Roman"/>
          <w:b w:val="0"/>
          <w:sz w:val="20"/>
        </w:rPr>
        <w:t xml:space="preserve">  6: Apply CLAHE to L-channel (clipLimit=2.0, 8$\times$8 tiles)</w:t>
      </w:r>
    </w:p>
    <w:p>
      <w:pPr>
        <w:spacing w:line="240" w:lineRule="auto" w:before="20" w:after="20"/>
        <w:ind w:left="432"/>
      </w:pPr>
      <w:r>
        <w:rPr>
          <w:rFonts w:ascii="Times New Roman" w:hAnsi="Times New Roman" w:cs="Times New Roman"/>
          <w:b w:val="0"/>
          <w:sz w:val="20"/>
        </w:rPr>
        <w:t xml:space="preserve">  7: Convert LAB back to RGB</w:t>
      </w:r>
    </w:p>
    <w:p>
      <w:pPr>
        <w:spacing w:line="240" w:lineRule="auto" w:before="20" w:after="20"/>
        <w:ind w:left="432"/>
      </w:pPr>
      <w:r>
        <w:rPr>
          <w:rFonts w:ascii="Times New Roman" w:hAnsi="Times New Roman" w:cs="Times New Roman"/>
          <w:b w:val="0"/>
          <w:sz w:val="20"/>
        </w:rPr>
        <w:t xml:space="preserve">  8: Resize to 224$\times$224</w:t>
      </w:r>
    </w:p>
    <w:p>
      <w:pPr>
        <w:spacing w:line="240" w:lineRule="auto" w:before="20" w:after="20"/>
        <w:ind w:left="432"/>
      </w:pPr>
      <w:r>
        <w:rPr>
          <w:rFonts w:ascii="Times New Roman" w:hAnsi="Times New Roman" w:cs="Times New Roman"/>
          <w:b w:val="0"/>
          <w:sz w:val="20"/>
        </w:rPr>
        <w:t xml:space="preserve">  9: Apply data augmentation (RandomHorizontalFlip, RandomRotation$\pm15^\circ$, ColorJitter)</w:t>
      </w:r>
    </w:p>
    <w:p>
      <w:pPr>
        <w:spacing w:line="240" w:lineRule="auto" w:before="20" w:after="20"/>
        <w:ind w:left="432"/>
      </w:pPr>
      <w:r>
        <w:rPr>
          <w:rFonts w:ascii="Times New Roman" w:hAnsi="Times New Roman" w:cs="Times New Roman"/>
          <w:b w:val="0"/>
          <w:sz w:val="20"/>
        </w:rPr>
        <w:t xml:space="preserve">  10: Return pre-processed image $I'$</w:t>
      </w:r>
    </w:p>
    <w:bookmarkEnd w:id="28"/>
    <w:bookmarkStart w:id="29" w:name="model-architecture-the-swin-transformer"/>
    <w:p>
      <w:pPr>
        <w:pStyle w:val="Heading2"/>
        <w:spacing w:lineRule="auto" w:line="288" w:before="0" w:after="80"/>
        <w:jc w:val="left"/>
      </w:pPr>
      <w:r>
        <w:rPr>
          <w:rFonts w:ascii="Times New Roman" w:hAnsi="Times New Roman" w:cs="Times New Roman"/>
          <w:sz w:val="26"/>
        </w:rPr>
        <w:t xml:space="preserve">Model Architecture: The Swin Transformer</w:t>
      </w:r>
    </w:p>
    <w:p>
      <w:pPr>
        <w:pStyle w:val="FirstParagraph"/>
        <w:spacing w:lineRule="auto" w:line="360" w:before="0" w:after="80"/>
      </w:pPr>
      <w:r>
        <w:rPr>
          <w:rFonts w:ascii="Times New Roman" w:hAnsi="Times New Roman" w:cs="Times New Roman"/>
          <w:sz w:val="24"/>
        </w:rPr>
        <w:t xml:space="preserve">The Swin Transformer (Swin-Tiny variant) was selected for its hierarchical architecture and shifted window attention mechanism </w:t>
      </w:r>
      <w:r>
        <w:rPr>
          <w:rFonts w:ascii="Times New Roman" w:hAnsi="Times New Roman" w:cs="Times New Roman"/>
          <w:sz w:val="24"/>
          <w:vertAlign w:val="superscript"/>
        </w:rPr>
        <w:t xml:space="preserve">5</w:t>
      </w:r>
      <w:r>
        <w:rPr>
          <w:rFonts w:ascii="Times New Roman" w:hAnsi="Times New Roman" w:cs="Times New Roman"/>
          <w:sz w:val="24"/>
        </w:rPr>
        <w:t xml:space="preserve">. The specific Swin-Tiny variant was used, with approximately 21M parameters. The model was pre-trained on ImageNet and the final linear classification head was replaced to produce five outputs corresponding to the internationally recognised DR severity grades. The training hyperparameters were: batch size = 32, initial learning rate = 1e-5 with cosine decay, weight decay = 1e-2, warmup epochs = 5, and total training epochs = 30.</w:t>
      </w:r>
    </w:p>
    <w:bookmarkEnd w:id="29"/>
    <w:bookmarkStart w:id="30" w:name="training-strategy-and-loss-functions"/>
    <w:p>
      <w:pPr>
        <w:pStyle w:val="Heading2"/>
        <w:spacing w:lineRule="auto" w:line="288" w:before="0" w:after="80"/>
        <w:jc w:val="left"/>
      </w:pPr>
      <w:r>
        <w:rPr>
          <w:rFonts w:ascii="Times New Roman" w:hAnsi="Times New Roman" w:cs="Times New Roman"/>
          <w:sz w:val="26"/>
        </w:rPr>
        <w:t xml:space="preserve">Training Strategy and Loss Functions</w:t>
      </w:r>
    </w:p>
    <w:p>
      <w:pPr>
        <w:pStyle w:val="FirstParagraph"/>
        <w:spacing w:lineRule="auto" w:line="360" w:before="0" w:after="80"/>
      </w:pPr>
      <w:r>
        <w:rPr>
          <w:rFonts w:ascii="Times New Roman" w:hAnsi="Times New Roman" w:cs="Times New Roman"/>
          <w:sz w:val="24"/>
        </w:rPr>
        <w:t xml:space="preserve">The training objective used Focal Loss to address class imbalance by dynamically down-weighting the loss contribution of easy examples:</w:t>
      </w:r>
    </w:p>
    <w:p>
      <w:pPr>
        <w:pStyle w:val="BodyText"/>
      </w:pPr>
      <m:oMathPara>
        <m:oMathParaPr>
          <m:jc m:val="center"/>
        </m:oMathParaPr>
        <m:oMath>
          <m:r>
            <m:t>F</m:t>
          </m:r>
          <m:r>
            <m:t>L</m:t>
          </m:r>
          <m:r>
            <m:rPr>
              <m:sty m:val="p"/>
            </m:rPr>
            <m:t>(</m:t>
          </m:r>
          <m:sSub>
            <m:e>
              <m:r>
                <m:t>p</m:t>
              </m:r>
            </m:e>
            <m:sub>
              <m:r>
                <m:t>t</m:t>
              </m:r>
            </m:sub>
          </m:sSub>
          <m:r>
            <m:rPr>
              <m:sty m:val="p"/>
            </m:rPr>
            <m:t>)</m:t>
          </m:r>
          <m:r>
            <m:rPr>
              <m:sty m:val="p"/>
            </m:rPr>
            <m:t>=</m:t>
          </m:r>
          <m:r>
            <m:rPr>
              <m:sty m:val="p"/>
            </m:rPr>
            <m:t>−</m:t>
          </m:r>
          <m:r>
            <m:rPr>
              <m:sty m:val="p"/>
            </m:rPr>
            <m:t>(</m:t>
          </m:r>
          <m:r>
            <m:t>1</m:t>
          </m:r>
          <m:r>
            <m:rPr>
              <m:sty m:val="p"/>
            </m:rPr>
            <m:t>−</m:t>
          </m:r>
          <m:sSub>
            <m:e>
              <m:r>
                <m:t>p</m:t>
              </m:r>
            </m:e>
            <m:sub>
              <m:r>
                <m:t>t</m:t>
              </m:r>
            </m:sub>
          </m:sSub>
          <m:sSup>
            <m:e>
              <m:r>
                <m:rPr>
                  <m:sty m:val="p"/>
                </m:rPr>
                <m:t>)</m:t>
              </m:r>
            </m:e>
            <m:sup>
              <m:r>
                <m:t>γ</m:t>
              </m:r>
            </m:sup>
          </m:sSup>
          <m:r>
            <m:rPr>
              <m:sty m:val="p"/>
            </m:rPr>
            <m:t>log</m:t>
          </m:r>
          <m:r>
            <m:rPr>
              <m:sty m:val="p"/>
            </m:rPr>
            <m:t>(</m:t>
          </m:r>
          <m:sSub>
            <m:e>
              <m:r>
                <m:t>p</m:t>
              </m:r>
            </m:e>
            <m:sub>
              <m:r>
                <m:t>t</m:t>
              </m:r>
            </m:sub>
          </m:sSub>
          <m:r>
            <m:rPr>
              <m:sty m:val="p"/>
            </m:rPr>
            <m:t>)</m:t>
          </m:r>
        </m:oMath>
      </m:oMathPara>
    </w:p>
    <w:p>
      <w:pPr>
        <w:pStyle w:val="FirstParagraph"/>
        <w:spacing w:lineRule="auto" w:line="360" w:before="0" w:after="80"/>
      </w:pPr>
      <w:r>
        <w:rPr>
          <w:rFonts w:ascii="Times New Roman" w:hAnsi="Times New Roman" w:cs="Times New Roman"/>
          <w:sz w:val="24"/>
        </w:rPr>
        <w:t xml:space="preserve">where</w:t>
      </w:r>
      <w:r>
        <w:rPr>
          <w:rFonts w:ascii="Times New Roman" w:hAnsi="Times New Roman" w:cs="Times New Roman"/>
          <w:sz w:val="24"/>
        </w:rPr>
        <w:t xml:space="preserve"> </w:t>
      </w:r>
      <m:oMath>
        <m:sSub>
          <m:e>
            <m:r>
              <m:t>p</m:t>
            </m:r>
          </m:e>
          <m:sub>
            <m:r>
              <m:t>t</m:t>
            </m:r>
          </m:sub>
        </m:sSub>
      </m:oMath>
      <w:r>
        <w:rPr>
          <w:rFonts w:ascii="Times New Roman" w:hAnsi="Times New Roman" w:cs="Times New Roman"/>
          <w:sz w:val="24"/>
        </w:rPr>
        <w:t xml:space="preserve"> </w:t>
      </w:r>
      <w:r>
        <w:rPr>
          <w:rFonts w:ascii="Times New Roman" w:hAnsi="Times New Roman" w:cs="Times New Roman"/>
          <w:sz w:val="24"/>
        </w:rPr>
        <w:t xml:space="preserve">is the model probability for the true class and</w:t>
      </w:r>
      <w:r>
        <w:rPr>
          <w:rFonts w:ascii="Times New Roman" w:hAnsi="Times New Roman" w:cs="Times New Roman"/>
          <w:sz w:val="24"/>
        </w:rPr>
        <w:t xml:space="preserve"> </w:t>
      </w:r>
      <m:oMath>
        <m:r>
          <m:t>γ</m:t>
        </m:r>
      </m:oMath>
      <w:r>
        <w:rPr>
          <w:rFonts w:ascii="Times New Roman" w:hAnsi="Times New Roman" w:cs="Times New Roman"/>
          <w:sz w:val="24"/>
        </w:rPr>
        <w:t xml:space="preserve"> </w:t>
      </w:r>
      <w:r>
        <w:rPr>
          <w:rFonts w:ascii="Times New Roman" w:hAnsi="Times New Roman" w:cs="Times New Roman"/>
          <w:sz w:val="24"/>
        </w:rPr>
        <w:t xml:space="preserve">is the focusing parameter set to 2.0 </w:t>
      </w:r>
      <w:r>
        <w:rPr>
          <w:rFonts w:ascii="Times New Roman" w:hAnsi="Times New Roman" w:cs="Times New Roman"/>
          <w:sz w:val="24"/>
          <w:vertAlign w:val="superscript"/>
        </w:rPr>
        <w:t xml:space="preserve">22</w:t>
      </w:r>
      <w:r>
        <w:rPr>
          <w:rFonts w:ascii="Times New Roman" w:hAnsi="Times New Roman" w:cs="Times New Roman"/>
          <w:sz w:val="24"/>
        </w:rPr>
        <w:t xml:space="preserve">.</w:t>
      </w:r>
    </w:p>
    <w:p>
      <w:pPr>
        <w:pStyle w:val="BodyText"/>
        <w:spacing w:lineRule="auto" w:line="360" w:before="0" w:after="80"/>
      </w:pPr>
      <w:r>
        <w:rPr>
          <w:rFonts w:ascii="Times New Roman" w:hAnsi="Times New Roman" w:cs="Times New Roman"/>
          <w:sz w:val="24"/>
        </w:rPr>
        <w:t xml:space="preserve">Weight updates were governed by the AdamW optimiser, which decouples weight decay from the gradient update </w:t>
      </w:r>
      <w:r>
        <w:rPr>
          <w:rFonts w:ascii="Times New Roman" w:hAnsi="Times New Roman" w:cs="Times New Roman"/>
          <w:sz w:val="24"/>
          <w:vertAlign w:val="superscript"/>
        </w:rPr>
        <w:t xml:space="preserve">23</w:t>
      </w:r>
      <w:r>
        <w:rPr>
          <w:rFonts w:ascii="Times New Roman" w:hAnsi="Times New Roman" w:cs="Times New Roman"/>
          <w:sz w:val="24"/>
        </w:rPr>
        <w:t xml:space="preserve">:</w:t>
      </w:r>
    </w:p>
    <w:p>
      <w:pPr>
        <w:pStyle w:val="BodyText"/>
      </w:pPr>
      <m:oMathPara>
        <m:oMathParaPr>
          <m:jc m:val="center"/>
        </m:oMathParaPr>
        <m:oMath>
          <m:sSub>
            <m:e>
              <m:r>
                <m:t>θ</m:t>
              </m:r>
            </m:e>
            <m:sub>
              <m:r>
                <m:t>t</m:t>
              </m:r>
              <m:r>
                <m:rPr>
                  <m:sty m:val="p"/>
                </m:rPr>
                <m:t>+</m:t>
              </m:r>
              <m:r>
                <m:t>1</m:t>
              </m:r>
            </m:sub>
          </m:sSub>
          <m:r>
            <m:rPr>
              <m:sty m:val="p"/>
            </m:rPr>
            <m:t>=</m:t>
          </m:r>
          <m:sSub>
            <m:e>
              <m:r>
                <m:t>θ</m:t>
              </m:r>
            </m:e>
            <m:sub>
              <m:r>
                <m:t>t</m:t>
              </m:r>
            </m:sub>
          </m:sSub>
          <m:r>
            <m:rPr>
              <m:sty m:val="p"/>
            </m:rPr>
            <m:t>−</m:t>
          </m:r>
          <m:r>
            <m:t>η</m:t>
          </m:r>
          <m:r>
            <m:rPr>
              <m:sty m:val="p"/>
            </m:rPr>
            <m:t>⋅</m:t>
          </m:r>
          <m:f>
            <m:fPr>
              <m:type m:val="bar"/>
            </m:fPr>
            <m:num>
              <m:sSub>
                <m:e>
                  <m:acc>
                    <m:accPr>
                      <m:chr m:val="̂"/>
                    </m:accPr>
                    <m:e>
                      <m:r>
                        <m:t>m</m:t>
                      </m:r>
                    </m:e>
                  </m:acc>
                </m:e>
                <m:sub>
                  <m:r>
                    <m:t>t</m:t>
                  </m:r>
                </m:sub>
              </m:sSub>
            </m:num>
            <m:den>
              <m:rad>
                <m:radPr>
                  <m:degHide m:val="on"/>
                </m:radPr>
                <m:deg/>
                <m:e>
                  <m:sSub>
                    <m:e>
                      <m:acc>
                        <m:accPr>
                          <m:chr m:val="̂"/>
                        </m:accPr>
                        <m:e>
                          <m:r>
                            <m:t>v</m:t>
                          </m:r>
                        </m:e>
                      </m:acc>
                    </m:e>
                    <m:sub>
                      <m:r>
                        <m:t>t</m:t>
                      </m:r>
                    </m:sub>
                  </m:sSub>
                </m:e>
              </m:rad>
              <m:r>
                <m:rPr>
                  <m:sty m:val="p"/>
                </m:rPr>
                <m:t>+</m:t>
              </m:r>
              <m:r>
                <m:t>ϵ</m:t>
              </m:r>
            </m:den>
          </m:f>
          <m:r>
            <m:rPr>
              <m:sty m:val="p"/>
            </m:rPr>
            <m:t>−</m:t>
          </m:r>
          <m:r>
            <m:t>η</m:t>
          </m:r>
          <m:r>
            <m:t>λ</m:t>
          </m:r>
          <m:sSub>
            <m:e>
              <m:r>
                <m:t>θ</m:t>
              </m:r>
            </m:e>
            <m:sub>
              <m:r>
                <m:t>t</m:t>
              </m:r>
            </m:sub>
          </m:sSub>
        </m:oMath>
      </m:oMathPara>
    </w:p>
    <w:p>
      <w:pPr>
        <w:pStyle w:val="FirstParagraph"/>
        <w:spacing w:lineRule="auto" w:line="360" w:before="0" w:after="80"/>
      </w:pPr>
      <w:r>
        <w:rPr>
          <w:rFonts w:ascii="Times New Roman" w:hAnsi="Times New Roman" w:cs="Times New Roman"/>
          <w:sz w:val="24"/>
        </w:rPr>
        <w:t xml:space="preserve">where</w:t>
      </w:r>
      <w:r>
        <w:rPr>
          <w:rFonts w:ascii="Times New Roman" w:hAnsi="Times New Roman" w:cs="Times New Roman"/>
          <w:sz w:val="24"/>
        </w:rPr>
        <w:t xml:space="preserve"> </w:t>
      </w:r>
      <m:oMath>
        <m:r>
          <m:t>η</m:t>
        </m:r>
      </m:oMath>
      <w:r>
        <w:rPr>
          <w:rFonts w:ascii="Times New Roman" w:hAnsi="Times New Roman" w:cs="Times New Roman"/>
          <w:sz w:val="24"/>
        </w:rPr>
        <w:t xml:space="preserve"> </w:t>
      </w:r>
      <w:r>
        <w:rPr>
          <w:rFonts w:ascii="Times New Roman" w:hAnsi="Times New Roman" w:cs="Times New Roman"/>
          <w:sz w:val="24"/>
        </w:rPr>
        <w:t xml:space="preserve">is the learning rate (1e-5),</w:t>
      </w:r>
      <w:r>
        <w:rPr>
          <w:rFonts w:ascii="Times New Roman" w:hAnsi="Times New Roman" w:cs="Times New Roman"/>
          <w:sz w:val="24"/>
        </w:rPr>
        <w:t xml:space="preserve"> </w:t>
      </w:r>
      <m:oMath>
        <m:r>
          <m:t>λ</m:t>
        </m:r>
      </m:oMath>
      <w:r>
        <w:rPr>
          <w:rFonts w:ascii="Times New Roman" w:hAnsi="Times New Roman" w:cs="Times New Roman"/>
          <w:sz w:val="24"/>
        </w:rPr>
        <w:t xml:space="preserve"> </w:t>
      </w:r>
      <w:r>
        <w:rPr>
          <w:rFonts w:ascii="Times New Roman" w:hAnsi="Times New Roman" w:cs="Times New Roman"/>
          <w:sz w:val="24"/>
        </w:rPr>
        <w:t xml:space="preserve">is the decoupled weight decay coefficient (1e-2),</w:t>
      </w:r>
      <w:r>
        <w:rPr>
          <w:rFonts w:ascii="Times New Roman" w:hAnsi="Times New Roman" w:cs="Times New Roman"/>
          <w:sz w:val="24"/>
        </w:rPr>
        <w:t xml:space="preserve"> </w:t>
      </w:r>
      <m:oMath>
        <m:sSub>
          <m:e>
            <m:acc>
              <m:accPr>
                <m:chr m:val="̂"/>
              </m:accPr>
              <m:e>
                <m:r>
                  <m:t>m</m:t>
                </m:r>
              </m:e>
            </m:acc>
          </m:e>
          <m:sub>
            <m:r>
              <m:t>t</m:t>
            </m:r>
          </m:sub>
        </m:sSub>
      </m:oMath>
      <w:r>
        <w:rPr>
          <w:rFonts w:ascii="Times New Roman" w:hAnsi="Times New Roman" w:cs="Times New Roman"/>
          <w:sz w:val="24"/>
        </w:rPr>
        <w:t xml:space="preserve"> </w:t>
      </w:r>
      <w:r>
        <w:rPr>
          <w:rFonts w:ascii="Times New Roman" w:hAnsi="Times New Roman" w:cs="Times New Roman"/>
          <w:sz w:val="24"/>
        </w:rPr>
        <w:t xml:space="preserve">is the first moment estimate, and</w:t>
      </w:r>
      <w:r>
        <w:rPr>
          <w:rFonts w:ascii="Times New Roman" w:hAnsi="Times New Roman" w:cs="Times New Roman"/>
          <w:sz w:val="24"/>
        </w:rPr>
        <w:t xml:space="preserve"> </w:t>
      </w:r>
      <m:oMath>
        <m:sSub>
          <m:e>
            <m:acc>
              <m:accPr>
                <m:chr m:val="̂"/>
              </m:accPr>
              <m:e>
                <m:r>
                  <m:t>v</m:t>
                </m:r>
              </m:e>
            </m:acc>
          </m:e>
          <m:sub>
            <m:r>
              <m:t>t</m:t>
            </m:r>
          </m:sub>
        </m:sSub>
      </m:oMath>
      <w:r>
        <w:rPr>
          <w:rFonts w:ascii="Times New Roman" w:hAnsi="Times New Roman" w:cs="Times New Roman"/>
          <w:sz w:val="24"/>
        </w:rPr>
        <w:t xml:space="preserve"> </w:t>
      </w:r>
      <w:r>
        <w:rPr>
          <w:rFonts w:ascii="Times New Roman" w:hAnsi="Times New Roman" w:cs="Times New Roman"/>
          <w:sz w:val="24"/>
        </w:rPr>
        <w:t xml:space="preserve">is the second moment estimate.</w:t>
      </w:r>
    </w:p>
    <w:p>
      <w:pPr>
        <w:pStyle w:val="BodyText"/>
        <w:spacing w:lineRule="auto" w:line="360" w:before="0" w:after="80"/>
      </w:pPr>
      <w:r>
        <w:rPr>
          <w:rFonts w:ascii="Times New Roman" w:hAnsi="Times New Roman" w:cs="Times New Roman"/>
          <w:sz w:val="24"/>
        </w:rPr>
        <w:t xml:space="preserve">Performance was primarily evaluated using the Quadratic Weighted Kappa (QWK):</w:t>
      </w:r>
    </w:p>
    <w:p>
      <w:pPr>
        <w:pStyle w:val="BodyText"/>
      </w:pPr>
      <m:oMathPara>
        <m:oMathParaPr>
          <m:jc m:val="center"/>
        </m:oMathParaPr>
        <m:oMath>
          <m:r>
            <m:t>Q</m:t>
          </m:r>
          <m:r>
            <m:t>W</m:t>
          </m:r>
          <m:r>
            <m:t>K</m:t>
          </m:r>
          <m:r>
            <m:rPr>
              <m:sty m:val="p"/>
            </m:rPr>
            <m:t>=</m:t>
          </m:r>
          <m:r>
            <m:t>1</m:t>
          </m:r>
          <m:r>
            <m:rPr>
              <m:sty m:val="p"/>
            </m:rPr>
            <m:t>−</m:t>
          </m:r>
          <m:f>
            <m:fPr>
              <m:type m:val="bar"/>
            </m:fPr>
            <m:num>
              <m:nary>
                <m:naryPr>
                  <m:chr m:val="∑"/>
                  <m:limLoc m:val="undOvr"/>
                  <m:subHide m:val="off"/>
                  <m:supHide m:val="on"/>
                </m:naryPr>
                <m:sub>
                  <m:r>
                    <m:t>i</m:t>
                  </m:r>
                  <m:r>
                    <m:rPr>
                      <m:sty m:val="p"/>
                    </m:rPr>
                    <m:t>,</m:t>
                  </m:r>
                  <m:r>
                    <m:t>j</m:t>
                  </m:r>
                </m:sub>
                <m:sup>
                  <m:r>
                    <m:t>​</m:t>
                  </m:r>
                </m:sup>
                <m:e>
                  <m:sSub>
                    <m:e>
                      <m:r>
                        <m:t>w</m:t>
                      </m:r>
                    </m:e>
                    <m:sub>
                      <m:r>
                        <m:t>i</m:t>
                      </m:r>
                      <m:r>
                        <m:rPr>
                          <m:sty m:val="p"/>
                        </m:rPr>
                        <m:t>,</m:t>
                      </m:r>
                      <m:r>
                        <m:t>j</m:t>
                      </m:r>
                    </m:sub>
                  </m:sSub>
                </m:e>
              </m:nary>
              <m:r>
                <m:rPr>
                  <m:sty m:val="p"/>
                </m:rPr>
                <m:t>⋅</m:t>
              </m:r>
              <m:sSub>
                <m:e>
                  <m:r>
                    <m:t>O</m:t>
                  </m:r>
                </m:e>
                <m:sub>
                  <m:r>
                    <m:t>i</m:t>
                  </m:r>
                  <m:r>
                    <m:rPr>
                      <m:sty m:val="p"/>
                    </m:rPr>
                    <m:t>,</m:t>
                  </m:r>
                  <m:r>
                    <m:t>j</m:t>
                  </m:r>
                </m:sub>
              </m:sSub>
            </m:num>
            <m:den>
              <m:nary>
                <m:naryPr>
                  <m:chr m:val="∑"/>
                  <m:limLoc m:val="undOvr"/>
                  <m:subHide m:val="off"/>
                  <m:supHide m:val="on"/>
                </m:naryPr>
                <m:sub>
                  <m:r>
                    <m:t>i</m:t>
                  </m:r>
                  <m:r>
                    <m:rPr>
                      <m:sty m:val="p"/>
                    </m:rPr>
                    <m:t>,</m:t>
                  </m:r>
                  <m:r>
                    <m:t>j</m:t>
                  </m:r>
                </m:sub>
                <m:sup>
                  <m:r>
                    <m:t>​</m:t>
                  </m:r>
                </m:sup>
                <m:e>
                  <m:sSub>
                    <m:e>
                      <m:r>
                        <m:t>w</m:t>
                      </m:r>
                    </m:e>
                    <m:sub>
                      <m:r>
                        <m:t>i</m:t>
                      </m:r>
                      <m:r>
                        <m:rPr>
                          <m:sty m:val="p"/>
                        </m:rPr>
                        <m:t>,</m:t>
                      </m:r>
                      <m:r>
                        <m:t>j</m:t>
                      </m:r>
                    </m:sub>
                  </m:sSub>
                </m:e>
              </m:nary>
              <m:r>
                <m:rPr>
                  <m:sty m:val="p"/>
                </m:rPr>
                <m:t>⋅</m:t>
              </m:r>
              <m:sSub>
                <m:e>
                  <m:r>
                    <m:t>E</m:t>
                  </m:r>
                </m:e>
                <m:sub>
                  <m:r>
                    <m:t>i</m:t>
                  </m:r>
                  <m:r>
                    <m:rPr>
                      <m:sty m:val="p"/>
                    </m:rPr>
                    <m:t>,</m:t>
                  </m:r>
                  <m:r>
                    <m:t>j</m:t>
                  </m:r>
                </m:sub>
              </m:sSub>
            </m:den>
          </m:f>
        </m:oMath>
      </m:oMathPara>
    </w:p>
    <w:p>
      <w:pPr>
        <w:pStyle w:val="FirstParagraph"/>
        <w:spacing w:lineRule="auto" w:line="360" w:before="0" w:after="80"/>
      </w:pPr>
      <w:r>
        <w:rPr>
          <w:rFonts w:ascii="Times New Roman" w:hAnsi="Times New Roman" w:cs="Times New Roman"/>
          <w:sz w:val="24"/>
        </w:rPr>
        <w:t xml:space="preserve">where</w:t>
      </w:r>
      <w:r>
        <w:rPr>
          <w:rFonts w:ascii="Times New Roman" w:hAnsi="Times New Roman" w:cs="Times New Roman"/>
          <w:sz w:val="24"/>
        </w:rPr>
        <w:t xml:space="preserve"> </w:t>
      </w:r>
      <m:oMath>
        <m:sSub>
          <m:e>
            <m:r>
              <m:t>w</m:t>
            </m:r>
          </m:e>
          <m:sub>
            <m:r>
              <m:t>i</m:t>
            </m:r>
            <m:r>
              <m:rPr>
                <m:sty m:val="p"/>
              </m:rPr>
              <m:t>,</m:t>
            </m:r>
            <m:r>
              <m:t>j</m:t>
            </m:r>
          </m:sub>
        </m:sSub>
      </m:oMath>
      <w:r>
        <w:rPr>
          <w:rFonts w:ascii="Times New Roman" w:hAnsi="Times New Roman" w:cs="Times New Roman"/>
          <w:sz w:val="24"/>
        </w:rPr>
        <w:t xml:space="preserve"> </w:t>
      </w:r>
      <w:r>
        <w:rPr>
          <w:rFonts w:ascii="Times New Roman" w:hAnsi="Times New Roman" w:cs="Times New Roman"/>
          <w:sz w:val="24"/>
        </w:rPr>
        <w:t xml:space="preserve">represents the quadratic weight matrix,</w:t>
      </w:r>
      <w:r>
        <w:rPr>
          <w:rFonts w:ascii="Times New Roman" w:hAnsi="Times New Roman" w:cs="Times New Roman"/>
          <w:sz w:val="24"/>
        </w:rPr>
        <w:t xml:space="preserve"> </w:t>
      </w:r>
      <m:oMath>
        <m:sSub>
          <m:e>
            <m:r>
              <m:t>O</m:t>
            </m:r>
          </m:e>
          <m:sub>
            <m:r>
              <m:t>i</m:t>
            </m:r>
            <m:r>
              <m:rPr>
                <m:sty m:val="p"/>
              </m:rPr>
              <m:t>,</m:t>
            </m:r>
            <m:r>
              <m:t>j</m:t>
            </m:r>
          </m:sub>
        </m:sSub>
      </m:oMath>
      <w:r>
        <w:rPr>
          <w:rFonts w:ascii="Times New Roman" w:hAnsi="Times New Roman" w:cs="Times New Roman"/>
          <w:sz w:val="24"/>
        </w:rPr>
        <w:t xml:space="preserve"> </w:t>
      </w:r>
      <w:r>
        <w:rPr>
          <w:rFonts w:ascii="Times New Roman" w:hAnsi="Times New Roman" w:cs="Times New Roman"/>
          <w:sz w:val="24"/>
        </w:rPr>
        <w:t xml:space="preserve">is the observed confusion matrix, and</w:t>
      </w:r>
      <w:r>
        <w:rPr>
          <w:rFonts w:ascii="Times New Roman" w:hAnsi="Times New Roman" w:cs="Times New Roman"/>
          <w:sz w:val="24"/>
        </w:rPr>
        <w:t xml:space="preserve"> </w:t>
      </w:r>
      <m:oMath>
        <m:sSub>
          <m:e>
            <m:r>
              <m:t>E</m:t>
            </m:r>
          </m:e>
          <m:sub>
            <m:r>
              <m:t>i</m:t>
            </m:r>
            <m:r>
              <m:rPr>
                <m:sty m:val="p"/>
              </m:rPr>
              <m:t>,</m:t>
            </m:r>
            <m:r>
              <m:t>j</m:t>
            </m:r>
          </m:sub>
        </m:sSub>
      </m:oMath>
      <w:r>
        <w:rPr>
          <w:rFonts w:ascii="Times New Roman" w:hAnsi="Times New Roman" w:cs="Times New Roman"/>
          <w:sz w:val="24"/>
        </w:rPr>
        <w:t xml:space="preserve"> </w:t>
      </w:r>
      <w:r>
        <w:rPr>
          <w:rFonts w:ascii="Times New Roman" w:hAnsi="Times New Roman" w:cs="Times New Roman"/>
          <w:sz w:val="24"/>
        </w:rPr>
        <w:t xml:space="preserve">is the expected matrix </w:t>
      </w:r>
      <w:r>
        <w:rPr>
          <w:rFonts w:ascii="Times New Roman" w:hAnsi="Times New Roman" w:cs="Times New Roman"/>
          <w:sz w:val="24"/>
          <w:vertAlign w:val="superscript"/>
        </w:rPr>
        <w:t xml:space="preserve">24</w:t>
      </w:r>
      <w:r>
        <w:rPr>
          <w:rFonts w:ascii="Times New Roman" w:hAnsi="Times New Roman" w:cs="Times New Roman"/>
          <w:sz w:val="24"/>
        </w:rPr>
        <w:t xml:space="preserve">.</w:t>
      </w:r>
    </w:p>
    <w:bookmarkEnd w:id="30"/>
    <w:bookmarkStart w:id="33" w:name="hyperparameter-configuration"/>
    <w:p>
      <w:pPr>
        <w:pStyle w:val="Heading2"/>
        <w:spacing w:lineRule="auto" w:line="288" w:before="0" w:after="80"/>
        <w:jc w:val="left"/>
      </w:pPr>
      <w:r>
        <w:rPr>
          <w:rFonts w:ascii="Times New Roman" w:hAnsi="Times New Roman" w:cs="Times New Roman"/>
          <w:sz w:val="26"/>
        </w:rPr>
        <w:t xml:space="preserve">Hyperparameter Configuration</w:t>
      </w:r>
    </w:p>
    <w:p>
      <w:pPr>
        <w:pStyle w:val="FirstParagraph"/>
        <w:spacing w:lineRule="auto" w:line="240" w:before="0" w:after="80"/>
      </w:pPr>
      <w:r>
        <w:rPr>
          <w:rFonts w:ascii="Times New Roman" w:hAnsi="Times New Roman" w:cs="Times New Roman"/>
          <w:sz w:val="20"/>
        </w:rPr>
        <w:t xml:space="preserve">Table </w:t>
      </w:r>
      <w:hyperlink w:anchor="tab:hyperparams">
        <w:r>
          <w:rPr>
            <w:rStyle w:val="Hyperlink"/>
          </w:rPr>
          <w:t xml:space="preserve">2</w:t>
        </w:r>
      </w:hyperlink>
      <w:r>
        <w:rPr>
          <w:rFonts w:ascii="Times New Roman" w:hAnsi="Times New Roman" w:cs="Times New Roman"/>
          <w:sz w:val="20"/>
        </w:rPr>
        <w:t xml:space="preserve"> </w:t>
      </w:r>
      <w:r>
        <w:rPr>
          <w:rFonts w:ascii="Times New Roman" w:hAnsi="Times New Roman" w:cs="Times New Roman"/>
          <w:sz w:val="20"/>
        </w:rPr>
        <w:t xml:space="preserve">summarises the complete hyperparameter configuration used in this study, covering the APTOS training phase, the IDRiD fine-tuning phase, and all explanation method parameters.</w:t>
      </w:r>
    </w:p>
    <w:p>
      <w:pPr>
        <w:pStyle w:val="BodyText"/>
      </w:pPr>
      <w:bookmarkStart w:id="31" w:name="tab:hyperparams"/>
      <w:bookmarkEnd w:id="31"/>
    </w:p>
    <w:bookmarkStart w:id="32" w:name="tab:hyperparams"/>
    <w:p>
      <w:pPr>
        <w:pStyle w:val="TableCaption"/>
        <w:spacing w:lineRule="auto" w:line="240" w:before="0" w:after="80"/>
      </w:pPr>
      <w:r>
        <w:rPr>
          <w:rFonts w:ascii="Times New Roman" w:hAnsi="Times New Roman" w:cs="Times New Roman"/>
          <w:sz w:val="20"/>
        </w:rPr>
        <w:t xml:space="preserve">Complete hyperparameter configuration across training and explanation stages.</w:t>
      </w:r>
    </w:p>
    <w:tbl>
      <w:tblPr>
        <w:tblStyle w:val="Table"/>
        <w:tblW w:type="auto" w:w="0"/>
        <w:jc w:val="center"/>
        <w:tblLook w:firstRow="1" w:lastRow="0" w:firstColumn="0" w:lastColumn="0" w:noHBand="0" w:noVBand="0" w:val="0020"/>
        <w:tblCaption w:val="Complete hyperparameter configuration across training and explanation stages."/>
      </w:tblPr>
      <w:tblGrid>
        <w:gridCol w:w="2640"/>
        <w:gridCol w:w="2640"/>
        <w:gridCol w:w="2640"/>
      </w:tblGrid>
      <w:tr>
        <w:trPr>
          <w:tblHeader w:val="on"/>
        </w:trPr>
        <w:tc>
          <w:tcPr/>
          <w:p>
            <w:pPr>
              <w:pStyle w:val="Compact"/>
              <w:spacing w:line="240" w:lineRule="auto" w:before="40" w:after="40"/>
              <w:jc w:val="center"/>
            </w:pPr>
            <w:r>
              <w:rPr>
                <w:rFonts w:ascii="Times New Roman" w:hAnsi="Times New Roman" w:cs="Times New Roman"/>
                <w:sz w:val="18"/>
              </w:rPr>
              <w:t xml:space="preserve">Category</w:t>
            </w:r>
          </w:p>
        </w:tc>
        <w:tc>
          <w:tcPr/>
          <w:p>
            <w:pPr>
              <w:pStyle w:val="Compact"/>
              <w:spacing w:line="240" w:lineRule="auto" w:before="40" w:after="40"/>
              <w:jc w:val="center"/>
            </w:pPr>
            <w:r>
              <w:rPr>
                <w:rFonts w:ascii="Times New Roman" w:hAnsi="Times New Roman" w:cs="Times New Roman"/>
                <w:sz w:val="18"/>
              </w:rPr>
              <w:t xml:space="preserve">Parameter</w:t>
            </w:r>
          </w:p>
        </w:tc>
        <w:tc>
          <w:tcPr/>
          <w:p>
            <w:pPr>
              <w:pStyle w:val="Compact"/>
              <w:spacing w:line="240" w:lineRule="auto" w:before="40" w:after="40"/>
              <w:jc w:val="center"/>
            </w:pPr>
            <w:r>
              <w:rPr>
                <w:rFonts w:ascii="Times New Roman" w:hAnsi="Times New Roman" w:cs="Times New Roman"/>
                <w:sz w:val="18"/>
              </w:rPr>
              <w:t xml:space="preserve">Value</w:t>
            </w:r>
          </w:p>
        </w:tc>
      </w:tr>
      <w:tr>
        <w:tc>
          <w:tcPr/>
          <w:p>
            <w:pPr>
              <w:pStyle w:val="Compact"/>
              <w:spacing w:line="240" w:lineRule="auto" w:before="40" w:after="40"/>
              <w:jc w:val="center"/>
            </w:pPr>
            <w:r>
              <w:rPr>
                <w:rFonts w:ascii="Times New Roman" w:hAnsi="Times New Roman" w:cs="Times New Roman"/>
                <w:sz w:val="18"/>
              </w:rPr>
              <w:t xml:space="preserve">APTOS Training</w:t>
            </w:r>
          </w:p>
        </w:tc>
        <w:tc>
          <w:tcPr/>
          <w:p>
            <w:pPr>
              <w:pStyle w:val="Compact"/>
              <w:spacing w:line="240" w:lineRule="auto" w:before="40" w:after="40"/>
              <w:jc w:val="center"/>
            </w:pPr>
            <w:r>
              <w:rPr>
                <w:rFonts w:ascii="Times New Roman" w:hAnsi="Times New Roman" w:cs="Times New Roman"/>
                <w:sz w:val="18"/>
              </w:rPr>
              <w:t xml:space="preserve">Input resolution</w:t>
            </w:r>
          </w:p>
        </w:tc>
        <w:tc>
          <w:tcPr/>
          <w:p>
            <w:pPr>
              <w:pStyle w:val="Compact"/>
              <w:spacing w:line="240" w:lineRule="auto" w:before="40" w:after="40"/>
              <w:jc w:val="center"/>
            </w:pPr>
            <w:r>
              <w:rPr>
                <w:rFonts w:ascii="Times New Roman" w:hAnsi="Times New Roman" w:cs="Times New Roman"/>
                <w:sz w:val="18"/>
              </w:rPr>
              <w:t xml:space="preserve">224</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224</w:t>
            </w:r>
          </w:p>
        </w:tc>
      </w:tr>
      <w:tr>
        <w:tc>
          <w:tcPr/>
          <w:p>
            <w:pPr>
              <w:pStyle w:val="Compact"/>
              <w:spacing w:line="240" w:lineRule="auto" w:before="40" w:after="40"/>
              <w:jc w:val="center"/>
            </w:pPr>
          </w:p>
        </w:tc>
        <w:tc>
          <w:tcPr/>
          <w:p>
            <w:pPr>
              <w:pStyle w:val="Compact"/>
              <w:spacing w:line="240" w:lineRule="auto" w:before="40" w:after="40"/>
              <w:jc w:val="center"/>
            </w:pPr>
            <w:r>
              <w:rPr>
                <w:rFonts w:ascii="Times New Roman" w:hAnsi="Times New Roman" w:cs="Times New Roman"/>
                <w:sz w:val="18"/>
              </w:rPr>
              <w:t xml:space="preserve">Batch size</w:t>
            </w:r>
          </w:p>
        </w:tc>
        <w:tc>
          <w:tcPr/>
          <w:p>
            <w:pPr>
              <w:pStyle w:val="Compact"/>
              <w:spacing w:line="240" w:lineRule="auto" w:before="40" w:after="40"/>
              <w:jc w:val="center"/>
            </w:pPr>
            <w:r>
              <w:rPr>
                <w:rFonts w:ascii="Times New Roman" w:hAnsi="Times New Roman" w:cs="Times New Roman"/>
                <w:sz w:val="18"/>
              </w:rPr>
              <w:t xml:space="preserve">32</w:t>
            </w:r>
          </w:p>
        </w:tc>
      </w:tr>
      <w:tr>
        <w:tc>
          <w:tcPr/>
          <w:p>
            <w:pPr>
              <w:pStyle w:val="Compact"/>
              <w:spacing w:line="240" w:lineRule="auto" w:before="40" w:after="40"/>
              <w:jc w:val="center"/>
            </w:pPr>
          </w:p>
        </w:tc>
        <w:tc>
          <w:tcPr/>
          <w:p>
            <w:pPr>
              <w:pStyle w:val="Compact"/>
              <w:spacing w:line="240" w:lineRule="auto" w:before="40" w:after="40"/>
              <w:jc w:val="center"/>
            </w:pPr>
            <w:r>
              <w:rPr>
                <w:rFonts w:ascii="Times New Roman" w:hAnsi="Times New Roman" w:cs="Times New Roman"/>
                <w:sz w:val="18"/>
              </w:rPr>
              <w:t xml:space="preserve">Optimiser</w:t>
            </w:r>
          </w:p>
        </w:tc>
        <w:tc>
          <w:tcPr/>
          <w:p>
            <w:pPr>
              <w:pStyle w:val="Compact"/>
              <w:spacing w:line="240" w:lineRule="auto" w:before="40" w:after="40"/>
              <w:jc w:val="center"/>
            </w:pPr>
            <w:r>
              <w:rPr>
                <w:rFonts w:ascii="Times New Roman" w:hAnsi="Times New Roman" w:cs="Times New Roman"/>
                <w:sz w:val="18"/>
              </w:rPr>
              <w:t xml:space="preserve">AdamW</w:t>
            </w:r>
          </w:p>
        </w:tc>
      </w:tr>
      <w:tr>
        <w:tc>
          <w:tcPr/>
          <w:p>
            <w:pPr>
              <w:pStyle w:val="Compact"/>
              <w:spacing w:line="240" w:lineRule="auto" w:before="40" w:after="40"/>
              <w:jc w:val="center"/>
            </w:pPr>
          </w:p>
        </w:tc>
        <w:tc>
          <w:tcPr/>
          <w:p>
            <w:pPr>
              <w:pStyle w:val="Compact"/>
              <w:spacing w:line="240" w:lineRule="auto" w:before="40" w:after="40"/>
              <w:jc w:val="center"/>
            </w:pPr>
            <w:r>
              <w:rPr>
                <w:rFonts w:ascii="Times New Roman" w:hAnsi="Times New Roman" w:cs="Times New Roman"/>
                <w:sz w:val="18"/>
              </w:rPr>
              <w:t xml:space="preserve">Initial learning rate</w:t>
            </w:r>
          </w:p>
        </w:tc>
        <w:tc>
          <w:tcPr/>
          <w:p>
            <w:pPr>
              <w:pStyle w:val="Compact"/>
              <w:spacing w:line="240" w:lineRule="auto" w:before="40" w:after="40"/>
              <w:jc w:val="center"/>
            </w:pPr>
            <w:r>
              <w:rPr>
                <w:rFonts w:ascii="Times New Roman" w:hAnsi="Times New Roman" w:cs="Times New Roman"/>
                <w:sz w:val="18"/>
              </w:rPr>
              <w:t xml:space="preserve">1</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10</w:t>
            </w:r>
            <m:oMath>
              <m:sSup>
                <m:e>
                  <m:r>
                    <m:t>​</m:t>
                  </m:r>
                </m:e>
                <m:sup>
                  <m:r>
                    <m:rPr>
                      <m:sty m:val="p"/>
                    </m:rPr>
                    <m:t>−</m:t>
                  </m:r>
                  <m:r>
                    <m:t>5</m:t>
                  </m:r>
                </m:sup>
              </m:sSup>
            </m:oMath>
          </w:p>
        </w:tc>
      </w:tr>
      <w:tr>
        <w:tc>
          <w:tcPr/>
          <w:p>
            <w:pPr>
              <w:pStyle w:val="Compact"/>
              <w:spacing w:line="240" w:lineRule="auto" w:before="40" w:after="40"/>
              <w:jc w:val="center"/>
            </w:pPr>
          </w:p>
        </w:tc>
        <w:tc>
          <w:tcPr/>
          <w:p>
            <w:pPr>
              <w:pStyle w:val="Compact"/>
              <w:spacing w:line="240" w:lineRule="auto" w:before="40" w:after="40"/>
              <w:jc w:val="center"/>
            </w:pPr>
            <w:r>
              <w:rPr>
                <w:rFonts w:ascii="Times New Roman" w:hAnsi="Times New Roman" w:cs="Times New Roman"/>
                <w:sz w:val="18"/>
              </w:rPr>
              <w:t xml:space="preserve">Weight decay (</w:t>
            </w:r>
            <m:oMath>
              <m:r>
                <m:t>λ</m:t>
              </m:r>
            </m:oMath>
            <w:r>
              <w:rPr>
                <w:rFonts w:ascii="Times New Roman" w:hAnsi="Times New Roman" w:cs="Times New Roman"/>
                <w:sz w:val="18"/>
              </w:rPr>
              <w:t xml:space="preserve">)</w:t>
            </w:r>
          </w:p>
        </w:tc>
        <w:tc>
          <w:tcPr/>
          <w:p>
            <w:pPr>
              <w:pStyle w:val="Compact"/>
              <w:spacing w:line="240" w:lineRule="auto" w:before="40" w:after="40"/>
              <w:jc w:val="center"/>
            </w:pPr>
            <w:r>
              <w:rPr>
                <w:rFonts w:ascii="Times New Roman" w:hAnsi="Times New Roman" w:cs="Times New Roman"/>
                <w:sz w:val="18"/>
              </w:rPr>
              <w:t xml:space="preserve">1</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10</w:t>
            </w:r>
            <m:oMath>
              <m:sSup>
                <m:e>
                  <m:r>
                    <m:t>​</m:t>
                  </m:r>
                </m:e>
                <m:sup>
                  <m:r>
                    <m:rPr>
                      <m:sty m:val="p"/>
                    </m:rPr>
                    <m:t>−</m:t>
                  </m:r>
                  <m:r>
                    <m:t>2</m:t>
                  </m:r>
                </m:sup>
              </m:sSup>
            </m:oMath>
          </w:p>
        </w:tc>
      </w:tr>
      <w:tr>
        <w:tc>
          <w:tcPr/>
          <w:p>
            <w:pPr>
              <w:pStyle w:val="Compact"/>
              <w:spacing w:line="240" w:lineRule="auto" w:before="40" w:after="40"/>
              <w:jc w:val="center"/>
            </w:pPr>
          </w:p>
        </w:tc>
        <w:tc>
          <w:tcPr/>
          <w:p>
            <w:pPr>
              <w:pStyle w:val="Compact"/>
              <w:spacing w:line="240" w:lineRule="auto" w:before="40" w:after="40"/>
              <w:jc w:val="center"/>
            </w:pPr>
            <w:r>
              <w:rPr>
                <w:rFonts w:ascii="Times New Roman" w:hAnsi="Times New Roman" w:cs="Times New Roman"/>
                <w:sz w:val="18"/>
              </w:rPr>
              <w:t xml:space="preserve">LR schedule</w:t>
            </w:r>
          </w:p>
        </w:tc>
        <w:tc>
          <w:tcPr/>
          <w:p>
            <w:pPr>
              <w:pStyle w:val="Compact"/>
              <w:spacing w:line="240" w:lineRule="auto" w:before="40" w:after="40"/>
              <w:jc w:val="center"/>
            </w:pPr>
            <w:r>
              <w:rPr>
                <w:rFonts w:ascii="Times New Roman" w:hAnsi="Times New Roman" w:cs="Times New Roman"/>
                <w:sz w:val="18"/>
              </w:rPr>
              <w:t xml:space="preserve">Cosine decay with 5-epoch warmup</w:t>
            </w:r>
          </w:p>
        </w:tc>
      </w:tr>
      <w:tr>
        <w:tc>
          <w:tcPr/>
          <w:p>
            <w:pPr>
              <w:pStyle w:val="Compact"/>
              <w:spacing w:line="240" w:lineRule="auto" w:before="40" w:after="40"/>
              <w:jc w:val="center"/>
            </w:pPr>
          </w:p>
        </w:tc>
        <w:tc>
          <w:tcPr/>
          <w:p>
            <w:pPr>
              <w:pStyle w:val="Compact"/>
              <w:spacing w:line="240" w:lineRule="auto" w:before="40" w:after="40"/>
              <w:jc w:val="center"/>
            </w:pPr>
            <w:r>
              <w:rPr>
                <w:rFonts w:ascii="Times New Roman" w:hAnsi="Times New Roman" w:cs="Times New Roman"/>
                <w:sz w:val="18"/>
              </w:rPr>
              <w:t xml:space="preserve">Training epochs</w:t>
            </w:r>
          </w:p>
        </w:tc>
        <w:tc>
          <w:tcPr/>
          <w:p>
            <w:pPr>
              <w:pStyle w:val="Compact"/>
              <w:spacing w:line="240" w:lineRule="auto" w:before="40" w:after="40"/>
              <w:jc w:val="center"/>
            </w:pPr>
            <w:r>
              <w:rPr>
                <w:rFonts w:ascii="Times New Roman" w:hAnsi="Times New Roman" w:cs="Times New Roman"/>
                <w:sz w:val="18"/>
              </w:rPr>
              <w:t xml:space="preserve">30</w:t>
            </w:r>
          </w:p>
        </w:tc>
      </w:tr>
      <w:tr>
        <w:tc>
          <w:tcPr/>
          <w:p>
            <w:pPr>
              <w:pStyle w:val="Compact"/>
              <w:spacing w:line="240" w:lineRule="auto" w:before="40" w:after="40"/>
              <w:jc w:val="center"/>
            </w:pPr>
            <w:r>
              <w:rPr>
                <w:rFonts w:ascii="Times New Roman" w:hAnsi="Times New Roman" w:cs="Times New Roman"/>
                <w:sz w:val="18"/>
              </w:rPr>
              <w:t xml:space="preserve">Loss</w:t>
            </w:r>
          </w:p>
        </w:tc>
        <w:tc>
          <w:tcPr/>
          <w:p>
            <w:pPr>
              <w:pStyle w:val="Compact"/>
              <w:spacing w:line="240" w:lineRule="auto" w:before="40" w:after="40"/>
              <w:jc w:val="center"/>
            </w:pPr>
            <w:r>
              <w:rPr>
                <w:rFonts w:ascii="Times New Roman" w:hAnsi="Times New Roman" w:cs="Times New Roman"/>
                <w:sz w:val="18"/>
              </w:rPr>
              <w:t xml:space="preserve">Focal Loss</w:t>
            </w:r>
            <w:r>
              <w:rPr>
                <w:rFonts w:ascii="Times New Roman" w:hAnsi="Times New Roman" w:cs="Times New Roman"/>
                <w:sz w:val="18"/>
              </w:rPr>
              <w:t xml:space="preserve"> </w:t>
            </w:r>
            <m:oMath>
              <m:r>
                <m:t>γ</m:t>
              </m:r>
            </m:oMath>
          </w:p>
        </w:tc>
        <w:tc>
          <w:tcPr/>
          <w:p>
            <w:pPr>
              <w:pStyle w:val="Compact"/>
              <w:spacing w:line="240" w:lineRule="auto" w:before="40" w:after="40"/>
              <w:jc w:val="center"/>
            </w:pPr>
            <w:r>
              <w:rPr>
                <w:rFonts w:ascii="Times New Roman" w:hAnsi="Times New Roman" w:cs="Times New Roman"/>
                <w:sz w:val="18"/>
              </w:rPr>
              <w:t xml:space="preserve">2.0</w:t>
            </w:r>
          </w:p>
        </w:tc>
      </w:tr>
      <w:tr>
        <w:tc>
          <w:tcPr/>
          <w:p>
            <w:pPr>
              <w:pStyle w:val="Compact"/>
              <w:spacing w:line="240" w:lineRule="auto" w:before="40" w:after="40"/>
              <w:jc w:val="center"/>
            </w:pPr>
          </w:p>
        </w:tc>
        <w:tc>
          <w:tcPr/>
          <w:p>
            <w:pPr>
              <w:pStyle w:val="Compact"/>
              <w:spacing w:line="240" w:lineRule="auto" w:before="40" w:after="40"/>
              <w:jc w:val="center"/>
            </w:pPr>
            <w:r>
              <w:rPr>
                <w:rFonts w:ascii="Times New Roman" w:hAnsi="Times New Roman" w:cs="Times New Roman"/>
                <w:sz w:val="18"/>
              </w:rPr>
              <w:t xml:space="preserve">Class weighting</w:t>
            </w:r>
          </w:p>
        </w:tc>
        <w:tc>
          <w:tcPr/>
          <w:p>
            <w:pPr>
              <w:pStyle w:val="Compact"/>
              <w:spacing w:line="240" w:lineRule="auto" w:before="40" w:after="40"/>
              <w:jc w:val="center"/>
            </w:pPr>
            <w:r>
              <w:rPr>
                <w:rFonts w:ascii="Times New Roman" w:hAnsi="Times New Roman" w:cs="Times New Roman"/>
                <w:sz w:val="18"/>
              </w:rPr>
              <w:t xml:space="preserve">Inverse frequency</w:t>
            </w:r>
          </w:p>
        </w:tc>
      </w:tr>
      <w:tr>
        <w:tc>
          <w:tcPr/>
          <w:p>
            <w:pPr>
              <w:pStyle w:val="Compact"/>
              <w:spacing w:line="240" w:lineRule="auto" w:before="40" w:after="40"/>
              <w:jc w:val="center"/>
            </w:pPr>
            <w:r>
              <w:rPr>
                <w:rFonts w:ascii="Times New Roman" w:hAnsi="Times New Roman" w:cs="Times New Roman"/>
                <w:sz w:val="18"/>
              </w:rPr>
              <w:t xml:space="preserve">Augmentation</w:t>
            </w:r>
          </w:p>
        </w:tc>
        <w:tc>
          <w:tcPr/>
          <w:p>
            <w:pPr>
              <w:pStyle w:val="Compact"/>
              <w:spacing w:line="240" w:lineRule="auto" w:before="40" w:after="40"/>
              <w:jc w:val="center"/>
            </w:pPr>
            <w:r>
              <w:rPr>
                <w:rFonts w:ascii="Times New Roman" w:hAnsi="Times New Roman" w:cs="Times New Roman"/>
                <w:sz w:val="18"/>
              </w:rPr>
              <w:t xml:space="preserve">RandomHorizontalFlip</w:t>
            </w:r>
          </w:p>
        </w:tc>
        <w:tc>
          <w:tcPr/>
          <w:p>
            <w:pPr>
              <w:pStyle w:val="Compact"/>
              <w:spacing w:line="240" w:lineRule="auto" w:before="40" w:after="40"/>
              <w:jc w:val="center"/>
            </w:pPr>
            <w:r>
              <w:rPr>
                <w:rFonts w:ascii="Times New Roman" w:hAnsi="Times New Roman" w:cs="Times New Roman"/>
                <w:sz w:val="18"/>
              </w:rPr>
              <w:t xml:space="preserve">Probability 0.5</w:t>
            </w:r>
          </w:p>
        </w:tc>
      </w:tr>
      <w:tr>
        <w:tc>
          <w:tcPr/>
          <w:p>
            <w:pPr>
              <w:pStyle w:val="Compact"/>
              <w:spacing w:line="240" w:lineRule="auto" w:before="40" w:after="40"/>
              <w:jc w:val="center"/>
            </w:pPr>
          </w:p>
        </w:tc>
        <w:tc>
          <w:tcPr/>
          <w:p>
            <w:pPr>
              <w:pStyle w:val="Compact"/>
              <w:spacing w:line="240" w:lineRule="auto" w:before="40" w:after="40"/>
              <w:jc w:val="center"/>
            </w:pPr>
            <w:r>
              <w:rPr>
                <w:rFonts w:ascii="Times New Roman" w:hAnsi="Times New Roman" w:cs="Times New Roman"/>
                <w:sz w:val="18"/>
              </w:rPr>
              <w:t xml:space="preserve">RandomRotation</w:t>
            </w:r>
            <m:oMath>
              <m:r>
                <m:rPr>
                  <m:sty m:val="p"/>
                </m:rPr>
                <m:t>±</m:t>
              </m:r>
            </m:oMath>
            <w:r>
              <w:rPr>
                <w:rFonts w:ascii="Times New Roman" w:hAnsi="Times New Roman" w:cs="Times New Roman"/>
                <w:sz w:val="18"/>
              </w:rPr>
              <w:t xml:space="preserve">15</w:t>
            </w:r>
            <m:oMath>
              <m:sSup>
                <m:e>
                  <m:r>
                    <m:t>​</m:t>
                  </m:r>
                </m:e>
                <m:sup>
                  <m:r>
                    <m:rPr>
                      <m:sty m:val="p"/>
                    </m:rPr>
                    <m:t>∘</m:t>
                  </m:r>
                </m:sup>
              </m:sSup>
            </m:oMath>
          </w:p>
        </w:tc>
        <w:tc>
          <w:tcPr/>
          <w:p>
            <w:pPr>
              <w:pStyle w:val="Compact"/>
              <w:spacing w:line="240" w:lineRule="auto" w:before="40" w:after="40"/>
              <w:jc w:val="center"/>
            </w:pPr>
            <w:r>
              <w:rPr>
                <w:rFonts w:ascii="Times New Roman" w:hAnsi="Times New Roman" w:cs="Times New Roman"/>
                <w:sz w:val="18"/>
              </w:rPr>
              <w:t xml:space="preserve">Degree range</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15</w:t>
            </w:r>
          </w:p>
        </w:tc>
      </w:tr>
      <w:tr>
        <w:tc>
          <w:tcPr/>
          <w:p>
            <w:pPr>
              <w:pStyle w:val="Compact"/>
              <w:spacing w:line="240" w:lineRule="auto" w:before="40" w:after="40"/>
              <w:jc w:val="center"/>
            </w:pPr>
            <w:r>
              <w:rPr>
                <w:rFonts w:ascii="Times New Roman" w:hAnsi="Times New Roman" w:cs="Times New Roman"/>
                <w:sz w:val="18"/>
              </w:rPr>
              <w:t xml:space="preserve">IDRiD Fine-tuning</w:t>
            </w:r>
          </w:p>
        </w:tc>
        <w:tc>
          <w:tcPr/>
          <w:p>
            <w:pPr>
              <w:pStyle w:val="Compact"/>
              <w:spacing w:line="240" w:lineRule="auto" w:before="40" w:after="40"/>
              <w:jc w:val="center"/>
            </w:pPr>
            <w:r>
              <w:rPr>
                <w:rFonts w:ascii="Times New Roman" w:hAnsi="Times New Roman" w:cs="Times New Roman"/>
                <w:sz w:val="18"/>
              </w:rPr>
              <w:t xml:space="preserve">Input resolution</w:t>
            </w:r>
          </w:p>
        </w:tc>
        <w:tc>
          <w:tcPr/>
          <w:p>
            <w:pPr>
              <w:pStyle w:val="Compact"/>
              <w:spacing w:line="240" w:lineRule="auto" w:before="40" w:after="40"/>
              <w:jc w:val="center"/>
            </w:pPr>
            <w:r>
              <w:rPr>
                <w:rFonts w:ascii="Times New Roman" w:hAnsi="Times New Roman" w:cs="Times New Roman"/>
                <w:sz w:val="18"/>
              </w:rPr>
              <w:t xml:space="preserve">224</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224</w:t>
            </w:r>
          </w:p>
        </w:tc>
      </w:tr>
      <w:tr>
        <w:tc>
          <w:tcPr/>
          <w:p>
            <w:pPr>
              <w:pStyle w:val="Compact"/>
              <w:spacing w:line="240" w:lineRule="auto" w:before="40" w:after="40"/>
              <w:jc w:val="center"/>
            </w:pPr>
          </w:p>
        </w:tc>
        <w:tc>
          <w:tcPr/>
          <w:p>
            <w:pPr>
              <w:pStyle w:val="Compact"/>
              <w:spacing w:line="240" w:lineRule="auto" w:before="40" w:after="40"/>
              <w:jc w:val="center"/>
            </w:pPr>
            <w:r>
              <w:rPr>
                <w:rFonts w:ascii="Times New Roman" w:hAnsi="Times New Roman" w:cs="Times New Roman"/>
                <w:sz w:val="18"/>
              </w:rPr>
              <w:t xml:space="preserve">Batch size</w:t>
            </w:r>
          </w:p>
        </w:tc>
        <w:tc>
          <w:tcPr/>
          <w:p>
            <w:pPr>
              <w:pStyle w:val="Compact"/>
              <w:spacing w:line="240" w:lineRule="auto" w:before="40" w:after="40"/>
              <w:jc w:val="center"/>
            </w:pPr>
            <w:r>
              <w:rPr>
                <w:rFonts w:ascii="Times New Roman" w:hAnsi="Times New Roman" w:cs="Times New Roman"/>
                <w:sz w:val="18"/>
              </w:rPr>
              <w:t xml:space="preserve">16</w:t>
            </w:r>
          </w:p>
        </w:tc>
      </w:tr>
      <w:tr>
        <w:tc>
          <w:tcPr/>
          <w:p>
            <w:pPr>
              <w:pStyle w:val="Compact"/>
              <w:spacing w:line="240" w:lineRule="auto" w:before="40" w:after="40"/>
              <w:jc w:val="center"/>
            </w:pPr>
          </w:p>
        </w:tc>
        <w:tc>
          <w:tcPr/>
          <w:p>
            <w:pPr>
              <w:pStyle w:val="Compact"/>
              <w:spacing w:line="240" w:lineRule="auto" w:before="40" w:after="40"/>
              <w:jc w:val="center"/>
            </w:pPr>
            <w:r>
              <w:rPr>
                <w:rFonts w:ascii="Times New Roman" w:hAnsi="Times New Roman" w:cs="Times New Roman"/>
                <w:sz w:val="18"/>
              </w:rPr>
              <w:t xml:space="preserve">Optimiser</w:t>
            </w:r>
          </w:p>
        </w:tc>
        <w:tc>
          <w:tcPr/>
          <w:p>
            <w:pPr>
              <w:pStyle w:val="Compact"/>
              <w:spacing w:line="240" w:lineRule="auto" w:before="40" w:after="40"/>
              <w:jc w:val="center"/>
            </w:pPr>
            <w:r>
              <w:rPr>
                <w:rFonts w:ascii="Times New Roman" w:hAnsi="Times New Roman" w:cs="Times New Roman"/>
                <w:sz w:val="18"/>
              </w:rPr>
              <w:t xml:space="preserve">AdamW</w:t>
            </w:r>
          </w:p>
        </w:tc>
      </w:tr>
      <w:tr>
        <w:tc>
          <w:tcPr/>
          <w:p>
            <w:pPr>
              <w:pStyle w:val="Compact"/>
              <w:spacing w:line="240" w:lineRule="auto" w:before="40" w:after="40"/>
              <w:jc w:val="center"/>
            </w:pPr>
          </w:p>
        </w:tc>
        <w:tc>
          <w:tcPr/>
          <w:p>
            <w:pPr>
              <w:pStyle w:val="Compact"/>
              <w:spacing w:line="240" w:lineRule="auto" w:before="40" w:after="40"/>
              <w:jc w:val="center"/>
            </w:pPr>
            <w:r>
              <w:rPr>
                <w:rFonts w:ascii="Times New Roman" w:hAnsi="Times New Roman" w:cs="Times New Roman"/>
                <w:sz w:val="18"/>
              </w:rPr>
              <w:t xml:space="preserve">Learning rate</w:t>
            </w:r>
          </w:p>
        </w:tc>
        <w:tc>
          <w:tcPr/>
          <w:p>
            <w:pPr>
              <w:pStyle w:val="Compact"/>
              <w:spacing w:line="240" w:lineRule="auto" w:before="40" w:after="40"/>
              <w:jc w:val="center"/>
            </w:pPr>
            <w:r>
              <w:rPr>
                <w:rFonts w:ascii="Times New Roman" w:hAnsi="Times New Roman" w:cs="Times New Roman"/>
                <w:sz w:val="18"/>
              </w:rPr>
              <w:t xml:space="preserve">1</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10</w:t>
            </w:r>
            <m:oMath>
              <m:sSup>
                <m:e>
                  <m:r>
                    <m:t>​</m:t>
                  </m:r>
                </m:e>
                <m:sup>
                  <m:r>
                    <m:rPr>
                      <m:sty m:val="p"/>
                    </m:rPr>
                    <m:t>−</m:t>
                  </m:r>
                  <m:r>
                    <m:t>4</m:t>
                  </m:r>
                </m:sup>
              </m:sSup>
            </m:oMath>
          </w:p>
        </w:tc>
      </w:tr>
      <w:tr>
        <w:tc>
          <w:tcPr/>
          <w:p>
            <w:pPr>
              <w:pStyle w:val="Compact"/>
              <w:spacing w:line="240" w:lineRule="auto" w:before="40" w:after="40"/>
              <w:jc w:val="center"/>
            </w:pPr>
          </w:p>
        </w:tc>
        <w:tc>
          <w:tcPr/>
          <w:p>
            <w:pPr>
              <w:pStyle w:val="Compact"/>
              <w:spacing w:line="240" w:lineRule="auto" w:before="40" w:after="40"/>
              <w:jc w:val="center"/>
            </w:pPr>
            <w:r>
              <w:rPr>
                <w:rFonts w:ascii="Times New Roman" w:hAnsi="Times New Roman" w:cs="Times New Roman"/>
                <w:sz w:val="18"/>
              </w:rPr>
              <w:t xml:space="preserve">Weight decay (</w:t>
            </w:r>
            <m:oMath>
              <m:r>
                <m:t>λ</m:t>
              </m:r>
            </m:oMath>
            <w:r>
              <w:rPr>
                <w:rFonts w:ascii="Times New Roman" w:hAnsi="Times New Roman" w:cs="Times New Roman"/>
                <w:sz w:val="18"/>
              </w:rPr>
              <w:t xml:space="preserve">)</w:t>
            </w:r>
          </w:p>
        </w:tc>
        <w:tc>
          <w:tcPr/>
          <w:p>
            <w:pPr>
              <w:pStyle w:val="Compact"/>
              <w:spacing w:line="240" w:lineRule="auto" w:before="40" w:after="40"/>
              <w:jc w:val="center"/>
            </w:pPr>
            <w:r>
              <w:rPr>
                <w:rFonts w:ascii="Times New Roman" w:hAnsi="Times New Roman" w:cs="Times New Roman"/>
                <w:sz w:val="18"/>
              </w:rPr>
              <w:t xml:space="preserve">1</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10</w:t>
            </w:r>
            <m:oMath>
              <m:sSup>
                <m:e>
                  <m:r>
                    <m:t>​</m:t>
                  </m:r>
                </m:e>
                <m:sup>
                  <m:r>
                    <m:rPr>
                      <m:sty m:val="p"/>
                    </m:rPr>
                    <m:t>−</m:t>
                  </m:r>
                  <m:r>
                    <m:t>2</m:t>
                  </m:r>
                </m:sup>
              </m:sSup>
            </m:oMath>
          </w:p>
        </w:tc>
      </w:tr>
      <w:tr>
        <w:tc>
          <w:tcPr/>
          <w:p>
            <w:pPr>
              <w:pStyle w:val="Compact"/>
              <w:spacing w:line="240" w:lineRule="auto" w:before="40" w:after="40"/>
              <w:jc w:val="center"/>
            </w:pPr>
          </w:p>
        </w:tc>
        <w:tc>
          <w:tcPr/>
          <w:p>
            <w:pPr>
              <w:pStyle w:val="Compact"/>
              <w:spacing w:line="240" w:lineRule="auto" w:before="40" w:after="40"/>
              <w:jc w:val="center"/>
            </w:pPr>
            <w:r>
              <w:rPr>
                <w:rFonts w:ascii="Times New Roman" w:hAnsi="Times New Roman" w:cs="Times New Roman"/>
                <w:sz w:val="18"/>
              </w:rPr>
              <w:t xml:space="preserve">Early stopping patience</w:t>
            </w:r>
          </w:p>
        </w:tc>
        <w:tc>
          <w:tcPr/>
          <w:p>
            <w:pPr>
              <w:pStyle w:val="Compact"/>
              <w:spacing w:line="240" w:lineRule="auto" w:before="40" w:after="40"/>
              <w:jc w:val="center"/>
            </w:pPr>
            <w:r>
              <w:rPr>
                <w:rFonts w:ascii="Times New Roman" w:hAnsi="Times New Roman" w:cs="Times New Roman"/>
                <w:sz w:val="18"/>
              </w:rPr>
              <w:t xml:space="preserve">15 epochs</w:t>
            </w:r>
          </w:p>
        </w:tc>
      </w:tr>
      <w:tr>
        <w:tc>
          <w:tcPr/>
          <w:p>
            <w:pPr>
              <w:pStyle w:val="Compact"/>
              <w:spacing w:line="240" w:lineRule="auto" w:before="40" w:after="40"/>
              <w:jc w:val="center"/>
            </w:pPr>
            <w:r>
              <w:rPr>
                <w:rFonts w:ascii="Times New Roman" w:hAnsi="Times New Roman" w:cs="Times New Roman"/>
                <w:sz w:val="18"/>
              </w:rPr>
              <w:t xml:space="preserve">Guided-LIME Explanation</w:t>
            </w:r>
          </w:p>
        </w:tc>
        <w:tc>
          <w:tcPr/>
          <w:p>
            <w:pPr>
              <w:pStyle w:val="Compact"/>
              <w:spacing w:line="240" w:lineRule="auto" w:before="40" w:after="40"/>
              <w:jc w:val="center"/>
            </w:pPr>
            <w:r>
              <w:rPr>
                <w:rFonts w:ascii="Times New Roman" w:hAnsi="Times New Roman" w:cs="Times New Roman"/>
                <w:sz w:val="18"/>
              </w:rPr>
              <w:t xml:space="preserve">Superpixel method</w:t>
            </w:r>
          </w:p>
        </w:tc>
        <w:tc>
          <w:tcPr/>
          <w:p>
            <w:pPr>
              <w:pStyle w:val="Compact"/>
              <w:spacing w:line="240" w:lineRule="auto" w:before="40" w:after="40"/>
              <w:jc w:val="center"/>
            </w:pPr>
            <w:r>
              <w:rPr>
                <w:rFonts w:ascii="Times New Roman" w:hAnsi="Times New Roman" w:cs="Times New Roman"/>
                <w:sz w:val="18"/>
              </w:rPr>
              <w:t xml:space="preserve">SLIC</w:t>
            </w:r>
          </w:p>
        </w:tc>
      </w:tr>
      <w:tr>
        <w:tc>
          <w:tcPr/>
          <w:p>
            <w:pPr>
              <w:pStyle w:val="Compact"/>
              <w:spacing w:line="240" w:lineRule="auto" w:before="40" w:after="40"/>
              <w:jc w:val="center"/>
            </w:pPr>
          </w:p>
        </w:tc>
        <w:tc>
          <w:tcPr/>
          <w:p>
            <w:pPr>
              <w:pStyle w:val="Compact"/>
              <w:spacing w:line="240" w:lineRule="auto" w:before="40" w:after="40"/>
              <w:jc w:val="center"/>
            </w:pPr>
            <w:r>
              <w:rPr>
                <w:rFonts w:ascii="Times New Roman" w:hAnsi="Times New Roman" w:cs="Times New Roman"/>
                <w:sz w:val="18"/>
              </w:rPr>
              <w:t xml:space="preserve">Number of superpixels (</w:t>
            </w:r>
            <m:oMath>
              <m:r>
                <m:t>n</m:t>
              </m:r>
            </m:oMath>
            <w:r>
              <w:rPr>
                <w:rFonts w:ascii="Times New Roman" w:hAnsi="Times New Roman" w:cs="Times New Roman"/>
                <w:sz w:val="18"/>
              </w:rPr>
              <w:t xml:space="preserve">)</w:t>
            </w:r>
          </w:p>
        </w:tc>
        <w:tc>
          <w:tcPr/>
          <w:p>
            <w:pPr>
              <w:pStyle w:val="Compact"/>
              <w:spacing w:line="240" w:lineRule="auto" w:before="40" w:after="40"/>
              <w:jc w:val="center"/>
            </w:pPr>
            <w:r>
              <w:rPr>
                <w:rFonts w:ascii="Times New Roman" w:hAnsi="Times New Roman" w:cs="Times New Roman"/>
                <w:sz w:val="18"/>
              </w:rPr>
              <w:t xml:space="preserve">100</w:t>
            </w:r>
          </w:p>
        </w:tc>
      </w:tr>
      <w:tr>
        <w:tc>
          <w:tcPr/>
          <w:p>
            <w:pPr>
              <w:pStyle w:val="Compact"/>
              <w:spacing w:line="240" w:lineRule="auto" w:before="40" w:after="40"/>
              <w:jc w:val="center"/>
            </w:pPr>
          </w:p>
        </w:tc>
        <w:tc>
          <w:tcPr/>
          <w:p>
            <w:pPr>
              <w:pStyle w:val="Compact"/>
              <w:spacing w:line="240" w:lineRule="auto" w:before="40" w:after="40"/>
              <w:jc w:val="center"/>
            </w:pPr>
            <w:r>
              <w:rPr>
                <w:rFonts w:ascii="Times New Roman" w:hAnsi="Times New Roman" w:cs="Times New Roman"/>
                <w:sz w:val="18"/>
              </w:rPr>
              <w:t xml:space="preserve">Perturbation samples (</w:t>
            </w:r>
            <m:oMath>
              <m:r>
                <m:t>N</m:t>
              </m:r>
            </m:oMath>
            <w:r>
              <w:rPr>
                <w:rFonts w:ascii="Times New Roman" w:hAnsi="Times New Roman" w:cs="Times New Roman"/>
                <w:sz w:val="18"/>
              </w:rPr>
              <w:t xml:space="preserve">)</w:t>
            </w:r>
          </w:p>
        </w:tc>
        <w:tc>
          <w:tcPr/>
          <w:p>
            <w:pPr>
              <w:pStyle w:val="Compact"/>
              <w:spacing w:line="240" w:lineRule="auto" w:before="40" w:after="40"/>
              <w:jc w:val="center"/>
            </w:pPr>
            <w:r>
              <w:rPr>
                <w:rFonts w:ascii="Times New Roman" w:hAnsi="Times New Roman" w:cs="Times New Roman"/>
                <w:sz w:val="18"/>
              </w:rPr>
              <w:t xml:space="preserve">1,000</w:t>
            </w:r>
          </w:p>
        </w:tc>
      </w:tr>
      <w:tr>
        <w:tc>
          <w:tcPr/>
          <w:p>
            <w:pPr>
              <w:pStyle w:val="Compact"/>
              <w:spacing w:line="240" w:lineRule="auto" w:before="40" w:after="40"/>
              <w:jc w:val="center"/>
            </w:pPr>
          </w:p>
        </w:tc>
        <w:tc>
          <w:tcPr/>
          <w:p>
            <w:pPr>
              <w:pStyle w:val="Compact"/>
              <w:spacing w:line="240" w:lineRule="auto" w:before="40" w:after="40"/>
              <w:jc w:val="center"/>
            </w:pPr>
            <w:r>
              <w:rPr>
                <w:rFonts w:ascii="Times New Roman" w:hAnsi="Times New Roman" w:cs="Times New Roman"/>
                <w:sz w:val="18"/>
              </w:rPr>
              <w:t xml:space="preserve">Proximity kernel</w:t>
            </w:r>
          </w:p>
        </w:tc>
        <w:tc>
          <w:tcPr/>
          <w:p>
            <w:pPr>
              <w:pStyle w:val="Compact"/>
              <w:spacing w:line="240" w:lineRule="auto" w:before="40" w:after="40"/>
              <w:jc w:val="center"/>
            </w:pPr>
            <w:r>
              <w:rPr>
                <w:rFonts w:ascii="Times New Roman" w:hAnsi="Times New Roman" w:cs="Times New Roman"/>
                <w:sz w:val="18"/>
              </w:rPr>
              <w:t xml:space="preserve">Exponential (</w:t>
            </w:r>
            <m:oMath>
              <m:r>
                <m:t>σ</m:t>
              </m:r>
            </m:oMath>
            <w:r>
              <w:rPr>
                <w:rFonts w:ascii="Times New Roman" w:hAnsi="Times New Roman" w:cs="Times New Roman"/>
                <w:sz w:val="18"/>
              </w:rPr>
              <w:t xml:space="preserve"> </w:t>
            </w:r>
            <w:r>
              <w:rPr>
                <w:rFonts w:ascii="Times New Roman" w:hAnsi="Times New Roman" w:cs="Times New Roman"/>
                <w:sz w:val="18"/>
              </w:rPr>
              <w:t xml:space="preserve">= 0.25)</w:t>
            </w:r>
          </w:p>
        </w:tc>
      </w:tr>
      <w:tr>
        <w:tc>
          <w:tcPr/>
          <w:p>
            <w:pPr>
              <w:pStyle w:val="Compact"/>
              <w:spacing w:line="240" w:lineRule="auto" w:before="40" w:after="40"/>
              <w:jc w:val="center"/>
            </w:pPr>
          </w:p>
        </w:tc>
        <w:tc>
          <w:tcPr/>
          <w:p>
            <w:pPr>
              <w:pStyle w:val="Compact"/>
              <w:spacing w:line="240" w:lineRule="auto" w:before="40" w:after="40"/>
              <w:jc w:val="center"/>
            </w:pPr>
            <w:r>
              <w:rPr>
                <w:rFonts w:ascii="Times New Roman" w:hAnsi="Times New Roman" w:cs="Times New Roman"/>
                <w:sz w:val="18"/>
              </w:rPr>
              <w:t xml:space="preserve">Surrogate model</w:t>
            </w:r>
          </w:p>
        </w:tc>
        <w:tc>
          <w:tcPr/>
          <w:p>
            <w:pPr>
              <w:pStyle w:val="Compact"/>
              <w:spacing w:line="240" w:lineRule="auto" w:before="40" w:after="40"/>
              <w:jc w:val="center"/>
            </w:pPr>
            <w:r>
              <w:rPr>
                <w:rFonts w:ascii="Times New Roman" w:hAnsi="Times New Roman" w:cs="Times New Roman"/>
                <w:sz w:val="18"/>
              </w:rPr>
              <w:t xml:space="preserve">Ridge regression (L2)</w:t>
            </w:r>
          </w:p>
        </w:tc>
      </w:tr>
      <w:tr>
        <w:tc>
          <w:tcPr/>
          <w:p>
            <w:pPr>
              <w:pStyle w:val="Compact"/>
              <w:spacing w:line="240" w:lineRule="auto" w:before="40" w:after="40"/>
              <w:jc w:val="center"/>
            </w:pPr>
          </w:p>
        </w:tc>
        <w:tc>
          <w:tcPr/>
          <w:p>
            <w:pPr>
              <w:pStyle w:val="Compact"/>
              <w:spacing w:line="240" w:lineRule="auto" w:before="40" w:after="40"/>
              <w:jc w:val="center"/>
            </w:pPr>
            <w:r>
              <w:rPr>
                <w:rFonts w:ascii="Times New Roman" w:hAnsi="Times New Roman" w:cs="Times New Roman"/>
                <w:sz w:val="18"/>
              </w:rPr>
              <w:t xml:space="preserve">L2 regularisation strength</w:t>
            </w:r>
          </w:p>
        </w:tc>
        <w:tc>
          <w:tcPr/>
          <w:p>
            <w:pPr>
              <w:pStyle w:val="Compact"/>
              <w:spacing w:line="240" w:lineRule="auto" w:before="40" w:after="40"/>
              <w:jc w:val="center"/>
            </w:pPr>
            <w:r>
              <w:rPr>
                <w:rFonts w:ascii="Times New Roman" w:hAnsi="Times New Roman" w:cs="Times New Roman"/>
                <w:sz w:val="18"/>
              </w:rPr>
              <w:t xml:space="preserve">1.0</w:t>
            </w:r>
          </w:p>
        </w:tc>
      </w:tr>
      <w:tr>
        <w:tc>
          <w:tcPr/>
          <w:p>
            <w:pPr>
              <w:pStyle w:val="Compact"/>
              <w:spacing w:line="240" w:lineRule="auto" w:before="40" w:after="40"/>
              <w:jc w:val="center"/>
            </w:pPr>
            <w:r>
              <w:rPr>
                <w:rFonts w:ascii="Times New Roman" w:hAnsi="Times New Roman" w:cs="Times New Roman"/>
                <w:sz w:val="18"/>
              </w:rPr>
              <w:t xml:space="preserve">Fidelity</w:t>
            </w:r>
          </w:p>
        </w:tc>
        <w:tc>
          <w:tcPr/>
          <w:p>
            <w:pPr>
              <w:pStyle w:val="Compact"/>
              <w:spacing w:line="240" w:lineRule="auto" w:before="40" w:after="40"/>
              <w:jc w:val="center"/>
            </w:pPr>
            <w:r>
              <w:rPr>
                <w:rFonts w:ascii="Times New Roman" w:hAnsi="Times New Roman" w:cs="Times New Roman"/>
                <w:sz w:val="18"/>
              </w:rPr>
              <w:t xml:space="preserve">Deletion baseline</w:t>
            </w:r>
          </w:p>
        </w:tc>
        <w:tc>
          <w:tcPr/>
          <w:p>
            <w:pPr>
              <w:pStyle w:val="Compact"/>
              <w:spacing w:line="240" w:lineRule="auto" w:before="40" w:after="40"/>
              <w:jc w:val="center"/>
            </w:pPr>
            <w:r>
              <w:rPr>
                <w:rFonts w:ascii="Times New Roman" w:hAnsi="Times New Roman" w:cs="Times New Roman"/>
                <w:sz w:val="18"/>
              </w:rPr>
              <w:t xml:space="preserve">Constant gray (ImageNet mean)</w:t>
            </w:r>
          </w:p>
        </w:tc>
      </w:tr>
      <w:tr>
        <w:tc>
          <w:tcPr/>
          <w:p>
            <w:pPr>
              <w:pStyle w:val="Compact"/>
              <w:spacing w:line="240" w:lineRule="auto" w:before="40" w:after="40"/>
              <w:jc w:val="center"/>
            </w:pPr>
          </w:p>
        </w:tc>
        <w:tc>
          <w:tcPr/>
          <w:p>
            <w:pPr>
              <w:pStyle w:val="Compact"/>
              <w:spacing w:line="240" w:lineRule="auto" w:before="40" w:after="40"/>
              <w:jc w:val="center"/>
            </w:pPr>
            <w:r>
              <w:rPr>
                <w:rFonts w:ascii="Times New Roman" w:hAnsi="Times New Roman" w:cs="Times New Roman"/>
                <w:sz w:val="18"/>
              </w:rPr>
              <w:t xml:space="preserve">Insertion baseline</w:t>
            </w:r>
          </w:p>
        </w:tc>
        <w:tc>
          <w:tcPr/>
          <w:p>
            <w:pPr>
              <w:pStyle w:val="Compact"/>
              <w:spacing w:line="240" w:lineRule="auto" w:before="40" w:after="40"/>
              <w:jc w:val="center"/>
            </w:pPr>
            <w:r>
              <w:rPr>
                <w:rFonts w:ascii="Times New Roman" w:hAnsi="Times New Roman" w:cs="Times New Roman"/>
                <w:sz w:val="18"/>
              </w:rPr>
              <w:t xml:space="preserve">Constant gray (ImageNet mean)</w:t>
            </w:r>
          </w:p>
        </w:tc>
      </w:tr>
    </w:tbl>
    <w:bookmarkEnd w:id="32"/>
    <w:p>
      <w:pPr>
        <w:pStyle w:val="BodyText"/>
        <w:spacing w:lineRule="auto" w:line="360" w:before="0" w:after="80"/>
      </w:pPr>
      <w:r>
        <w:rPr>
          <w:rFonts w:ascii="Times New Roman" w:hAnsi="Times New Roman" w:cs="Times New Roman"/>
          <w:sz w:val="24"/>
        </w:rPr>
        <w:t xml:space="preserve">The Swin-T model was trained on the APTOS training split (n=2,932) for 30 epochs using AdamW with cosine learning rate decay and 5 warmup epochs. Focal Loss (</w:t>
      </w:r>
      <m:oMath>
        <m:r>
          <m:t>γ</m:t>
        </m:r>
        <m:r>
          <m:rPr>
            <m:sty m:val="p"/>
          </m:rPr>
          <m:t>=</m:t>
        </m:r>
        <m:r>
          <m:t>2.0</m:t>
        </m:r>
      </m:oMath>
      <w:r>
        <w:rPr>
          <w:rFonts w:ascii="Times New Roman" w:hAnsi="Times New Roman" w:cs="Times New Roman"/>
          <w:sz w:val="24"/>
        </w:rPr>
        <w:t xml:space="preserve">) with inverse-frequency class weighting was employed to address the class imbalance. For the IDRiD fine-tuning, the APTOS-pretrained backbone was further trained for up to 50 epochs with early stopping (patience=15), using a higher learning rate (1</w:t>
      </w:r>
      <m:oMath>
        <m:r>
          <m:rPr>
            <m:sty m:val="p"/>
          </m:rPr>
          <m:t>×</m:t>
        </m:r>
      </m:oMath>
      <w:r>
        <w:rPr>
          <w:rFonts w:ascii="Times New Roman" w:hAnsi="Times New Roman" w:cs="Times New Roman"/>
          <w:sz w:val="24"/>
        </w:rPr>
        <w:t xml:space="preserve">10</w:t>
      </w:r>
      <m:oMath>
        <m:sSup>
          <m:e>
            <m:r>
              <m:t>​</m:t>
            </m:r>
          </m:e>
          <m:sup>
            <m:r>
              <m:rPr>
                <m:sty m:val="p"/>
              </m:rPr>
              <m:t>−</m:t>
            </m:r>
            <m:r>
              <m:t>4</m:t>
            </m:r>
          </m:sup>
        </m:sSup>
      </m:oMath>
      <w:r>
        <w:rPr>
          <w:rFonts w:ascii="Times New Roman" w:hAnsi="Times New Roman" w:cs="Times New Roman"/>
          <w:sz w:val="24"/>
        </w:rPr>
        <w:t xml:space="preserve">) and smaller batch size (16) to adapt to the smaller dataset (n=318 training images). The LIME explainer uses</w:t>
      </w:r>
      <w:r>
        <w:rPr>
          <w:rFonts w:ascii="Times New Roman" w:hAnsi="Times New Roman" w:cs="Times New Roman"/>
          <w:sz w:val="24"/>
        </w:rPr>
        <w:t xml:space="preserve"> </w:t>
      </w:r>
      <m:oMath>
        <m:r>
          <m:t>n</m:t>
        </m:r>
        <m:r>
          <m:rPr>
            <m:sty m:val="p"/>
          </m:rPr>
          <m:t>=</m:t>
        </m:r>
        <m:r>
          <m:t>100</m:t>
        </m:r>
      </m:oMath>
      <w:r>
        <w:rPr>
          <w:rFonts w:ascii="Times New Roman" w:hAnsi="Times New Roman" w:cs="Times New Roman"/>
          <w:sz w:val="24"/>
        </w:rPr>
        <w:t xml:space="preserve"> </w:t>
      </w:r>
      <w:r>
        <w:rPr>
          <w:rFonts w:ascii="Times New Roman" w:hAnsi="Times New Roman" w:cs="Times New Roman"/>
          <w:sz w:val="24"/>
        </w:rPr>
        <w:t xml:space="preserve">SLIC superpixels and</w:t>
      </w:r>
      <w:r>
        <w:rPr>
          <w:rFonts w:ascii="Times New Roman" w:hAnsi="Times New Roman" w:cs="Times New Roman"/>
          <w:sz w:val="24"/>
        </w:rPr>
        <w:t xml:space="preserve"> </w:t>
      </w:r>
      <m:oMath>
        <m:r>
          <m:t>N</m:t>
        </m:r>
        <m:r>
          <m:rPr>
            <m:sty m:val="p"/>
          </m:rPr>
          <m:t>=</m:t>
        </m:r>
        <m:r>
          <m:t>1</m:t>
        </m:r>
        <m:r>
          <m:rPr>
            <m:sty m:val="p"/>
          </m:rPr>
          <m:t>,</m:t>
        </m:r>
        <m:r>
          <m:t>000</m:t>
        </m:r>
      </m:oMath>
      <w:r>
        <w:rPr>
          <w:rFonts w:ascii="Times New Roman" w:hAnsi="Times New Roman" w:cs="Times New Roman"/>
          <w:sz w:val="24"/>
        </w:rPr>
        <w:t xml:space="preserve"> </w:t>
      </w:r>
      <w:r>
        <w:rPr>
          <w:rFonts w:ascii="Times New Roman" w:hAnsi="Times New Roman" w:cs="Times New Roman"/>
          <w:sz w:val="24"/>
        </w:rPr>
        <w:t xml:space="preserve">perturbation samples with an exponential proximity kernel (</w:t>
      </w:r>
      <m:oMath>
        <m:r>
          <m:t>σ</m:t>
        </m:r>
        <m:r>
          <m:rPr>
            <m:sty m:val="p"/>
          </m:rPr>
          <m:t>=</m:t>
        </m:r>
        <m:r>
          <m:t>0.25</m:t>
        </m:r>
      </m:oMath>
      <w:r>
        <w:rPr>
          <w:rFonts w:ascii="Times New Roman" w:hAnsi="Times New Roman" w:cs="Times New Roman"/>
          <w:sz w:val="24"/>
        </w:rPr>
        <w:t xml:space="preserve">) and Ridge regression surrogate with L2 penalty 1.0.</w:t>
      </w:r>
    </w:p>
    <w:bookmarkEnd w:id="33"/>
    <w:bookmarkStart w:id="34" w:name="proposed-guided-lime-hybrid-explainer"/>
    <w:p>
      <w:pPr>
        <w:pStyle w:val="Heading2"/>
        <w:spacing w:lineRule="auto" w:line="288" w:before="0" w:after="80"/>
        <w:jc w:val="left"/>
      </w:pPr>
      <w:r>
        <w:rPr>
          <w:rFonts w:ascii="Times New Roman" w:hAnsi="Times New Roman" w:cs="Times New Roman"/>
          <w:sz w:val="26"/>
        </w:rPr>
        <w:t xml:space="preserve">Proposed Guided-LIME Hybrid Explainer</w:t>
      </w:r>
    </w:p>
    <w:p>
      <w:pPr>
        <w:pStyle w:val="FirstParagraph"/>
        <w:spacing w:lineRule="auto" w:line="360" w:before="0" w:after="80"/>
      </w:pPr>
      <w:r>
        <w:rPr>
          <w:rFonts w:ascii="Times New Roman" w:hAnsi="Times New Roman" w:cs="Times New Roman"/>
          <w:sz w:val="24"/>
        </w:rPr>
        <w:t xml:space="preserve">Standard LIME explanations can sometimes suffer from stochastic instability and a lack of global context. To address this, we propose Guided-LIME, a hybrid approach that utilizes a global spatial prior to refine local superpixel importance (see Algorithm </w:t>
      </w:r>
      <w:hyperlink w:anchor="alg:guidedlime">
        <w:r>
          <w:rPr>
            <w:rStyle w:val="Hyperlink"/>
          </w:rPr>
          <w:t xml:space="preserve">[alg:guidedlime]</w:t>
        </w:r>
      </w:hyperlink>
      <w:r>
        <w:rPr>
          <w:rFonts w:ascii="Times New Roman" w:hAnsi="Times New Roman" w:cs="Times New Roman"/>
          <w:sz w:val="24"/>
        </w:rPr>
        <w:t xml:space="preserve">). By integrating Grad-CAM activations, the framework ensures that local perturbations are weighted by their global relevance within the retinal fundus image. The standard LIME configuration used in this study employs</w:t>
      </w:r>
      <w:r>
        <w:rPr>
          <w:rFonts w:ascii="Times New Roman" w:hAnsi="Times New Roman" w:cs="Times New Roman"/>
          <w:sz w:val="24"/>
        </w:rPr>
        <w:t xml:space="preserve"> </w:t>
      </w:r>
      <m:oMath>
        <m:r>
          <m:t>n</m:t>
        </m:r>
        <m:r>
          <m:rPr>
            <m:sty m:val="p"/>
          </m:rPr>
          <m:t>=</m:t>
        </m:r>
        <m:r>
          <m:t>100</m:t>
        </m:r>
      </m:oMath>
      <w:r>
        <w:rPr>
          <w:rFonts w:ascii="Times New Roman" w:hAnsi="Times New Roman" w:cs="Times New Roman"/>
          <w:sz w:val="24"/>
        </w:rPr>
        <w:t xml:space="preserve"> </w:t>
      </w:r>
      <w:r>
        <w:rPr>
          <w:rFonts w:ascii="Times New Roman" w:hAnsi="Times New Roman" w:cs="Times New Roman"/>
          <w:sz w:val="24"/>
        </w:rPr>
        <w:t xml:space="preserve">superpixels generated by the SLIC algorithm </w:t>
      </w:r>
      <w:r>
        <w:rPr>
          <w:rFonts w:ascii="Times New Roman" w:hAnsi="Times New Roman" w:cs="Times New Roman"/>
          <w:sz w:val="24"/>
          <w:vertAlign w:val="superscript"/>
        </w:rPr>
        <w:t xml:space="preserve">17</w:t>
      </w:r>
      <w:r>
        <w:rPr>
          <w:rFonts w:ascii="Times New Roman" w:hAnsi="Times New Roman" w:cs="Times New Roman"/>
          <w:sz w:val="24"/>
        </w:rPr>
        <w:t xml:space="preserve"> </w:t>
      </w:r>
      <w:r>
        <w:rPr>
          <w:rFonts w:ascii="Times New Roman" w:hAnsi="Times New Roman" w:cs="Times New Roman"/>
          <w:sz w:val="24"/>
        </w:rPr>
        <w:t xml:space="preserve">and</w:t>
      </w:r>
      <w:r>
        <w:rPr>
          <w:rFonts w:ascii="Times New Roman" w:hAnsi="Times New Roman" w:cs="Times New Roman"/>
          <w:sz w:val="24"/>
        </w:rPr>
        <w:t xml:space="preserve"> </w:t>
      </w:r>
      <m:oMath>
        <m:r>
          <m:t>N</m:t>
        </m:r>
        <m:r>
          <m:rPr>
            <m:sty m:val="p"/>
          </m:rPr>
          <m:t>=</m:t>
        </m:r>
        <m:r>
          <m:t>1</m:t>
        </m:r>
        <m:r>
          <m:rPr>
            <m:sty m:val="p"/>
          </m:rPr>
          <m:t>,</m:t>
        </m:r>
        <m:r>
          <m:t>000</m:t>
        </m:r>
      </m:oMath>
      <w:r>
        <w:rPr>
          <w:rFonts w:ascii="Times New Roman" w:hAnsi="Times New Roman" w:cs="Times New Roman"/>
          <w:sz w:val="24"/>
        </w:rPr>
        <w:t xml:space="preserve"> </w:t>
      </w:r>
      <w:r>
        <w:rPr>
          <w:rFonts w:ascii="Times New Roman" w:hAnsi="Times New Roman" w:cs="Times New Roman"/>
          <w:sz w:val="24"/>
        </w:rPr>
        <w:t xml:space="preserve">perturbation samples </w:t>
      </w:r>
      <w:r>
        <w:rPr>
          <w:rFonts w:ascii="Times New Roman" w:hAnsi="Times New Roman" w:cs="Times New Roman"/>
          <w:sz w:val="24"/>
          <w:vertAlign w:val="superscript"/>
        </w:rPr>
        <w:t xml:space="preserve">15</w:t>
      </w:r>
      <w:r>
        <w:rPr>
          <w:rFonts w:ascii="Times New Roman" w:hAnsi="Times New Roman" w:cs="Times New Roman"/>
          <w:sz w:val="24"/>
        </w:rPr>
        <w:t xml:space="preserve">.</w:t>
      </w:r>
    </w:p>
    <w:p>
      <w:pPr>
        <w:pStyle w:val="BodyText"/>
        <w:spacing w:lineRule="auto" w:line="360" w:before="0" w:after="80"/>
      </w:pPr>
      <w:r>
        <w:rPr>
          <w:rFonts w:ascii="Times New Roman" w:hAnsi="Times New Roman" w:cs="Times New Roman"/>
          <w:sz w:val="24"/>
        </w:rPr>
        <w:t xml:space="preserve">The final hybrid importance score</w:t>
      </w:r>
      <w:r>
        <w:rPr>
          <w:rFonts w:ascii="Times New Roman" w:hAnsi="Times New Roman" w:cs="Times New Roman"/>
          <w:sz w:val="24"/>
        </w:rPr>
        <w:t xml:space="preserve"> </w:t>
      </w:r>
      <m:oMath>
        <m:r>
          <m:t>S</m:t>
        </m:r>
      </m:oMath>
      <w:r>
        <w:rPr>
          <w:rFonts w:ascii="Times New Roman" w:hAnsi="Times New Roman" w:cs="Times New Roman"/>
          <w:sz w:val="24"/>
        </w:rPr>
        <w:t xml:space="preserve"> </w:t>
      </w:r>
      <w:r>
        <w:rPr>
          <w:rFonts w:ascii="Times New Roman" w:hAnsi="Times New Roman" w:cs="Times New Roman"/>
          <w:sz w:val="24"/>
        </w:rPr>
        <w:t xml:space="preserve">for each superpixel</w:t>
      </w:r>
      <w:r>
        <w:rPr>
          <w:rFonts w:ascii="Times New Roman" w:hAnsi="Times New Roman" w:cs="Times New Roman"/>
          <w:sz w:val="24"/>
        </w:rPr>
        <w:t xml:space="preserve"> </w:t>
      </w:r>
      <m:oMath>
        <m:sSub>
          <m:e>
            <m:r>
              <m:t>s</m:t>
            </m:r>
          </m:e>
          <m:sub>
            <m:r>
              <m:t>i</m:t>
            </m:r>
          </m:sub>
        </m:sSub>
      </m:oMath>
      <w:r>
        <w:rPr>
          <w:rFonts w:ascii="Times New Roman" w:hAnsi="Times New Roman" w:cs="Times New Roman"/>
          <w:sz w:val="24"/>
        </w:rPr>
        <w:t xml:space="preserve"> </w:t>
      </w:r>
      <w:r>
        <w:rPr>
          <w:rFonts w:ascii="Times New Roman" w:hAnsi="Times New Roman" w:cs="Times New Roman"/>
          <w:sz w:val="24"/>
        </w:rPr>
        <w:t xml:space="preserve">is calculated using the following equation:</w:t>
      </w:r>
    </w:p>
    <w:p>
      <w:pPr>
        <w:pStyle w:val="BodyText"/>
      </w:pPr>
      <m:oMathPara>
        <m:oMathParaPr>
          <m:jc m:val="center"/>
        </m:oMathParaPr>
        <m:oMath>
          <m:r>
            <m:t>S</m:t>
          </m:r>
          <m:r>
            <m:rPr>
              <m:sty m:val="p"/>
            </m:rPr>
            <m:t>(</m:t>
          </m:r>
          <m:sSub>
            <m:e>
              <m:r>
                <m:t>s</m:t>
              </m:r>
            </m:e>
            <m:sub>
              <m:r>
                <m:t>i</m:t>
              </m:r>
            </m:sub>
          </m:sSub>
          <m:r>
            <m:rPr>
              <m:sty m:val="p"/>
            </m:rPr>
            <m:t>)</m:t>
          </m:r>
          <m:r>
            <m:rPr>
              <m:sty m:val="p"/>
            </m:rPr>
            <m:t>=</m:t>
          </m:r>
          <m:r>
            <m:t>L</m:t>
          </m:r>
          <m:r>
            <m:rPr>
              <m:sty m:val="p"/>
            </m:rPr>
            <m:t>(</m:t>
          </m:r>
          <m:sSub>
            <m:e>
              <m:r>
                <m:t>s</m:t>
              </m:r>
            </m:e>
            <m:sub>
              <m:r>
                <m:t>i</m:t>
              </m:r>
            </m:sub>
          </m:sSub>
          <m:r>
            <m:rPr>
              <m:sty m:val="p"/>
            </m:rPr>
            <m:t>)</m:t>
          </m:r>
          <m:r>
            <m:rPr>
              <m:sty m:val="p"/>
            </m:rPr>
            <m:t>⋅</m:t>
          </m:r>
          <m:r>
            <m:rPr>
              <m:sty m:val="p"/>
            </m:rPr>
            <m:t>(</m:t>
          </m:r>
          <m:r>
            <m:t>1</m:t>
          </m:r>
          <m:r>
            <m:rPr>
              <m:sty m:val="p"/>
            </m:rPr>
            <m:t>+</m:t>
          </m:r>
          <m:r>
            <m:t>G</m:t>
          </m:r>
          <m:r>
            <m:rPr>
              <m:sty m:val="p"/>
            </m:rPr>
            <m:t>(</m:t>
          </m:r>
          <m:sSub>
            <m:e>
              <m:r>
                <m:t>s</m:t>
              </m:r>
            </m:e>
            <m:sub>
              <m:r>
                <m:t>i</m:t>
              </m:r>
            </m:sub>
          </m:sSub>
          <m:r>
            <m:rPr>
              <m:sty m:val="p"/>
            </m:rPr>
            <m:t>)</m:t>
          </m:r>
          <m:r>
            <m:rPr>
              <m:sty m:val="p"/>
            </m:rPr>
            <m:t>)</m:t>
          </m:r>
        </m:oMath>
      </m:oMathPara>
    </w:p>
    <w:p>
      <w:pPr>
        <w:pStyle w:val="FirstParagraph"/>
        <w:spacing w:lineRule="auto" w:line="360" w:before="0" w:after="80"/>
      </w:pPr>
      <w:r>
        <w:rPr>
          <w:rFonts w:ascii="Times New Roman" w:hAnsi="Times New Roman" w:cs="Times New Roman"/>
          <w:sz w:val="24"/>
        </w:rPr>
        <w:t xml:space="preserve">where</w:t>
      </w:r>
      <w:r>
        <w:rPr>
          <w:rFonts w:ascii="Times New Roman" w:hAnsi="Times New Roman" w:cs="Times New Roman"/>
          <w:sz w:val="24"/>
        </w:rPr>
        <w:t xml:space="preserve"> </w:t>
      </w:r>
      <m:oMath>
        <m:r>
          <m:t>S</m:t>
        </m:r>
        <m:r>
          <m:rPr>
            <m:sty m:val="p"/>
          </m:rPr>
          <m:t>(</m:t>
        </m:r>
        <m:sSub>
          <m:e>
            <m:r>
              <m:t>s</m:t>
            </m:r>
          </m:e>
          <m:sub>
            <m:r>
              <m:t>i</m:t>
            </m:r>
          </m:sub>
        </m:sSub>
        <m:r>
          <m:rPr>
            <m:sty m:val="p"/>
          </m:rPr>
          <m:t>)</m:t>
        </m:r>
      </m:oMath>
      <w:r>
        <w:rPr>
          <w:rFonts w:ascii="Times New Roman" w:hAnsi="Times New Roman" w:cs="Times New Roman"/>
          <w:sz w:val="24"/>
        </w:rPr>
        <w:t xml:space="preserve"> </w:t>
      </w:r>
      <w:r>
        <w:rPr>
          <w:rFonts w:ascii="Times New Roman" w:hAnsi="Times New Roman" w:cs="Times New Roman"/>
          <w:sz w:val="24"/>
        </w:rPr>
        <w:t xml:space="preserve">is the resulting hybrid importance score for superpixel</w:t>
      </w:r>
      <w:r>
        <w:rPr>
          <w:rFonts w:ascii="Times New Roman" w:hAnsi="Times New Roman" w:cs="Times New Roman"/>
          <w:sz w:val="24"/>
        </w:rPr>
        <w:t xml:space="preserve"> </w:t>
      </w:r>
      <m:oMath>
        <m:sSub>
          <m:e>
            <m:r>
              <m:t>s</m:t>
            </m:r>
          </m:e>
          <m:sub>
            <m:r>
              <m:t>i</m:t>
            </m:r>
          </m:sub>
        </m:sSub>
      </m:oMath>
      <w:r>
        <w:rPr>
          <w:rFonts w:ascii="Times New Roman" w:hAnsi="Times New Roman" w:cs="Times New Roman"/>
          <w:sz w:val="24"/>
        </w:rPr>
        <w:t xml:space="preserve">,</w:t>
      </w:r>
      <w:r>
        <w:rPr>
          <w:rFonts w:ascii="Times New Roman" w:hAnsi="Times New Roman" w:cs="Times New Roman"/>
          <w:sz w:val="24"/>
        </w:rPr>
        <w:t xml:space="preserve"> </w:t>
      </w:r>
      <m:oMath>
        <m:r>
          <m:t>L</m:t>
        </m:r>
        <m:r>
          <m:rPr>
            <m:sty m:val="p"/>
          </m:rPr>
          <m:t>(</m:t>
        </m:r>
        <m:sSub>
          <m:e>
            <m:r>
              <m:t>s</m:t>
            </m:r>
          </m:e>
          <m:sub>
            <m:r>
              <m:t>i</m:t>
            </m:r>
          </m:sub>
        </m:sSub>
        <m:r>
          <m:rPr>
            <m:sty m:val="p"/>
          </m:rPr>
          <m:t>)</m:t>
        </m:r>
      </m:oMath>
      <w:r>
        <w:rPr>
          <w:rFonts w:ascii="Times New Roman" w:hAnsi="Times New Roman" w:cs="Times New Roman"/>
          <w:sz w:val="24"/>
        </w:rPr>
        <w:t xml:space="preserve"> </w:t>
      </w:r>
      <w:r>
        <w:rPr>
          <w:rFonts w:ascii="Times New Roman" w:hAnsi="Times New Roman" w:cs="Times New Roman"/>
          <w:sz w:val="24"/>
        </w:rPr>
        <w:t xml:space="preserve">is the raw local surrogate coefficient generated by the LIME linear model, and</w:t>
      </w:r>
      <w:r>
        <w:rPr>
          <w:rFonts w:ascii="Times New Roman" w:hAnsi="Times New Roman" w:cs="Times New Roman"/>
          <w:sz w:val="24"/>
        </w:rPr>
        <w:t xml:space="preserve"> </w:t>
      </w:r>
      <m:oMath>
        <m:r>
          <m:t>G</m:t>
        </m:r>
        <m:r>
          <m:rPr>
            <m:sty m:val="p"/>
          </m:rPr>
          <m:t>(</m:t>
        </m:r>
        <m:sSub>
          <m:e>
            <m:r>
              <m:t>s</m:t>
            </m:r>
          </m:e>
          <m:sub>
            <m:r>
              <m:t>i</m:t>
            </m:r>
          </m:sub>
        </m:sSub>
        <m:r>
          <m:rPr>
            <m:sty m:val="p"/>
          </m:rPr>
          <m:t>)</m:t>
        </m:r>
      </m:oMath>
      <w:r>
        <w:rPr>
          <w:rFonts w:ascii="Times New Roman" w:hAnsi="Times New Roman" w:cs="Times New Roman"/>
          <w:sz w:val="24"/>
        </w:rPr>
        <w:t xml:space="preserve"> </w:t>
      </w:r>
      <w:r>
        <w:rPr>
          <w:rFonts w:ascii="Times New Roman" w:hAnsi="Times New Roman" w:cs="Times New Roman"/>
          <w:sz w:val="24"/>
        </w:rPr>
        <w:t xml:space="preserve">is the mean Grad-CAM activation intensity calculated within the spatial boundaries of superpixel</w:t>
      </w:r>
      <w:r>
        <w:rPr>
          <w:rFonts w:ascii="Times New Roman" w:hAnsi="Times New Roman" w:cs="Times New Roman"/>
          <w:sz w:val="24"/>
        </w:rPr>
        <w:t xml:space="preserve"> </w:t>
      </w:r>
      <m:oMath>
        <m:sSub>
          <m:e>
            <m:r>
              <m:t>s</m:t>
            </m:r>
          </m:e>
          <m:sub>
            <m:r>
              <m:t>i</m:t>
            </m:r>
          </m:sub>
        </m:sSub>
      </m:oMath>
      <w:r>
        <w:rPr>
          <w:rFonts w:ascii="Times New Roman" w:hAnsi="Times New Roman" w:cs="Times New Roman"/>
          <w:sz w:val="24"/>
        </w:rPr>
        <w:t xml:space="preserve">, normalized to the range</w:t>
      </w:r>
      <w:r>
        <w:rPr>
          <w:rFonts w:ascii="Times New Roman" w:hAnsi="Times New Roman" w:cs="Times New Roman"/>
          <w:sz w:val="24"/>
        </w:rPr>
        <w:t xml:space="preserve"> </w:t>
      </w:r>
      <m:oMath>
        <m:r>
          <m:rPr>
            <m:sty m:val="p"/>
          </m:rPr>
          <m:t>[</m:t>
        </m:r>
        <m:r>
          <m:t>0</m:t>
        </m:r>
        <m:r>
          <m:rPr>
            <m:sty m:val="p"/>
          </m:rPr>
          <m:t>,</m:t>
        </m:r>
        <m:r>
          <m:t>1</m:t>
        </m:r>
        <m:r>
          <m:rPr>
            <m:sty m:val="p"/>
          </m:rPr>
          <m:t>]</m:t>
        </m:r>
      </m:oMath>
      <w:r>
        <w:rPr>
          <w:rFonts w:ascii="Times New Roman" w:hAnsi="Times New Roman" w:cs="Times New Roman"/>
          <w:sz w:val="24"/>
        </w:rPr>
        <w:t xml:space="preserve">. The multiplicative form</w:t>
      </w:r>
      <w:r>
        <w:rPr>
          <w:rFonts w:ascii="Times New Roman" w:hAnsi="Times New Roman" w:cs="Times New Roman"/>
          <w:sz w:val="24"/>
        </w:rPr>
        <w:t xml:space="preserve"> </w:t>
      </w:r>
      <m:oMath>
        <m:r>
          <m:rPr>
            <m:sty m:val="p"/>
          </m:rPr>
          <m:t>(</m:t>
        </m:r>
        <m:r>
          <m:t>1</m:t>
        </m:r>
        <m:r>
          <m:rPr>
            <m:sty m:val="p"/>
          </m:rPr>
          <m:t>+</m:t>
        </m:r>
        <m:r>
          <m:t>G</m:t>
        </m:r>
        <m:r>
          <m:rPr>
            <m:sty m:val="p"/>
          </m:rPr>
          <m:t>(</m:t>
        </m:r>
        <m:sSub>
          <m:e>
            <m:r>
              <m:t>s</m:t>
            </m:r>
          </m:e>
          <m:sub>
            <m:r>
              <m:t>i</m:t>
            </m:r>
          </m:sub>
        </m:sSub>
        <m:r>
          <m:rPr>
            <m:sty m:val="p"/>
          </m:rPr>
          <m:t>)</m:t>
        </m:r>
        <m:r>
          <m:rPr>
            <m:sty m:val="p"/>
          </m:rPr>
          <m:t>)</m:t>
        </m:r>
      </m:oMath>
      <w:r>
        <w:rPr>
          <w:rFonts w:ascii="Times New Roman" w:hAnsi="Times New Roman" w:cs="Times New Roman"/>
          <w:sz w:val="24"/>
        </w:rPr>
        <w:t xml:space="preserve"> </w:t>
      </w:r>
      <w:r>
        <w:rPr>
          <w:rFonts w:ascii="Times New Roman" w:hAnsi="Times New Roman" w:cs="Times New Roman"/>
          <w:sz w:val="24"/>
        </w:rPr>
        <w:t xml:space="preserve">was selected over an additive form because it preserves the sign of</w:t>
      </w:r>
      <w:r>
        <w:rPr>
          <w:rFonts w:ascii="Times New Roman" w:hAnsi="Times New Roman" w:cs="Times New Roman"/>
          <w:sz w:val="24"/>
        </w:rPr>
        <w:t xml:space="preserve"> </w:t>
      </w:r>
      <m:oMath>
        <m:r>
          <m:t>L</m:t>
        </m:r>
        <m:r>
          <m:rPr>
            <m:sty m:val="p"/>
          </m:rPr>
          <m:t>(</m:t>
        </m:r>
        <m:sSub>
          <m:e>
            <m:r>
              <m:t>s</m:t>
            </m:r>
          </m:e>
          <m:sub>
            <m:r>
              <m:t>i</m:t>
            </m:r>
          </m:sub>
        </m:sSub>
        <m:r>
          <m:rPr>
            <m:sty m:val="p"/>
          </m:rPr>
          <m:t>)</m:t>
        </m:r>
      </m:oMath>
      <w:r>
        <w:rPr>
          <w:rFonts w:ascii="Times New Roman" w:hAnsi="Times New Roman" w:cs="Times New Roman"/>
          <w:sz w:val="24"/>
        </w:rPr>
        <w:t xml:space="preserve">, naturally bounds the influence of Grad-CAM to a multiplicative scale factor of</w:t>
      </w:r>
      <w:r>
        <w:rPr>
          <w:rFonts w:ascii="Times New Roman" w:hAnsi="Times New Roman" w:cs="Times New Roman"/>
          <w:sz w:val="24"/>
        </w:rPr>
        <w:t xml:space="preserve"> </w:t>
      </w:r>
      <m:oMath>
        <m:r>
          <m:rPr>
            <m:sty m:val="p"/>
          </m:rPr>
          <m:t>[</m:t>
        </m:r>
        <m:r>
          <m:t>1</m:t>
        </m:r>
        <m:r>
          <m:rPr>
            <m:sty m:val="p"/>
          </m:rPr>
          <m:t>,</m:t>
        </m:r>
        <m:r>
          <m:t>2</m:t>
        </m:r>
        <m:r>
          <m:rPr>
            <m:sty m:val="p"/>
          </m:rPr>
          <m:t>]</m:t>
        </m:r>
      </m:oMath>
      <w:r>
        <w:rPr>
          <w:rFonts w:ascii="Times New Roman" w:hAnsi="Times New Roman" w:cs="Times New Roman"/>
          <w:sz w:val="24"/>
        </w:rPr>
        <w:t xml:space="preserve">, and achieves superior Deletion AUC in ablation experiments.</w:t>
      </w:r>
    </w:p>
    <w:p>
      <w:pPr>
        <w:pStyle w:val="BodyText"/>
        <w:spacing w:lineRule="auto" w:line="360" w:before="0" w:after="80"/>
      </w:pPr>
      <w:r>
        <w:rPr>
          <w:rFonts w:ascii="Times New Roman" w:hAnsi="Times New Roman" w:cs="Times New Roman"/>
          <w:sz w:val="24"/>
        </w:rPr>
        <w:t xml:space="preserve">Ridge regression surrogate objective: the LIME surrogate</w:t>
      </w:r>
      <w:r>
        <w:rPr>
          <w:rFonts w:ascii="Times New Roman" w:hAnsi="Times New Roman" w:cs="Times New Roman"/>
          <w:sz w:val="24"/>
        </w:rPr>
        <w:t xml:space="preserve"> </w:t>
      </w:r>
      <m:oMath>
        <m:r>
          <m:t>g</m:t>
        </m:r>
      </m:oMath>
      <w:r>
        <w:rPr>
          <w:rFonts w:ascii="Times New Roman" w:hAnsi="Times New Roman" w:cs="Times New Roman"/>
          <w:sz w:val="24"/>
        </w:rPr>
        <w:t xml:space="preserve"> </w:t>
      </w:r>
      <w:r>
        <w:rPr>
          <w:rFonts w:ascii="Times New Roman" w:hAnsi="Times New Roman" w:cs="Times New Roman"/>
          <w:sz w:val="24"/>
        </w:rPr>
        <w:t xml:space="preserve">is obtained by minimising the kernel-weighted squared error plus an L2 regularisation penalty:</w:t>
      </w:r>
    </w:p>
    <w:p>
      <w:pPr>
        <w:pStyle w:val="BodyText"/>
      </w:pPr>
      <m:oMathPara>
        <m:oMathParaPr>
          <m:jc m:val="center"/>
        </m:oMathParaPr>
        <m:oMath>
          <m:r>
            <m:t>ξ</m:t>
          </m:r>
          <m:r>
            <m:rPr>
              <m:sty m:val="p"/>
            </m:rPr>
            <m:t>(</m:t>
          </m:r>
          <m:r>
            <m:t>x</m:t>
          </m:r>
          <m:r>
            <m:rPr>
              <m:sty m:val="p"/>
            </m:rPr>
            <m:t>)</m:t>
          </m:r>
          <m:r>
            <m:rPr>
              <m:sty m:val="p"/>
            </m:rPr>
            <m:t>=</m:t>
          </m:r>
          <m:r>
            <m:rPr>
              <m:sty m:val="p"/>
            </m:rPr>
            <m:t>arg</m:t>
          </m:r>
          <m:limLow>
            <m:e>
              <m:r>
                <m:rPr>
                  <m:sty m:val="p"/>
                </m:rPr>
                <m:t>min</m:t>
              </m:r>
            </m:e>
            <m:lim>
              <m:r>
                <m:t>g</m:t>
              </m:r>
              <m:r>
                <m:rPr>
                  <m:sty m:val="p"/>
                </m:rPr>
                <m:t>∈</m:t>
              </m:r>
              <m:r>
                <m:rPr>
                  <m:scr m:val="script"/>
                  <m:sty m:val="p"/>
                </m:rPr>
                <m:t>G</m:t>
              </m:r>
            </m:lim>
          </m:limLow>
          <m:nary>
            <m:naryPr>
              <m:chr m:val="∑"/>
              <m:limLoc m:val="undOvr"/>
              <m:subHide m:val="off"/>
              <m:supHide m:val="on"/>
            </m:naryPr>
            <m:sub>
              <m:r>
                <m:t>z</m:t>
              </m:r>
            </m:sub>
            <m:sup>
              <m:r>
                <m:t>​</m:t>
              </m:r>
            </m:sup>
            <m:e>
              <m:sSub>
                <m:e>
                  <m:r>
                    <m:t>π</m:t>
                  </m:r>
                </m:e>
                <m:sub>
                  <m:r>
                    <m:t>x</m:t>
                  </m:r>
                </m:sub>
              </m:sSub>
            </m:e>
          </m:nary>
          <m:r>
            <m:rPr>
              <m:sty m:val="p"/>
            </m:rPr>
            <m:t>(</m:t>
          </m:r>
          <m:r>
            <m:t>z</m:t>
          </m:r>
          <m:r>
            <m:rPr>
              <m:sty m:val="p"/>
            </m:rPr>
            <m:t>)</m:t>
          </m:r>
          <m:r>
            <m:t> </m:t>
          </m:r>
          <m:r>
            <m:rPr>
              <m:sty m:val="p"/>
            </m:rPr>
            <m:t>[</m:t>
          </m:r>
          <m:r>
            <m:t>f</m:t>
          </m:r>
          <m:r>
            <m:rPr>
              <m:sty m:val="p"/>
            </m:rPr>
            <m:t>(</m:t>
          </m:r>
          <m:r>
            <m:t>z</m:t>
          </m:r>
          <m:r>
            <m:rPr>
              <m:sty m:val="p"/>
            </m:rPr>
            <m:t>)</m:t>
          </m:r>
          <m:r>
            <m:rPr>
              <m:sty m:val="p"/>
            </m:rPr>
            <m:t>−</m:t>
          </m:r>
          <m:r>
            <m:t>g</m:t>
          </m:r>
          <m:r>
            <m:rPr>
              <m:sty m:val="p"/>
            </m:rPr>
            <m:t>(</m:t>
          </m:r>
          <m:r>
            <m:t>z</m:t>
          </m:r>
          <m:r>
            <m:rPr>
              <m:sty m:val="p"/>
            </m:rPr>
            <m:t>)</m:t>
          </m:r>
          <m:sSup>
            <m:e>
              <m:r>
                <m:rPr>
                  <m:sty m:val="p"/>
                </m:rPr>
                <m:t>]</m:t>
              </m:r>
            </m:e>
            <m:sup>
              <m:r>
                <m:t>2</m:t>
              </m:r>
            </m:sup>
          </m:sSup>
          <m:r>
            <m:rPr>
              <m:sty m:val="p"/>
            </m:rPr>
            <m:t>+</m:t>
          </m:r>
          <m:r>
            <m:rPr>
              <m:sty m:val="p"/>
            </m:rPr>
            <m:t>Ω</m:t>
          </m:r>
          <m:r>
            <m:rPr>
              <m:sty m:val="p"/>
            </m:rPr>
            <m:t>(</m:t>
          </m:r>
          <m:r>
            <m:t>g</m:t>
          </m:r>
          <m:r>
            <m:rPr>
              <m:sty m:val="p"/>
            </m:rPr>
            <m:t>)</m:t>
          </m:r>
        </m:oMath>
      </m:oMathPara>
    </w:p>
    <w:p>
      <w:pPr>
        <w:pStyle w:val="FirstParagraph"/>
        <w:spacing w:lineRule="auto" w:line="360" w:before="0" w:after="80"/>
      </w:pPr>
      <w:r>
        <w:rPr>
          <w:rFonts w:ascii="Times New Roman" w:hAnsi="Times New Roman" w:cs="Times New Roman"/>
          <w:sz w:val="24"/>
        </w:rPr>
        <w:t xml:space="preserve">where</w:t>
      </w:r>
      <w:r>
        <w:rPr>
          <w:rFonts w:ascii="Times New Roman" w:hAnsi="Times New Roman" w:cs="Times New Roman"/>
          <w:sz w:val="24"/>
        </w:rPr>
        <w:t xml:space="preserve"> </w:t>
      </w:r>
      <m:oMath>
        <m:sSub>
          <m:e>
            <m:r>
              <m:t>π</m:t>
            </m:r>
          </m:e>
          <m:sub>
            <m:r>
              <m:t>x</m:t>
            </m:r>
          </m:sub>
        </m:sSub>
        <m:r>
          <m:rPr>
            <m:sty m:val="p"/>
          </m:rPr>
          <m:t>(</m:t>
        </m:r>
        <m:r>
          <m:t>z</m:t>
        </m:r>
        <m:r>
          <m:rPr>
            <m:sty m:val="p"/>
          </m:rPr>
          <m:t>)</m:t>
        </m:r>
        <m:r>
          <m:rPr>
            <m:sty m:val="p"/>
          </m:rPr>
          <m:t>=</m:t>
        </m:r>
        <m:r>
          <m:rPr>
            <m:sty m:val="p"/>
          </m:rPr>
          <m:t>exp</m:t>
        </m:r>
        <m:r>
          <m:rPr>
            <m:sty m:val="p"/>
          </m:rPr>
          <m:t>(</m:t>
        </m:r>
        <m:r>
          <m:rPr>
            <m:sty m:val="p"/>
          </m:rPr>
          <m:t>−</m:t>
        </m:r>
        <m:r>
          <m:t>D</m:t>
        </m:r>
        <m:r>
          <m:rPr>
            <m:sty m:val="p"/>
          </m:rPr>
          <m:t>(</m:t>
        </m:r>
        <m:r>
          <m:t>x</m:t>
        </m:r>
        <m:r>
          <m:rPr>
            <m:sty m:val="p"/>
          </m:rPr>
          <m:t>,</m:t>
        </m:r>
        <m:r>
          <m:t>z</m:t>
        </m:r>
        <m:sSup>
          <m:e>
            <m:r>
              <m:rPr>
                <m:sty m:val="p"/>
              </m:rPr>
              <m:t>)</m:t>
            </m:r>
          </m:e>
          <m:sup>
            <m:r>
              <m:t>2</m:t>
            </m:r>
          </m:sup>
        </m:sSup>
        <m:r>
          <m:rPr>
            <m:sty m:val="p"/>
          </m:rPr>
          <m:t>/</m:t>
        </m:r>
        <m:sSup>
          <m:e>
            <m:r>
              <m:t>σ</m:t>
            </m:r>
          </m:e>
          <m:sup>
            <m:r>
              <m:t>2</m:t>
            </m:r>
          </m:sup>
        </m:sSup>
        <m:r>
          <m:rPr>
            <m:sty m:val="p"/>
          </m:rPr>
          <m:t>)</m:t>
        </m:r>
      </m:oMath>
      <w:r>
        <w:rPr>
          <w:rFonts w:ascii="Times New Roman" w:hAnsi="Times New Roman" w:cs="Times New Roman"/>
          <w:sz w:val="24"/>
        </w:rPr>
        <w:t xml:space="preserve"> </w:t>
      </w:r>
      <w:r>
        <w:rPr>
          <w:rFonts w:ascii="Times New Roman" w:hAnsi="Times New Roman" w:cs="Times New Roman"/>
          <w:sz w:val="24"/>
        </w:rPr>
        <w:t xml:space="preserve">is the exponential proximity kernel,</w:t>
      </w:r>
      <w:r>
        <w:rPr>
          <w:rFonts w:ascii="Times New Roman" w:hAnsi="Times New Roman" w:cs="Times New Roman"/>
          <w:sz w:val="24"/>
        </w:rPr>
        <w:t xml:space="preserve"> </w:t>
      </w:r>
      <m:oMath>
        <m:r>
          <m:t>f</m:t>
        </m:r>
        <m:r>
          <m:rPr>
            <m:sty m:val="p"/>
          </m:rPr>
          <m:t>(</m:t>
        </m:r>
        <m:r>
          <m:t>z</m:t>
        </m:r>
        <m:r>
          <m:rPr>
            <m:sty m:val="p"/>
          </m:rPr>
          <m:t>)</m:t>
        </m:r>
      </m:oMath>
      <w:r>
        <w:rPr>
          <w:rFonts w:ascii="Times New Roman" w:hAnsi="Times New Roman" w:cs="Times New Roman"/>
          <w:sz w:val="24"/>
        </w:rPr>
        <w:t xml:space="preserve"> </w:t>
      </w:r>
      <w:r>
        <w:rPr>
          <w:rFonts w:ascii="Times New Roman" w:hAnsi="Times New Roman" w:cs="Times New Roman"/>
          <w:sz w:val="24"/>
        </w:rPr>
        <w:t xml:space="preserve">is the model prediction on</w:t>
      </w:r>
      <w:r>
        <w:rPr>
          <w:rFonts w:ascii="Times New Roman" w:hAnsi="Times New Roman" w:cs="Times New Roman"/>
          <w:sz w:val="24"/>
        </w:rPr>
        <w:t xml:space="preserve"> </w:t>
      </w:r>
      <m:oMath>
        <m:r>
          <m:t>z</m:t>
        </m:r>
      </m:oMath>
      <w:r>
        <w:rPr>
          <w:rFonts w:ascii="Times New Roman" w:hAnsi="Times New Roman" w:cs="Times New Roman"/>
          <w:sz w:val="24"/>
        </w:rPr>
        <w:t xml:space="preserve">,</w:t>
      </w:r>
      <w:r>
        <w:rPr>
          <w:rFonts w:ascii="Times New Roman" w:hAnsi="Times New Roman" w:cs="Times New Roman"/>
          <w:sz w:val="24"/>
        </w:rPr>
        <w:t xml:space="preserve"> </w:t>
      </w:r>
      <m:oMath>
        <m:r>
          <m:t>g</m:t>
        </m:r>
        <m:r>
          <m:rPr>
            <m:sty m:val="p"/>
          </m:rPr>
          <m:t>(</m:t>
        </m:r>
        <m:r>
          <m:t>z</m:t>
        </m:r>
        <m:r>
          <m:rPr>
            <m:sty m:val="p"/>
          </m:rPr>
          <m:t>)</m:t>
        </m:r>
        <m:r>
          <m:rPr>
            <m:sty m:val="p"/>
          </m:rPr>
          <m:t>=</m:t>
        </m:r>
        <m:r>
          <m:t>β</m:t>
        </m:r>
        <m:r>
          <m:rPr>
            <m:sty m:val="p"/>
          </m:rPr>
          <m:t>⋅</m:t>
        </m:r>
        <m:sSup>
          <m:e>
            <m:r>
              <m:t>z</m:t>
            </m:r>
          </m:e>
          <m:sup>
            <m:r>
              <m:rPr>
                <m:sty m:val="p"/>
              </m:rPr>
              <m:t>′</m:t>
            </m:r>
          </m:sup>
        </m:sSup>
      </m:oMath>
      <w:r>
        <w:rPr>
          <w:rFonts w:ascii="Times New Roman" w:hAnsi="Times New Roman" w:cs="Times New Roman"/>
          <w:sz w:val="24"/>
        </w:rPr>
        <w:t xml:space="preserve"> </w:t>
      </w:r>
      <w:r>
        <w:rPr>
          <w:rFonts w:ascii="Times New Roman" w:hAnsi="Times New Roman" w:cs="Times New Roman"/>
          <w:sz w:val="24"/>
        </w:rPr>
        <w:t xml:space="preserve">is the linear surrogate, and</w:t>
      </w:r>
      <w:r>
        <w:rPr>
          <w:rFonts w:ascii="Times New Roman" w:hAnsi="Times New Roman" w:cs="Times New Roman"/>
          <w:sz w:val="24"/>
        </w:rPr>
        <w:t xml:space="preserve"> </w:t>
      </w:r>
      <m:oMath>
        <m:r>
          <m:rPr>
            <m:sty m:val="p"/>
          </m:rPr>
          <m:t>Ω</m:t>
        </m:r>
        <m:r>
          <m:rPr>
            <m:sty m:val="p"/>
          </m:rPr>
          <m:t>(</m:t>
        </m:r>
        <m:r>
          <m:t>g</m:t>
        </m:r>
        <m:r>
          <m:rPr>
            <m:sty m:val="p"/>
          </m:rPr>
          <m:t>)</m:t>
        </m:r>
        <m:r>
          <m:rPr>
            <m:sty m:val="p"/>
          </m:rPr>
          <m:t>=</m:t>
        </m:r>
        <m:r>
          <m:t>λ</m:t>
        </m:r>
        <m:r>
          <m:rPr>
            <m:sty m:val="p"/>
          </m:rPr>
          <m:t>∥</m:t>
        </m:r>
        <m:r>
          <m:t>β</m:t>
        </m:r>
        <m:sSubSup>
          <m:e>
            <m:r>
              <m:rPr>
                <m:sty m:val="p"/>
              </m:rPr>
              <m:t>∥</m:t>
            </m:r>
          </m:e>
          <m:sub>
            <m:r>
              <m:t>2</m:t>
            </m:r>
          </m:sub>
          <m:sup>
            <m:r>
              <m:t>2</m:t>
            </m:r>
          </m:sup>
        </m:sSubSup>
      </m:oMath>
      <w:r>
        <w:rPr>
          <w:rFonts w:ascii="Times New Roman" w:hAnsi="Times New Roman" w:cs="Times New Roman"/>
          <w:sz w:val="24"/>
        </w:rPr>
        <w:t xml:space="preserve"> </w:t>
      </w:r>
      <w:r>
        <w:rPr>
          <w:rFonts w:ascii="Times New Roman" w:hAnsi="Times New Roman" w:cs="Times New Roman"/>
          <w:sz w:val="24"/>
        </w:rPr>
        <w:t xml:space="preserve">is the L2 complexity penalty.</w:t>
      </w:r>
    </w:p>
    <w:p>
      <w:pPr>
        <w:spacing w:line="240" w:lineRule="auto" w:after="40"/>
        <w:jc w:val="left"/>
      </w:pPr>
      <w:r>
        <w:rPr>
          <w:rFonts w:ascii="Times New Roman" w:hAnsi="Times New Roman" w:cs="Times New Roman"/>
          <w:b/>
          <w:sz w:val="20"/>
        </w:rPr>
        <w:t>Algorithm 2: Guided-LIME Hybrid Interpretation Framework</w:t>
      </w:r>
    </w:p>
    <w:p>
      <w:pPr>
        <w:spacing w:line="240" w:lineRule="auto" w:before="20" w:after="20"/>
        <w:ind w:left="432"/>
      </w:pPr>
      <w:r>
        <w:rPr>
          <w:rFonts w:ascii="Times New Roman" w:hAnsi="Times New Roman" w:cs="Times New Roman"/>
          <w:b/>
          <w:sz w:val="20"/>
        </w:rPr>
        <w:t>Require: Input image $I$, trained model $f$, target class $c$</w:t>
      </w:r>
    </w:p>
    <w:p>
      <w:pPr>
        <w:spacing w:line="240" w:lineRule="auto" w:before="20" w:after="20"/>
        <w:ind w:left="432"/>
      </w:pPr>
      <w:r>
        <w:rPr>
          <w:rFonts w:ascii="Times New Roman" w:hAnsi="Times New Roman" w:cs="Times New Roman"/>
          <w:b/>
          <w:sz w:val="20"/>
        </w:rPr>
        <w:t>Ensure: Hybrid importance scores $\{S(s_i)\}_{i=1}^N$</w:t>
      </w:r>
    </w:p>
    <w:p>
      <w:pPr>
        <w:spacing w:line="240" w:lineRule="auto" w:before="20" w:after="20"/>
        <w:ind w:left="432"/>
      </w:pPr>
      <w:r>
        <w:rPr>
          <w:rFonts w:ascii="Times New Roman" w:hAnsi="Times New Roman" w:cs="Times New Roman"/>
          <w:b w:val="0"/>
          <w:sz w:val="20"/>
        </w:rPr>
        <w:t xml:space="preserve">  1: Compute class activation map $M_c$ via Grad-CAM for target class $c$</w:t>
      </w:r>
    </w:p>
    <w:p>
      <w:pPr>
        <w:spacing w:line="240" w:lineRule="auto" w:before="20" w:after="20"/>
        <w:ind w:left="432"/>
      </w:pPr>
      <w:r>
        <w:rPr>
          <w:rFonts w:ascii="Times New Roman" w:hAnsi="Times New Roman" w:cs="Times New Roman"/>
          <w:b w:val="0"/>
          <w:sz w:val="20"/>
        </w:rPr>
        <w:t xml:space="preserve">  2: Normalize $M_c$ to $[0,1]$ to establish global spatial prior</w:t>
      </w:r>
    </w:p>
    <w:p>
      <w:pPr>
        <w:spacing w:line="240" w:lineRule="auto" w:before="20" w:after="20"/>
        <w:ind w:left="432"/>
      </w:pPr>
      <w:r>
        <w:rPr>
          <w:rFonts w:ascii="Times New Roman" w:hAnsi="Times New Roman" w:cs="Times New Roman"/>
          <w:b w:val="0"/>
          <w:sz w:val="20"/>
        </w:rPr>
        <w:t xml:space="preserve">  3: Decompose $I$ into $N=50$ superpixels $\{s_i\}_{i=1}^N$ using SLIC</w:t>
      </w:r>
    </w:p>
    <w:p>
      <w:pPr>
        <w:spacing w:line="240" w:lineRule="auto" w:before="20" w:after="20"/>
        <w:ind w:left="432"/>
      </w:pPr>
      <w:r>
        <w:rPr>
          <w:rFonts w:ascii="Times New Roman" w:hAnsi="Times New Roman" w:cs="Times New Roman"/>
          <w:b w:val="0"/>
          <w:sz w:val="20"/>
        </w:rPr>
        <w:t xml:space="preserve">  4: Generate $K=1000$ perturbation samples $\{z_k\}_{k=1}^K$</w:t>
      </w:r>
    </w:p>
    <w:p>
      <w:pPr>
        <w:spacing w:line="240" w:lineRule="auto" w:before="20" w:after="20"/>
        <w:ind w:left="432"/>
      </w:pPr>
      <w:r>
        <w:rPr>
          <w:rFonts w:ascii="Times New Roman" w:hAnsi="Times New Roman" w:cs="Times New Roman"/>
          <w:b w:val="0"/>
          <w:sz w:val="20"/>
        </w:rPr>
        <w:t xml:space="preserve">  5: Query model $f$ for each perturbed sample: $p_k = f(z_k)$</w:t>
      </w:r>
    </w:p>
    <w:p>
      <w:pPr>
        <w:spacing w:line="240" w:lineRule="auto" w:before="20" w:after="20"/>
        <w:ind w:left="432"/>
      </w:pPr>
      <w:r>
        <w:rPr>
          <w:rFonts w:ascii="Times New Roman" w:hAnsi="Times New Roman" w:cs="Times New Roman"/>
          <w:b w:val="0"/>
          <w:sz w:val="20"/>
        </w:rPr>
        <w:t xml:space="preserve">  6: Fit linear surrogate $\hat{g}$ with L2 penalty (Ridge regression)</w:t>
      </w:r>
    </w:p>
    <w:p>
      <w:pPr>
        <w:spacing w:line="240" w:lineRule="auto" w:before="20" w:after="20"/>
        <w:ind w:left="432"/>
      </w:pPr>
      <w:r>
        <w:rPr>
          <w:rFonts w:ascii="Times New Roman" w:hAnsi="Times New Roman" w:cs="Times New Roman"/>
          <w:b w:val="0"/>
          <w:sz w:val="20"/>
        </w:rPr>
        <w:t xml:space="preserve">  7: Compute hybrid importance scores $S(s_i) = L(s_i) \cdot (1 + G(s_i))$</w:t>
      </w:r>
    </w:p>
    <w:p>
      <w:pPr>
        <w:spacing w:line="240" w:lineRule="auto" w:before="20" w:after="20"/>
        <w:ind w:left="432"/>
      </w:pPr>
      <w:r>
        <w:rPr>
          <w:rFonts w:ascii="Times New Roman" w:hAnsi="Times New Roman" w:cs="Times New Roman"/>
          <w:b w:val="0"/>
          <w:sz w:val="20"/>
        </w:rPr>
        <w:t xml:space="preserve">  8: Return $\{S(s_i)\}_{i=1}^N$</w:t>
      </w:r>
    </w:p>
    <w:bookmarkEnd w:id="34"/>
    <w:bookmarkStart w:id="35" w:name="X6e1b3e720fec52b779eff94101688b340213e21"/>
    <w:p>
      <w:pPr>
        <w:pStyle w:val="FirstParagraph"/>
        <w:spacing w:lineRule="auto" w:line="360" w:before="0" w:after="80"/>
      </w:pPr>
      <w:r>
        <w:rPr>
          <w:rFonts w:ascii="Times New Roman" w:hAnsi="Times New Roman" w:cs="Times New Roman"/>
          <w:sz w:val="24"/>
        </w:rPr>
        <w:t xml:space="preserve">Fidelity was quantified using Deletion and Insertion tests to measure the causal necessity and sufficiency of the explanations, as detailed in Algorithm </w:t>
      </w:r>
      <w:hyperlink w:anchor="alg:fidelity">
        <w:r>
          <w:rPr>
            <w:rStyle w:val="Hyperlink"/>
          </w:rPr>
          <w:t xml:space="preserve">[alg:fidelity]</w:t>
        </w:r>
      </w:hyperlink>
      <w:r>
        <w:rPr>
          <w:rFonts w:ascii="Times New Roman" w:hAnsi="Times New Roman" w:cs="Times New Roman"/>
          <w:sz w:val="24"/>
        </w:rPr>
        <w:t xml:space="preserve">. The statistical significance of the improvement over the random baseline was assessed using the Wilcoxon signed-rank test performed across all</w:t>
      </w:r>
      <w:r>
        <w:rPr>
          <w:rFonts w:ascii="Times New Roman" w:hAnsi="Times New Roman" w:cs="Times New Roman"/>
          <w:sz w:val="24"/>
        </w:rPr>
        <w:t xml:space="preserve"> </w:t>
      </w:r>
      <m:oMath>
        <m:r>
          <m:t>N</m:t>
        </m:r>
        <m:r>
          <m:rPr>
            <m:sty m:val="p"/>
          </m:rPr>
          <m:t>=</m:t>
        </m:r>
        <m:r>
          <m:t>550</m:t>
        </m:r>
      </m:oMath>
      <w:r>
        <w:rPr>
          <w:rFonts w:ascii="Times New Roman" w:hAnsi="Times New Roman" w:cs="Times New Roman"/>
          <w:sz w:val="24"/>
        </w:rPr>
        <w:t xml:space="preserve"> </w:t>
      </w:r>
      <w:r>
        <w:rPr>
          <w:rFonts w:ascii="Times New Roman" w:hAnsi="Times New Roman" w:cs="Times New Roman"/>
          <w:sz w:val="24"/>
        </w:rPr>
        <w:t xml:space="preserve">test images comparing Standard LIME and Guided-LIME against random superpixel ordering.</w:t>
      </w:r>
    </w:p>
    <w:p>
      <w:pPr>
        <w:spacing w:line="240" w:lineRule="auto" w:after="40"/>
        <w:jc w:val="left"/>
      </w:pPr>
      <w:r>
        <w:rPr>
          <w:rFonts w:ascii="Times New Roman" w:hAnsi="Times New Roman" w:cs="Times New Roman"/>
          <w:b/>
          <w:sz w:val="20"/>
        </w:rPr>
        <w:t>Algorithm 3: Quantitative Fidelity Evaluation</w:t>
      </w:r>
    </w:p>
    <w:p>
      <w:pPr>
        <w:spacing w:line="240" w:lineRule="auto" w:before="20" w:after="20"/>
        <w:ind w:left="432"/>
      </w:pPr>
      <w:r>
        <w:rPr>
          <w:rFonts w:ascii="Times New Roman" w:hAnsi="Times New Roman" w:cs="Times New Roman"/>
          <w:b/>
          <w:sz w:val="20"/>
        </w:rPr>
        <w:t>Require: Input image $I$, model $f$, superpixel scores $\{S(s_i)\}_{i=1}^N$</w:t>
      </w:r>
    </w:p>
    <w:p>
      <w:pPr>
        <w:spacing w:line="240" w:lineRule="auto" w:before="20" w:after="20"/>
        <w:ind w:left="432"/>
      </w:pPr>
      <w:r>
        <w:rPr>
          <w:rFonts w:ascii="Times New Roman" w:hAnsi="Times New Roman" w:cs="Times New Roman"/>
          <w:b/>
          <w:sz w:val="20"/>
        </w:rPr>
        <w:t>Ensure: Deletion AUC, Insertion AUC</w:t>
      </w:r>
    </w:p>
    <w:p>
      <w:pPr>
        <w:spacing w:line="240" w:lineRule="auto" w:before="20" w:after="20"/>
        <w:ind w:left="432"/>
      </w:pPr>
      <w:r>
        <w:rPr>
          <w:rFonts w:ascii="Times New Roman" w:hAnsi="Times New Roman" w:cs="Times New Roman"/>
          <w:b w:val="0"/>
          <w:sz w:val="20"/>
        </w:rPr>
        <w:t xml:space="preserve">  1: Sort superpixels by hybrid score $S(s_i)$ descending</w:t>
      </w:r>
    </w:p>
    <w:p>
      <w:pPr>
        <w:spacing w:line="240" w:lineRule="auto" w:before="20" w:after="20"/>
        <w:ind w:left="432"/>
      </w:pPr>
      <w:r>
        <w:rPr>
          <w:rFonts w:ascii="Times New Roman" w:hAnsi="Times New Roman" w:cs="Times New Roman"/>
          <w:b w:val="0"/>
          <w:sz w:val="20"/>
        </w:rPr>
        <w:t xml:space="preserve">  2: Deletion Test:</w:t>
      </w:r>
    </w:p>
    <w:p>
      <w:pPr>
        <w:spacing w:line="240" w:lineRule="auto" w:before="20" w:after="20"/>
        <w:ind w:left="432"/>
      </w:pPr>
      <w:r>
        <w:rPr>
          <w:rFonts w:ascii="Times New Roman" w:hAnsi="Times New Roman" w:cs="Times New Roman"/>
          <w:b w:val="0"/>
          <w:sz w:val="20"/>
        </w:rPr>
        <w:t xml:space="preserve">  3:   Initialize modified image as constant gray baseline (ImageNet mean)</w:t>
      </w:r>
    </w:p>
    <w:p>
      <w:pPr>
        <w:spacing w:line="240" w:lineRule="auto" w:before="20" w:after="20"/>
        <w:ind w:left="432"/>
      </w:pPr>
      <w:r>
        <w:rPr>
          <w:rFonts w:ascii="Times New Roman" w:hAnsi="Times New Roman" w:cs="Times New Roman"/>
          <w:b w:val="0"/>
          <w:sz w:val="20"/>
        </w:rPr>
        <w:t xml:space="preserve">  4:   Iteratively remove superpixels in ranked order</w:t>
      </w:r>
    </w:p>
    <w:p>
      <w:pPr>
        <w:spacing w:line="240" w:lineRule="auto" w:before="20" w:after="20"/>
        <w:ind w:left="432"/>
      </w:pPr>
      <w:r>
        <w:rPr>
          <w:rFonts w:ascii="Times New Roman" w:hAnsi="Times New Roman" w:cs="Times New Roman"/>
          <w:b w:val="0"/>
          <w:sz w:val="20"/>
        </w:rPr>
        <w:t xml:space="preserve">  5:   Record model confidence after each removal</w:t>
      </w:r>
    </w:p>
    <w:p>
      <w:pPr>
        <w:spacing w:line="240" w:lineRule="auto" w:before="20" w:after="20"/>
        <w:ind w:left="432"/>
      </w:pPr>
      <w:r>
        <w:rPr>
          <w:rFonts w:ascii="Times New Roman" w:hAnsi="Times New Roman" w:cs="Times New Roman"/>
          <w:b w:val="0"/>
          <w:sz w:val="20"/>
        </w:rPr>
        <w:t xml:space="preserve">  6:   Compute area under the confidence decay curve (Deletion AUC)</w:t>
      </w:r>
    </w:p>
    <w:p>
      <w:pPr>
        <w:spacing w:line="240" w:lineRule="auto" w:before="20" w:after="20"/>
        <w:ind w:left="432"/>
      </w:pPr>
      <w:r>
        <w:rPr>
          <w:rFonts w:ascii="Times New Roman" w:hAnsi="Times New Roman" w:cs="Times New Roman"/>
          <w:b w:val="0"/>
          <w:sz w:val="20"/>
        </w:rPr>
        <w:t xml:space="preserve">  7: Insertion Test:</w:t>
      </w:r>
    </w:p>
    <w:p>
      <w:pPr>
        <w:spacing w:line="240" w:lineRule="auto" w:before="20" w:after="20"/>
        <w:ind w:left="432"/>
      </w:pPr>
      <w:r>
        <w:rPr>
          <w:rFonts w:ascii="Times New Roman" w:hAnsi="Times New Roman" w:cs="Times New Roman"/>
          <w:b w:val="0"/>
          <w:sz w:val="20"/>
        </w:rPr>
        <w:t xml:space="preserve">  8:   Initialize modified image as constant gray baseline</w:t>
      </w:r>
    </w:p>
    <w:p>
      <w:pPr>
        <w:spacing w:line="240" w:lineRule="auto" w:before="20" w:after="20"/>
        <w:ind w:left="432"/>
      </w:pPr>
      <w:r>
        <w:rPr>
          <w:rFonts w:ascii="Times New Roman" w:hAnsi="Times New Roman" w:cs="Times New Roman"/>
          <w:b w:val="0"/>
          <w:sz w:val="20"/>
        </w:rPr>
        <w:t xml:space="preserve">  9:   Iteratively add superpixels in ranked order</w:t>
      </w:r>
    </w:p>
    <w:p>
      <w:pPr>
        <w:spacing w:line="240" w:lineRule="auto" w:before="20" w:after="20"/>
        <w:ind w:left="432"/>
      </w:pPr>
      <w:r>
        <w:rPr>
          <w:rFonts w:ascii="Times New Roman" w:hAnsi="Times New Roman" w:cs="Times New Roman"/>
          <w:b w:val="0"/>
          <w:sz w:val="20"/>
        </w:rPr>
        <w:t xml:space="preserve">  10:   Record model confidence after each addition</w:t>
      </w:r>
    </w:p>
    <w:p>
      <w:pPr>
        <w:spacing w:line="240" w:lineRule="auto" w:before="20" w:after="20"/>
        <w:ind w:left="432"/>
      </w:pPr>
      <w:r>
        <w:rPr>
          <w:rFonts w:ascii="Times New Roman" w:hAnsi="Times New Roman" w:cs="Times New Roman"/>
          <w:b w:val="0"/>
          <w:sz w:val="20"/>
        </w:rPr>
        <w:t xml:space="preserve">  11:   Compute area under the confidence recovery curve (Insertion AUC)</w:t>
      </w:r>
    </w:p>
    <w:p>
      <w:pPr>
        <w:spacing w:line="240" w:lineRule="auto" w:before="20" w:after="20"/>
        <w:ind w:left="432"/>
      </w:pPr>
      <w:r>
        <w:rPr>
          <w:rFonts w:ascii="Times New Roman" w:hAnsi="Times New Roman" w:cs="Times New Roman"/>
          <w:b w:val="0"/>
          <w:sz w:val="20"/>
        </w:rPr>
        <w:t xml:space="preserve">  12: Return Deletion AUC and Insertion AUC</w:t>
      </w:r>
    </w:p>
    <w:bookmarkEnd w:id="35"/>
    <w:bookmarkStart w:id="36" w:name="clinical-alignment-and-stability"/>
    <w:p>
      <w:pPr>
        <w:pStyle w:val="Heading2"/>
        <w:spacing w:lineRule="auto" w:line="288" w:before="0" w:after="80"/>
        <w:jc w:val="left"/>
      </w:pPr>
      <w:r>
        <w:rPr>
          <w:rFonts w:ascii="Times New Roman" w:hAnsi="Times New Roman" w:cs="Times New Roman"/>
          <w:sz w:val="26"/>
        </w:rPr>
        <w:t xml:space="preserve">Clinical Alignment and Stability</w:t>
      </w:r>
    </w:p>
    <w:p>
      <w:pPr>
        <w:pStyle w:val="FirstParagraph"/>
        <w:spacing w:lineRule="auto" w:line="360" w:before="0" w:after="80"/>
      </w:pPr>
      <w:r>
        <w:rPr>
          <w:rFonts w:ascii="Times New Roman" w:hAnsi="Times New Roman" w:cs="Times New Roman"/>
          <w:sz w:val="24"/>
        </w:rPr>
        <w:t xml:space="preserve">Clinical alignment was verified using the Jaccard Index (Intersection over Union) between XAI importance maps and proxy masks of pathological biomarkers:</w:t>
      </w:r>
    </w:p>
    <w:p>
      <w:pPr>
        <w:pStyle w:val="BodyText"/>
      </w:pPr>
      <m:oMathPara>
        <m:oMathParaPr>
          <m:jc m:val="center"/>
        </m:oMathParaPr>
        <m:oMath>
          <m:r>
            <m:t>J</m:t>
          </m:r>
          <m:r>
            <m:rPr>
              <m:sty m:val="p"/>
            </m:rPr>
            <m:t>(</m:t>
          </m:r>
          <m:r>
            <m:t>A</m:t>
          </m:r>
          <m:r>
            <m:rPr>
              <m:sty m:val="p"/>
            </m:rPr>
            <m:t>,</m:t>
          </m:r>
          <m:r>
            <m:t>B</m:t>
          </m:r>
          <m:r>
            <m:rPr>
              <m:sty m:val="p"/>
            </m:rPr>
            <m:t>)</m:t>
          </m:r>
          <m:r>
            <m:rPr>
              <m:sty m:val="p"/>
            </m:rPr>
            <m:t>=</m:t>
          </m:r>
          <m:f>
            <m:fPr>
              <m:type m:val="bar"/>
            </m:fPr>
            <m:num>
              <m:r>
                <m:rPr>
                  <m:sty m:val="p"/>
                </m:rPr>
                <m:t>|</m:t>
              </m:r>
              <m:r>
                <m:t>A</m:t>
              </m:r>
              <m:r>
                <m:rPr>
                  <m:sty m:val="p"/>
                </m:rPr>
                <m:t>∩</m:t>
              </m:r>
              <m:r>
                <m:t>B</m:t>
              </m:r>
              <m:r>
                <m:rPr>
                  <m:sty m:val="p"/>
                </m:rPr>
                <m:t>|</m:t>
              </m:r>
            </m:num>
            <m:den>
              <m:r>
                <m:rPr>
                  <m:sty m:val="p"/>
                </m:rPr>
                <m:t>|</m:t>
              </m:r>
              <m:r>
                <m:t>A</m:t>
              </m:r>
              <m:r>
                <m:rPr>
                  <m:sty m:val="p"/>
                </m:rPr>
                <m:t>∪</m:t>
              </m:r>
              <m:r>
                <m:t>B</m:t>
              </m:r>
              <m:r>
                <m:rPr>
                  <m:sty m:val="p"/>
                </m:rPr>
                <m:t>|</m:t>
              </m:r>
            </m:den>
          </m:f>
        </m:oMath>
      </m:oMathPara>
    </w:p>
    <w:p>
      <w:pPr>
        <w:pStyle w:val="FirstParagraph"/>
        <w:spacing w:lineRule="auto" w:line="360" w:before="0" w:after="80"/>
      </w:pPr>
      <w:r>
        <w:rPr>
          <w:rFonts w:ascii="Times New Roman" w:hAnsi="Times New Roman" w:cs="Times New Roman"/>
          <w:sz w:val="24"/>
        </w:rPr>
        <w:t xml:space="preserve">where</w:t>
      </w:r>
      <w:r>
        <w:rPr>
          <w:rFonts w:ascii="Times New Roman" w:hAnsi="Times New Roman" w:cs="Times New Roman"/>
          <w:sz w:val="24"/>
        </w:rPr>
        <w:t xml:space="preserve"> </w:t>
      </w:r>
      <m:oMath>
        <m:r>
          <m:t>A</m:t>
        </m:r>
      </m:oMath>
      <w:r>
        <w:rPr>
          <w:rFonts w:ascii="Times New Roman" w:hAnsi="Times New Roman" w:cs="Times New Roman"/>
          <w:sz w:val="24"/>
        </w:rPr>
        <w:t xml:space="preserve"> </w:t>
      </w:r>
      <w:r>
        <w:rPr>
          <w:rFonts w:ascii="Times New Roman" w:hAnsi="Times New Roman" w:cs="Times New Roman"/>
          <w:sz w:val="24"/>
        </w:rPr>
        <w:t xml:space="preserve">is the binarized XAI importance map and</w:t>
      </w:r>
      <w:r>
        <w:rPr>
          <w:rFonts w:ascii="Times New Roman" w:hAnsi="Times New Roman" w:cs="Times New Roman"/>
          <w:sz w:val="24"/>
        </w:rPr>
        <w:t xml:space="preserve"> </w:t>
      </w:r>
      <m:oMath>
        <m:r>
          <m:t>B</m:t>
        </m:r>
      </m:oMath>
      <w:r>
        <w:rPr>
          <w:rFonts w:ascii="Times New Roman" w:hAnsi="Times New Roman" w:cs="Times New Roman"/>
          <w:sz w:val="24"/>
        </w:rPr>
        <w:t xml:space="preserve"> </w:t>
      </w:r>
      <w:r>
        <w:rPr>
          <w:rFonts w:ascii="Times New Roman" w:hAnsi="Times New Roman" w:cs="Times New Roman"/>
          <w:sz w:val="24"/>
        </w:rPr>
        <w:t xml:space="preserve">is the clinical biomarker mask. This same formula was used for stability analysis to measure the consistency of explanations under image noise and rotations.</w:t>
      </w:r>
    </w:p>
    <w:bookmarkEnd w:id="36"/>
    <w:bookmarkStart w:id="37" w:name="Xc5eb955e5fb33e052cc2d414d48d0798fc74c73"/>
    <w:p>
      <w:pPr>
        <w:pStyle w:val="Heading2"/>
        <w:spacing w:lineRule="auto" w:line="288" w:before="0" w:after="80"/>
        <w:jc w:val="left"/>
      </w:pPr>
      <w:r>
        <w:rPr>
          <w:rFonts w:ascii="Times New Roman" w:hAnsi="Times New Roman" w:cs="Times New Roman"/>
          <w:sz w:val="26"/>
        </w:rPr>
        <w:t xml:space="preserve">Cross-Dataset Generalizability Validation on IDRiD</w:t>
      </w:r>
    </w:p>
    <w:p>
      <w:pPr>
        <w:pStyle w:val="FirstParagraph"/>
        <w:spacing w:lineRule="auto" w:line="360" w:before="0" w:after="80"/>
      </w:pPr>
      <w:r>
        <w:rPr>
          <w:rFonts w:ascii="Times New Roman" w:hAnsi="Times New Roman" w:cs="Times New Roman"/>
          <w:sz w:val="24"/>
        </w:rPr>
        <w:t xml:space="preserve">To evaluate whether the proposed Guided-LIME framework maintains its fidelity ranking across different data acquisition domains, we conduct an external validation study using the IDRiD (Indian Diabetic Retinopathy Image Dataset) benchmark </w:t>
      </w:r>
      <w:r>
        <w:rPr>
          <w:rFonts w:ascii="Times New Roman" w:hAnsi="Times New Roman" w:cs="Times New Roman"/>
          <w:sz w:val="24"/>
          <w:vertAlign w:val="superscript"/>
        </w:rPr>
        <w:t xml:space="preserve">8</w:t>
      </w:r>
      <w:r>
        <w:rPr>
          <w:rFonts w:ascii="Times New Roman" w:hAnsi="Times New Roman" w:cs="Times New Roman"/>
          <w:sz w:val="24"/>
        </w:rPr>
        <w:t xml:space="preserve">. The IDRiD dataset comprises 455 retinal fundus images (5 DR severity grades), collected from an Indian population using multiple fundus camera models </w:t>
      </w:r>
      <w:r>
        <w:rPr>
          <w:rFonts w:ascii="Times New Roman" w:hAnsi="Times New Roman" w:cs="Times New Roman"/>
          <w:sz w:val="24"/>
          <w:vertAlign w:val="superscript"/>
        </w:rPr>
        <w:t xml:space="preserve">8</w:t>
      </w:r>
      <w:r>
        <w:rPr>
          <w:rFonts w:ascii="Times New Roman" w:hAnsi="Times New Roman" w:cs="Times New Roman"/>
          <w:sz w:val="24"/>
        </w:rPr>
        <w:t xml:space="preserve">. The class distribution is: No DR (129), Mild (22), Moderate (156), Severe (84), and Proliferative DR (64). Images were preprocessed using the same OpenCV-First pipeline then resized to 224</w:t>
      </w:r>
      <m:oMath>
        <m:r>
          <m:rPr>
            <m:sty m:val="p"/>
          </m:rPr>
          <m:t>×</m:t>
        </m:r>
      </m:oMath>
      <w:r>
        <w:rPr>
          <w:rFonts w:ascii="Times New Roman" w:hAnsi="Times New Roman" w:cs="Times New Roman"/>
          <w:sz w:val="24"/>
        </w:rPr>
        <w:t xml:space="preserve">224.</w:t>
      </w:r>
    </w:p>
    <w:p>
      <w:pPr>
        <w:pStyle w:val="BodyText"/>
        <w:spacing w:lineRule="auto" w:line="360" w:before="0" w:after="80"/>
      </w:pPr>
      <w:r>
        <w:rPr>
          <w:rFonts w:ascii="Times New Roman" w:hAnsi="Times New Roman" w:cs="Times New Roman"/>
          <w:sz w:val="24"/>
        </w:rPr>
        <w:t xml:space="preserve">The APTOS-pretrained Swin-T backbone was fine-tuned on IDRiD using a stratified 70/15/15 split (318 train, 68 validation, 69 test). Training used AdamW (LR=1</w:t>
      </w:r>
      <m:oMath>
        <m:r>
          <m:rPr>
            <m:sty m:val="p"/>
          </m:rPr>
          <m:t>×</m:t>
        </m:r>
      </m:oMath>
      <w:r>
        <w:rPr>
          <w:rFonts w:ascii="Times New Roman" w:hAnsi="Times New Roman" w:cs="Times New Roman"/>
          <w:sz w:val="24"/>
        </w:rPr>
        <w:t xml:space="preserve">10</w:t>
      </w:r>
      <m:oMath>
        <m:sSup>
          <m:e>
            <m:r>
              <m:t>​</m:t>
            </m:r>
          </m:e>
          <m:sup>
            <m:r>
              <m:rPr>
                <m:sty m:val="p"/>
              </m:rPr>
              <m:t>−</m:t>
            </m:r>
            <m:r>
              <m:t>4</m:t>
            </m:r>
          </m:sup>
        </m:sSup>
      </m:oMath>
      <w:r>
        <w:rPr>
          <w:rFonts w:ascii="Times New Roman" w:hAnsi="Times New Roman" w:cs="Times New Roman"/>
          <w:sz w:val="24"/>
        </w:rPr>
        <w:t xml:space="preserve">,</w:t>
      </w:r>
      <w:r>
        <w:rPr>
          <w:rFonts w:ascii="Times New Roman" w:hAnsi="Times New Roman" w:cs="Times New Roman"/>
          <w:sz w:val="24"/>
        </w:rPr>
        <w:t xml:space="preserve"> </w:t>
      </w:r>
      <m:oMath>
        <m:r>
          <m:t>λ</m:t>
        </m:r>
      </m:oMath>
      <w:r>
        <w:rPr>
          <w:rFonts w:ascii="Times New Roman" w:hAnsi="Times New Roman" w:cs="Times New Roman"/>
          <w:sz w:val="24"/>
        </w:rPr>
        <w:t xml:space="preserve">=10</w:t>
      </w:r>
      <m:oMath>
        <m:sSup>
          <m:e>
            <m:r>
              <m:t>​</m:t>
            </m:r>
          </m:e>
          <m:sup>
            <m:r>
              <m:rPr>
                <m:sty m:val="p"/>
              </m:rPr>
              <m:t>−</m:t>
            </m:r>
            <m:r>
              <m:t>2</m:t>
            </m:r>
          </m:sup>
        </m:sSup>
      </m:oMath>
      <w:r>
        <w:rPr>
          <w:rFonts w:ascii="Times New Roman" w:hAnsi="Times New Roman" w:cs="Times New Roman"/>
          <w:sz w:val="24"/>
        </w:rPr>
        <w:t xml:space="preserve">), Focal Loss (</w:t>
      </w:r>
      <m:oMath>
        <m:r>
          <m:t>γ</m:t>
        </m:r>
      </m:oMath>
      <w:r>
        <w:rPr>
          <w:rFonts w:ascii="Times New Roman" w:hAnsi="Times New Roman" w:cs="Times New Roman"/>
          <w:sz w:val="24"/>
        </w:rPr>
        <w:t xml:space="preserve">=2.0) with class-weighted sampling, and data augmentation. Training ran for 50 epochs with cosine LR decay and early stopping (patience=15); the best checkpoint at epoch 37 achieved 61.76% validation accuracy. On the held-out test set, the fine-tuned model achieved 73.91% overall accuracy, with per-class accuracies: No DR 100.0% (20/20), Moderate 66.7% (16/24), Severe 53.8% (7/13), and Proliferative DR 88.9% (8/9). A total of 51 correctly classified test images were used for the 7-method XAI fidelity evaluation.</w:t>
      </w:r>
    </w:p>
    <w:p>
      <w:pPr>
        <w:pStyle w:val="BodyText"/>
        <w:spacing w:lineRule="auto" w:line="360" w:before="0" w:after="80"/>
      </w:pPr>
      <w:r>
        <w:rPr>
          <w:rFonts w:ascii="Times New Roman" w:hAnsi="Times New Roman" w:cs="Times New Roman"/>
          <w:sz w:val="24"/>
        </w:rPr>
        <w:t xml:space="preserve">The IDRiD fidelity evaluation replicates the exact experimental protocol described in Algorithm </w:t>
      </w:r>
      <w:hyperlink w:anchor="alg:fidelity">
        <w:r>
          <w:rPr>
            <w:rStyle w:val="Hyperlink"/>
          </w:rPr>
          <w:t xml:space="preserve">[alg:fidelity]</w:t>
        </w:r>
      </w:hyperlink>
      <w:r>
        <w:rPr>
          <w:rFonts w:ascii="Times New Roman" w:hAnsi="Times New Roman" w:cs="Times New Roman"/>
          <w:sz w:val="24"/>
        </w:rPr>
        <w:t xml:space="preserve"> </w:t>
      </w:r>
      <w:r>
        <w:rPr>
          <w:rFonts w:ascii="Times New Roman" w:hAnsi="Times New Roman" w:cs="Times New Roman"/>
          <w:sz w:val="24"/>
        </w:rPr>
        <w:t xml:space="preserve">and results are presented in Section </w:t>
      </w:r>
      <w:hyperlink w:anchor="sec:idrid_results">
        <w:r>
          <w:rPr>
            <w:rStyle w:val="Hyperlink"/>
          </w:rPr>
          <w:t xml:space="preserve">4.5</w:t>
        </w:r>
      </w:hyperlink>
      <w:r>
        <w:rPr>
          <w:rFonts w:ascii="Times New Roman" w:hAnsi="Times New Roman" w:cs="Times New Roman"/>
          <w:sz w:val="24"/>
        </w:rPr>
        <w:t xml:space="preserve">.</w:t>
      </w:r>
    </w:p>
    <w:bookmarkEnd w:id="37"/>
    <w:bookmarkEnd w:id="38"/>
    <w:bookmarkStart w:id="115" w:name="sec:results"/>
    <w:p>
      <w:pPr>
        <w:pStyle w:val="Heading1"/>
        <w:spacing w:lineRule="auto" w:line="288" w:before="0" w:after="80"/>
        <w:jc w:val="left"/>
      </w:pPr>
      <w:r>
        <w:rPr>
          <w:rFonts w:ascii="Times New Roman" w:hAnsi="Times New Roman" w:cs="Times New Roman"/>
          <w:sz w:val="28"/>
        </w:rPr>
        <w:t xml:space="preserve">Results</w:t>
      </w:r>
    </w:p>
    <w:bookmarkStart w:id="43" w:name="Xcc2a9b768e18212b7d4d70b979228cea9e6e93b"/>
    <w:p>
      <w:pPr>
        <w:pStyle w:val="Heading2"/>
        <w:spacing w:lineRule="auto" w:line="288" w:before="0" w:after="80"/>
        <w:jc w:val="left"/>
      </w:pPr>
      <w:r>
        <w:rPr>
          <w:rFonts w:ascii="Times New Roman" w:hAnsi="Times New Roman" w:cs="Times New Roman"/>
          <w:sz w:val="26"/>
        </w:rPr>
        <w:t xml:space="preserve">Training Dynamics and Generalisation Analysis</w:t>
      </w:r>
    </w:p>
    <w:p>
      <w:pPr>
        <w:pStyle w:val="FirstParagraph"/>
        <w:spacing w:lineRule="auto" w:line="360" w:before="0" w:after="80"/>
      </w:pPr>
      <w:r>
        <w:rPr>
          <w:rFonts w:ascii="Times New Roman" w:hAnsi="Times New Roman" w:cs="Times New Roman"/>
          <w:sz w:val="24"/>
        </w:rPr>
        <w:t xml:space="preserve">The training dynamics were evaluated over 30 epochs on the APTOS 2019 dataset. The training loss exhibited a rapid, monotonic decay, descending from an initial value of 0.85 to a stable plateau of 0.15 by epoch 25. The validation loss decreased from 0.6 to a trough of 0.764. The absence of terminal divergence in the validation loss curve indicates that the model did not suffer from overfitting. The validation accuracy peaked at 79.05% (Figure </w:t>
      </w:r>
      <w:hyperlink w:anchor="fig:training">
        <w:r>
          <w:rPr>
            <w:rStyle w:val="Hyperlink"/>
          </w:rPr>
          <w:t xml:space="preserve">3</w:t>
        </w:r>
      </w:hyperlink>
      <w:r>
        <w:rPr>
          <w:rFonts w:ascii="Times New Roman" w:hAnsi="Times New Roman" w:cs="Times New Roman"/>
          <w:sz w:val="24"/>
        </w:rPr>
        <w:t xml:space="preserve">), maintaining a consistent 7–8% generalization gap.</w:t>
      </w:r>
    </w:p>
    <w:bookmarkStart w:id="42" w:name="fig:training"/>
    <w:p>
      <w:pPr>
        <w:pStyle w:val="CaptionedFigure"/>
        <w:spacing w:lineRule="auto" w:line="240" w:before="0" w:after="80"/>
      </w:pPr>
      <w:r>
        <w:rPr>
          <w:rFonts w:ascii="Times New Roman" w:hAnsi="Times New Roman" w:cs="Times New Roman"/>
          <w:sz w:val="20"/>
        </w:rPr>
        <w:drawing>
          <wp:inline>
            <wp:extent cx="5334000" cy="2127411"/>
            <wp:effectExtent b="0" l="0" r="0" t="0"/>
            <wp:docPr descr="" title="" id="40" name="Picture"/>
            <a:graphic>
              <a:graphicData uri="http://schemas.openxmlformats.org/drawingml/2006/picture">
                <pic:pic>
                  <pic:nvPicPr>
                    <pic:cNvPr descr="training_history.png" id="41" name="Picture"/>
                    <pic:cNvPicPr>
                      <a:picLocks noChangeArrowheads="1" noChangeAspect="1"/>
                    </pic:cNvPicPr>
                  </pic:nvPicPr>
                  <pic:blipFill>
                    <a:blip r:embed="rId39"/>
                    <a:stretch>
                      <a:fillRect/>
                    </a:stretch>
                  </pic:blipFill>
                  <pic:spPr bwMode="auto">
                    <a:xfrm>
                      <a:off x="0" y="0"/>
                      <a:ext cx="5334000" cy="2127411"/>
                    </a:xfrm>
                    <a:prstGeom prst="rect">
                      <a:avLst/>
                    </a:prstGeom>
                    <a:noFill/>
                    <a:ln w="9525">
                      <a:noFill/>
                      <a:headEnd/>
                      <a:tailEnd/>
                    </a:ln>
                  </pic:spPr>
                </pic:pic>
              </a:graphicData>
            </a:graphic>
          </wp:inline>
        </w:drawing>
      </w:r>
    </w:p>
    <w:p>
      <w:pPr>
        <w:pStyle w:val="ImageCaption"/>
        <w:spacing w:lineRule="auto" w:line="240" w:before="0" w:after="80"/>
      </w:pPr>
      <w:r>
        <w:rPr>
          <w:rFonts w:ascii="Times New Roman" w:hAnsi="Times New Roman" w:cs="Times New Roman"/>
          <w:sz w:val="20"/>
        </w:rPr>
        <w:t xml:space="preserve">Training and validation loss/accuracy curves over 30 epochs.</w:t>
      </w:r>
    </w:p>
    <w:bookmarkEnd w:id="42"/>
    <w:bookmarkEnd w:id="43"/>
    <w:bookmarkStart w:id="48" w:name="Xc4257280c00d7c3d2172822ed32882faf16e693"/>
    <w:p>
      <w:pPr>
        <w:pStyle w:val="Heading2"/>
        <w:spacing w:lineRule="auto" w:line="288" w:before="0" w:after="80"/>
        <w:jc w:val="left"/>
      </w:pPr>
      <w:r>
        <w:rPr>
          <w:rFonts w:ascii="Times New Roman" w:hAnsi="Times New Roman" w:cs="Times New Roman"/>
          <w:sz w:val="26"/>
        </w:rPr>
        <w:t xml:space="preserve">Quantitative Performance on Held-Out Test Set</w:t>
      </w:r>
    </w:p>
    <w:p>
      <w:pPr>
        <w:pStyle w:val="FirstParagraph"/>
        <w:spacing w:lineRule="auto" w:line="360" w:before="0" w:after="80"/>
      </w:pPr>
      <w:r>
        <w:rPr>
          <w:rFonts w:ascii="Times New Roman" w:hAnsi="Times New Roman" w:cs="Times New Roman"/>
          <w:sz w:val="24"/>
        </w:rPr>
        <w:t xml:space="preserve">The final model was evaluated on a completely held-out test set of 550 images. The results are summarised in Tables </w:t>
      </w:r>
      <w:hyperlink w:anchor="tab:overall">
        <w:r>
          <w:rPr>
            <w:rStyle w:val="Hyperlink"/>
          </w:rPr>
          <w:t xml:space="preserve">3</w:t>
        </w:r>
      </w:hyperlink>
      <w:r>
        <w:rPr>
          <w:rFonts w:ascii="Times New Roman" w:hAnsi="Times New Roman" w:cs="Times New Roman"/>
          <w:sz w:val="24"/>
        </w:rPr>
        <w:t xml:space="preserve"> </w:t>
      </w:r>
      <w:r>
        <w:rPr>
          <w:rFonts w:ascii="Times New Roman" w:hAnsi="Times New Roman" w:cs="Times New Roman"/>
          <w:sz w:val="24"/>
        </w:rPr>
        <w:t xml:space="preserve">and </w:t>
      </w:r>
      <w:hyperlink w:anchor="tab:perclass">
        <w:r>
          <w:rPr>
            <w:rStyle w:val="Hyperlink"/>
          </w:rPr>
          <w:t xml:space="preserve">4</w:t>
        </w:r>
      </w:hyperlink>
      <w:r>
        <w:rPr>
          <w:rFonts w:ascii="Times New Roman" w:hAnsi="Times New Roman" w:cs="Times New Roman"/>
          <w:sz w:val="24"/>
        </w:rPr>
        <w:t xml:space="preserve">.</w:t>
      </w:r>
    </w:p>
    <w:p>
      <w:pPr>
        <w:pStyle w:val="BodyText"/>
      </w:pPr>
      <w:bookmarkStart w:id="44" w:name="tab:overall"/>
      <w:bookmarkEnd w:id="44"/>
    </w:p>
    <w:bookmarkStart w:id="45" w:name="tab:overall"/>
    <w:p>
      <w:pPr>
        <w:pStyle w:val="TableCaption"/>
        <w:spacing w:lineRule="auto" w:line="240" w:before="0" w:after="80"/>
      </w:pPr>
      <w:r>
        <w:rPr>
          <w:rFonts w:ascii="Times New Roman" w:hAnsi="Times New Roman" w:cs="Times New Roman"/>
          <w:sz w:val="20"/>
        </w:rPr>
        <w:t xml:space="preserve">Overall Performance Summary on Test Set (n=550).</w:t>
      </w:r>
    </w:p>
    <w:tbl>
      <w:tblPr>
        <w:tblStyle w:val="Table"/>
        <w:tblW w:type="auto" w:w="0"/>
        <w:jc w:val="center"/>
        <w:tblLook w:firstRow="1" w:lastRow="0" w:firstColumn="0" w:lastColumn="0" w:noHBand="0" w:noVBand="0" w:val="0020"/>
        <w:tblCaption w:val="Overall Performance Summary on Test Set (n=550)."/>
      </w:tblPr>
      <w:tblGrid>
        <w:gridCol w:w="2640"/>
        <w:gridCol w:w="2640"/>
        <w:gridCol w:w="2640"/>
      </w:tblGrid>
      <w:tr>
        <w:trPr>
          <w:tblHeader w:val="on"/>
        </w:trPr>
        <w:tc>
          <w:tcPr/>
          <w:p>
            <w:pPr>
              <w:pStyle w:val="Compact"/>
              <w:spacing w:line="240" w:lineRule="auto" w:before="40" w:after="40"/>
              <w:jc w:val="center"/>
            </w:pPr>
            <w:r>
              <w:rPr>
                <w:rFonts w:ascii="Times New Roman" w:hAnsi="Times New Roman" w:cs="Times New Roman"/>
                <w:sz w:val="18"/>
              </w:rPr>
              <w:t xml:space="preserve">Metric</w:t>
            </w:r>
          </w:p>
        </w:tc>
        <w:tc>
          <w:tcPr/>
          <w:p>
            <w:pPr>
              <w:pStyle w:val="Compact"/>
              <w:spacing w:line="240" w:lineRule="auto" w:before="40" w:after="40"/>
              <w:jc w:val="center"/>
            </w:pPr>
            <w:r>
              <w:rPr>
                <w:rFonts w:ascii="Times New Roman" w:hAnsi="Times New Roman" w:cs="Times New Roman"/>
                <w:sz w:val="18"/>
              </w:rPr>
              <w:t xml:space="preserve">Score</w:t>
            </w:r>
          </w:p>
        </w:tc>
        <w:tc>
          <w:tcPr/>
          <w:p>
            <w:pPr>
              <w:pStyle w:val="Compact"/>
              <w:spacing w:line="240" w:lineRule="auto" w:before="40" w:after="40"/>
              <w:jc w:val="center"/>
            </w:pPr>
            <w:r>
              <w:rPr>
                <w:rFonts w:ascii="Times New Roman" w:hAnsi="Times New Roman" w:cs="Times New Roman"/>
                <w:sz w:val="18"/>
              </w:rPr>
              <w:t xml:space="preserve">Interpretation</w:t>
            </w:r>
          </w:p>
        </w:tc>
      </w:tr>
      <w:tr>
        <w:tc>
          <w:tcPr/>
          <w:p>
            <w:pPr>
              <w:pStyle w:val="Compact"/>
              <w:spacing w:line="240" w:lineRule="auto" w:before="40" w:after="40"/>
              <w:jc w:val="center"/>
            </w:pPr>
            <w:r>
              <w:rPr>
                <w:rFonts w:ascii="Times New Roman" w:hAnsi="Times New Roman" w:cs="Times New Roman"/>
                <w:sz w:val="18"/>
              </w:rPr>
              <w:t xml:space="preserve">Test QWK</w:t>
            </w:r>
          </w:p>
        </w:tc>
        <w:tc>
          <w:tcPr/>
          <w:p>
            <w:pPr>
              <w:pStyle w:val="Compact"/>
              <w:spacing w:line="240" w:lineRule="auto" w:before="40" w:after="40"/>
              <w:jc w:val="center"/>
            </w:pPr>
            <w:r>
              <w:rPr>
                <w:rFonts w:ascii="Times New Roman" w:hAnsi="Times New Roman" w:cs="Times New Roman"/>
                <w:sz w:val="18"/>
              </w:rPr>
              <w:t xml:space="preserve">0.8588</w:t>
            </w:r>
          </w:p>
        </w:tc>
        <w:tc>
          <w:tcPr/>
          <w:p>
            <w:pPr>
              <w:pStyle w:val="Compact"/>
              <w:spacing w:line="240" w:lineRule="auto" w:before="40" w:after="40"/>
              <w:jc w:val="center"/>
            </w:pPr>
            <w:r>
              <w:rPr>
                <w:rFonts w:ascii="Times New Roman" w:hAnsi="Times New Roman" w:cs="Times New Roman"/>
                <w:sz w:val="18"/>
              </w:rPr>
              <w:t xml:space="preserve">Almost Perfect Agreement</w:t>
            </w:r>
          </w:p>
        </w:tc>
      </w:tr>
      <w:tr>
        <w:tc>
          <w:tcPr/>
          <w:p>
            <w:pPr>
              <w:pStyle w:val="Compact"/>
              <w:spacing w:line="240" w:lineRule="auto" w:before="40" w:after="40"/>
              <w:jc w:val="center"/>
            </w:pPr>
            <w:r>
              <w:rPr>
                <w:rFonts w:ascii="Times New Roman" w:hAnsi="Times New Roman" w:cs="Times New Roman"/>
                <w:sz w:val="18"/>
              </w:rPr>
              <w:t xml:space="preserve">Test Accuracy</w:t>
            </w:r>
          </w:p>
        </w:tc>
        <w:tc>
          <w:tcPr/>
          <w:p>
            <w:pPr>
              <w:pStyle w:val="Compact"/>
              <w:spacing w:line="240" w:lineRule="auto" w:before="40" w:after="40"/>
              <w:jc w:val="center"/>
            </w:pPr>
            <w:r>
              <w:rPr>
                <w:rFonts w:ascii="Times New Roman" w:hAnsi="Times New Roman" w:cs="Times New Roman"/>
                <w:sz w:val="18"/>
              </w:rPr>
              <w:t xml:space="preserve">77.45%</w:t>
            </w:r>
          </w:p>
        </w:tc>
        <w:tc>
          <w:tcPr/>
          <w:p>
            <w:pPr>
              <w:pStyle w:val="Compact"/>
              <w:spacing w:line="240" w:lineRule="auto" w:before="40" w:after="40"/>
              <w:jc w:val="center"/>
            </w:pPr>
            <w:r>
              <w:rPr>
                <w:rFonts w:ascii="Times New Roman" w:hAnsi="Times New Roman" w:cs="Times New Roman"/>
                <w:sz w:val="18"/>
              </w:rPr>
              <w:t xml:space="preserve">High diagnostic reliability</w:t>
            </w:r>
          </w:p>
        </w:tc>
      </w:tr>
      <w:tr>
        <w:tc>
          <w:tcPr/>
          <w:p>
            <w:pPr>
              <w:pStyle w:val="Compact"/>
              <w:spacing w:line="240" w:lineRule="auto" w:before="40" w:after="40"/>
              <w:jc w:val="center"/>
            </w:pPr>
            <w:r>
              <w:rPr>
                <w:rFonts w:ascii="Times New Roman" w:hAnsi="Times New Roman" w:cs="Times New Roman"/>
                <w:sz w:val="18"/>
              </w:rPr>
              <w:t xml:space="preserve">Macro AUC-ROC</w:t>
            </w:r>
          </w:p>
        </w:tc>
        <w:tc>
          <w:tcPr/>
          <w:p>
            <w:pPr>
              <w:pStyle w:val="Compact"/>
              <w:spacing w:line="240" w:lineRule="auto" w:before="40" w:after="40"/>
              <w:jc w:val="center"/>
            </w:pPr>
            <w:r>
              <w:rPr>
                <w:rFonts w:ascii="Times New Roman" w:hAnsi="Times New Roman" w:cs="Times New Roman"/>
                <w:sz w:val="18"/>
              </w:rPr>
              <w:t xml:space="preserve">0.9302</w:t>
            </w:r>
          </w:p>
        </w:tc>
        <w:tc>
          <w:tcPr/>
          <w:p>
            <w:pPr>
              <w:pStyle w:val="Compact"/>
              <w:spacing w:line="240" w:lineRule="auto" w:before="40" w:after="40"/>
              <w:jc w:val="center"/>
            </w:pPr>
            <w:r>
              <w:rPr>
                <w:rFonts w:ascii="Times New Roman" w:hAnsi="Times New Roman" w:cs="Times New Roman"/>
                <w:sz w:val="18"/>
              </w:rPr>
              <w:t xml:space="preserve">Excellent class separation</w:t>
            </w:r>
          </w:p>
        </w:tc>
      </w:tr>
      <w:tr>
        <w:tc>
          <w:tcPr/>
          <w:p>
            <w:pPr>
              <w:pStyle w:val="Compact"/>
              <w:spacing w:line="240" w:lineRule="auto" w:before="40" w:after="40"/>
              <w:jc w:val="center"/>
            </w:pPr>
            <w:r>
              <w:rPr>
                <w:rFonts w:ascii="Times New Roman" w:hAnsi="Times New Roman" w:cs="Times New Roman"/>
                <w:sz w:val="18"/>
              </w:rPr>
              <w:t xml:space="preserve">Macro Avg F1</w:t>
            </w:r>
          </w:p>
        </w:tc>
        <w:tc>
          <w:tcPr/>
          <w:p>
            <w:pPr>
              <w:pStyle w:val="Compact"/>
              <w:spacing w:line="240" w:lineRule="auto" w:before="40" w:after="40"/>
              <w:jc w:val="center"/>
            </w:pPr>
            <w:r>
              <w:rPr>
                <w:rFonts w:ascii="Times New Roman" w:hAnsi="Times New Roman" w:cs="Times New Roman"/>
                <w:sz w:val="18"/>
              </w:rPr>
              <w:t xml:space="preserve">0.6209</w:t>
            </w:r>
          </w:p>
        </w:tc>
        <w:tc>
          <w:tcPr/>
          <w:p>
            <w:pPr>
              <w:pStyle w:val="Compact"/>
              <w:spacing w:line="240" w:lineRule="auto" w:before="40" w:after="40"/>
              <w:jc w:val="center"/>
            </w:pPr>
            <w:r>
              <w:rPr>
                <w:rFonts w:ascii="Times New Roman" w:hAnsi="Times New Roman" w:cs="Times New Roman"/>
                <w:sz w:val="18"/>
              </w:rPr>
              <w:t xml:space="preserve">Robust minority handling</w:t>
            </w:r>
          </w:p>
        </w:tc>
      </w:tr>
    </w:tbl>
    <w:bookmarkEnd w:id="45"/>
    <w:p>
      <w:pPr>
        <w:pStyle w:val="BodyText"/>
        <w:spacing w:lineRule="auto" w:line="360" w:before="0" w:after="80"/>
      </w:pPr>
      <w:r>
        <w:rPr>
          <w:rFonts w:ascii="Times New Roman" w:hAnsi="Times New Roman" w:cs="Times New Roman"/>
          <w:sz w:val="24"/>
        </w:rPr>
        <w:t xml:space="preserve">The model achieved a Quadratic Weighted Kappa (QWK) of 0.8588, significantly exceeding the target threshold of 0.75. According to standard interpretation scales </w:t>
      </w:r>
      <w:r>
        <w:rPr>
          <w:rFonts w:ascii="Times New Roman" w:hAnsi="Times New Roman" w:cs="Times New Roman"/>
          <w:sz w:val="24"/>
          <w:vertAlign w:val="superscript"/>
        </w:rPr>
        <w:t xml:space="preserve">24</w:t>
      </w:r>
      <w:r>
        <w:rPr>
          <w:rFonts w:ascii="Times New Roman" w:hAnsi="Times New Roman" w:cs="Times New Roman"/>
          <w:sz w:val="24"/>
        </w:rPr>
        <w:t xml:space="preserve">, this score reflects Almost Perfect agreement with human experts.</w:t>
      </w:r>
    </w:p>
    <w:p>
      <w:pPr>
        <w:pStyle w:val="BodyText"/>
      </w:pPr>
      <w:bookmarkStart w:id="46" w:name="tab:perclass"/>
      <w:bookmarkEnd w:id="46"/>
    </w:p>
    <w:bookmarkStart w:id="47" w:name="tab:perclass"/>
    <w:p>
      <w:pPr>
        <w:pStyle w:val="TableCaption"/>
        <w:spacing w:lineRule="auto" w:line="240" w:before="0" w:after="80"/>
      </w:pPr>
      <w:r>
        <w:rPr>
          <w:rFonts w:ascii="Times New Roman" w:hAnsi="Times New Roman" w:cs="Times New Roman"/>
          <w:sz w:val="20"/>
        </w:rPr>
        <w:t xml:space="preserve">Per-Class Classification Report on Held-Out Test Set (n=550).</w:t>
      </w:r>
    </w:p>
    <w:tbl>
      <w:tblPr>
        <w:tblStyle w:val="Table"/>
        <w:tblW w:type="auto" w:w="0"/>
        <w:jc w:val="center"/>
        <w:tblLook w:firstRow="1" w:lastRow="0" w:firstColumn="0" w:lastColumn="0" w:noHBand="0" w:noVBand="0" w:val="0020"/>
        <w:tblCaption w:val="Per-Class Classification Report on Held-Out Test Set (n=550)."/>
      </w:tblPr>
      <w:tblGrid>
        <w:gridCol w:w="1584"/>
        <w:gridCol w:w="1584"/>
        <w:gridCol w:w="1584"/>
        <w:gridCol w:w="1584"/>
        <w:gridCol w:w="1584"/>
      </w:tblGrid>
      <w:tr>
        <w:trPr>
          <w:tblHeader w:val="on"/>
        </w:trPr>
        <w:tc>
          <w:tcPr/>
          <w:p>
            <w:pPr>
              <w:pStyle w:val="Compact"/>
              <w:spacing w:line="240" w:lineRule="auto" w:before="40" w:after="40"/>
              <w:jc w:val="center"/>
            </w:pPr>
            <w:r>
              <w:rPr>
                <w:rFonts w:ascii="Times New Roman" w:hAnsi="Times New Roman" w:cs="Times New Roman"/>
                <w:sz w:val="18"/>
              </w:rPr>
              <w:t xml:space="preserve">Class</w:t>
            </w:r>
          </w:p>
        </w:tc>
        <w:tc>
          <w:tcPr/>
          <w:p>
            <w:pPr>
              <w:pStyle w:val="Compact"/>
              <w:spacing w:line="240" w:lineRule="auto" w:before="40" w:after="40"/>
              <w:jc w:val="center"/>
            </w:pPr>
            <w:r>
              <w:rPr>
                <w:rFonts w:ascii="Times New Roman" w:hAnsi="Times New Roman" w:cs="Times New Roman"/>
                <w:sz w:val="18"/>
              </w:rPr>
              <w:t xml:space="preserve">Precision</w:t>
            </w:r>
          </w:p>
        </w:tc>
        <w:tc>
          <w:tcPr/>
          <w:p>
            <w:pPr>
              <w:pStyle w:val="Compact"/>
              <w:spacing w:line="240" w:lineRule="auto" w:before="40" w:after="40"/>
              <w:jc w:val="center"/>
            </w:pPr>
            <w:r>
              <w:rPr>
                <w:rFonts w:ascii="Times New Roman" w:hAnsi="Times New Roman" w:cs="Times New Roman"/>
                <w:sz w:val="18"/>
              </w:rPr>
              <w:t xml:space="preserve">Recall</w:t>
            </w:r>
          </w:p>
        </w:tc>
        <w:tc>
          <w:tcPr/>
          <w:p>
            <w:pPr>
              <w:pStyle w:val="Compact"/>
              <w:spacing w:line="240" w:lineRule="auto" w:before="40" w:after="40"/>
              <w:jc w:val="center"/>
            </w:pPr>
            <w:r>
              <w:rPr>
                <w:rFonts w:ascii="Times New Roman" w:hAnsi="Times New Roman" w:cs="Times New Roman"/>
                <w:sz w:val="18"/>
              </w:rPr>
              <w:t xml:space="preserve">F1-Score</w:t>
            </w:r>
          </w:p>
        </w:tc>
        <w:tc>
          <w:tcPr/>
          <w:p>
            <w:pPr>
              <w:pStyle w:val="Compact"/>
              <w:spacing w:line="240" w:lineRule="auto" w:before="40" w:after="40"/>
              <w:jc w:val="center"/>
            </w:pPr>
            <w:r>
              <w:rPr>
                <w:rFonts w:ascii="Times New Roman" w:hAnsi="Times New Roman" w:cs="Times New Roman"/>
                <w:sz w:val="18"/>
              </w:rPr>
              <w:t xml:space="preserve">Support</w:t>
            </w:r>
          </w:p>
        </w:tc>
      </w:tr>
      <w:tr>
        <w:tc>
          <w:tcPr/>
          <w:p>
            <w:pPr>
              <w:pStyle w:val="Compact"/>
              <w:spacing w:line="240" w:lineRule="auto" w:before="40" w:after="40"/>
              <w:jc w:val="center"/>
            </w:pPr>
            <w:r>
              <w:rPr>
                <w:rFonts w:ascii="Times New Roman" w:hAnsi="Times New Roman" w:cs="Times New Roman"/>
                <w:sz w:val="18"/>
              </w:rPr>
              <w:t xml:space="preserve">No DR (0)</w:t>
            </w:r>
          </w:p>
        </w:tc>
        <w:tc>
          <w:tcPr/>
          <w:p>
            <w:pPr>
              <w:pStyle w:val="Compact"/>
              <w:spacing w:line="240" w:lineRule="auto" w:before="40" w:after="40"/>
              <w:jc w:val="center"/>
            </w:pPr>
            <w:r>
              <w:rPr>
                <w:rFonts w:ascii="Times New Roman" w:hAnsi="Times New Roman" w:cs="Times New Roman"/>
                <w:sz w:val="18"/>
              </w:rPr>
              <w:t xml:space="preserve">0.97</w:t>
            </w:r>
          </w:p>
        </w:tc>
        <w:tc>
          <w:tcPr/>
          <w:p>
            <w:pPr>
              <w:pStyle w:val="Compact"/>
              <w:spacing w:line="240" w:lineRule="auto" w:before="40" w:after="40"/>
              <w:jc w:val="center"/>
            </w:pPr>
            <w:r>
              <w:rPr>
                <w:rFonts w:ascii="Times New Roman" w:hAnsi="Times New Roman" w:cs="Times New Roman"/>
                <w:sz w:val="18"/>
              </w:rPr>
              <w:t xml:space="preserve">0.98</w:t>
            </w:r>
          </w:p>
        </w:tc>
        <w:tc>
          <w:tcPr/>
          <w:p>
            <w:pPr>
              <w:pStyle w:val="Compact"/>
              <w:spacing w:line="240" w:lineRule="auto" w:before="40" w:after="40"/>
              <w:jc w:val="center"/>
            </w:pPr>
            <w:r>
              <w:rPr>
                <w:rFonts w:ascii="Times New Roman" w:hAnsi="Times New Roman" w:cs="Times New Roman"/>
                <w:sz w:val="18"/>
              </w:rPr>
              <w:t xml:space="preserve">0.97</w:t>
            </w:r>
          </w:p>
        </w:tc>
        <w:tc>
          <w:tcPr/>
          <w:p>
            <w:pPr>
              <w:pStyle w:val="Compact"/>
              <w:spacing w:line="240" w:lineRule="auto" w:before="40" w:after="40"/>
              <w:jc w:val="center"/>
            </w:pPr>
            <w:r>
              <w:rPr>
                <w:rFonts w:ascii="Times New Roman" w:hAnsi="Times New Roman" w:cs="Times New Roman"/>
                <w:sz w:val="18"/>
              </w:rPr>
              <w:t xml:space="preserve">271</w:t>
            </w:r>
          </w:p>
        </w:tc>
      </w:tr>
      <w:tr>
        <w:tc>
          <w:tcPr/>
          <w:p>
            <w:pPr>
              <w:pStyle w:val="Compact"/>
              <w:spacing w:line="240" w:lineRule="auto" w:before="40" w:after="40"/>
              <w:jc w:val="center"/>
            </w:pPr>
            <w:r>
              <w:rPr>
                <w:rFonts w:ascii="Times New Roman" w:hAnsi="Times New Roman" w:cs="Times New Roman"/>
                <w:sz w:val="18"/>
              </w:rPr>
              <w:t xml:space="preserve">Mild (1)</w:t>
            </w:r>
          </w:p>
        </w:tc>
        <w:tc>
          <w:tcPr/>
          <w:p>
            <w:pPr>
              <w:pStyle w:val="Compact"/>
              <w:spacing w:line="240" w:lineRule="auto" w:before="40" w:after="40"/>
              <w:jc w:val="center"/>
            </w:pPr>
            <w:r>
              <w:rPr>
                <w:rFonts w:ascii="Times New Roman" w:hAnsi="Times New Roman" w:cs="Times New Roman"/>
                <w:sz w:val="18"/>
              </w:rPr>
              <w:t xml:space="preserve">0.48</w:t>
            </w:r>
          </w:p>
        </w:tc>
        <w:tc>
          <w:tcPr/>
          <w:p>
            <w:pPr>
              <w:pStyle w:val="Compact"/>
              <w:spacing w:line="240" w:lineRule="auto" w:before="40" w:after="40"/>
              <w:jc w:val="center"/>
            </w:pPr>
            <w:r>
              <w:rPr>
                <w:rFonts w:ascii="Times New Roman" w:hAnsi="Times New Roman" w:cs="Times New Roman"/>
                <w:sz w:val="18"/>
              </w:rPr>
              <w:t xml:space="preserve">0.38</w:t>
            </w:r>
          </w:p>
        </w:tc>
        <w:tc>
          <w:tcPr/>
          <w:p>
            <w:pPr>
              <w:pStyle w:val="Compact"/>
              <w:spacing w:line="240" w:lineRule="auto" w:before="40" w:after="40"/>
              <w:jc w:val="center"/>
            </w:pPr>
            <w:r>
              <w:rPr>
                <w:rFonts w:ascii="Times New Roman" w:hAnsi="Times New Roman" w:cs="Times New Roman"/>
                <w:sz w:val="18"/>
              </w:rPr>
              <w:t xml:space="preserve">0.43</w:t>
            </w:r>
          </w:p>
        </w:tc>
        <w:tc>
          <w:tcPr/>
          <w:p>
            <w:pPr>
              <w:pStyle w:val="Compact"/>
              <w:spacing w:line="240" w:lineRule="auto" w:before="40" w:after="40"/>
              <w:jc w:val="center"/>
            </w:pPr>
            <w:r>
              <w:rPr>
                <w:rFonts w:ascii="Times New Roman" w:hAnsi="Times New Roman" w:cs="Times New Roman"/>
                <w:sz w:val="18"/>
              </w:rPr>
              <w:t xml:space="preserve">56</w:t>
            </w:r>
          </w:p>
        </w:tc>
      </w:tr>
      <w:tr>
        <w:tc>
          <w:tcPr/>
          <w:p>
            <w:pPr>
              <w:pStyle w:val="Compact"/>
              <w:spacing w:line="240" w:lineRule="auto" w:before="40" w:after="40"/>
              <w:jc w:val="center"/>
            </w:pPr>
            <w:r>
              <w:rPr>
                <w:rFonts w:ascii="Times New Roman" w:hAnsi="Times New Roman" w:cs="Times New Roman"/>
                <w:sz w:val="18"/>
              </w:rPr>
              <w:t xml:space="preserve">Moderate (2)</w:t>
            </w:r>
          </w:p>
        </w:tc>
        <w:tc>
          <w:tcPr/>
          <w:p>
            <w:pPr>
              <w:pStyle w:val="Compact"/>
              <w:spacing w:line="240" w:lineRule="auto" w:before="40" w:after="40"/>
              <w:jc w:val="center"/>
            </w:pPr>
            <w:r>
              <w:rPr>
                <w:rFonts w:ascii="Times New Roman" w:hAnsi="Times New Roman" w:cs="Times New Roman"/>
                <w:sz w:val="18"/>
              </w:rPr>
              <w:t xml:space="preserve">0.81</w:t>
            </w:r>
          </w:p>
        </w:tc>
        <w:tc>
          <w:tcPr/>
          <w:p>
            <w:pPr>
              <w:pStyle w:val="Compact"/>
              <w:spacing w:line="240" w:lineRule="auto" w:before="40" w:after="40"/>
              <w:jc w:val="center"/>
            </w:pPr>
            <w:r>
              <w:rPr>
                <w:rFonts w:ascii="Times New Roman" w:hAnsi="Times New Roman" w:cs="Times New Roman"/>
                <w:sz w:val="18"/>
              </w:rPr>
              <w:t xml:space="preserve">0.75</w:t>
            </w:r>
          </w:p>
        </w:tc>
        <w:tc>
          <w:tcPr/>
          <w:p>
            <w:pPr>
              <w:pStyle w:val="Compact"/>
              <w:spacing w:line="240" w:lineRule="auto" w:before="40" w:after="40"/>
              <w:jc w:val="center"/>
            </w:pPr>
            <w:r>
              <w:rPr>
                <w:rFonts w:ascii="Times New Roman" w:hAnsi="Times New Roman" w:cs="Times New Roman"/>
                <w:sz w:val="18"/>
              </w:rPr>
              <w:t xml:space="preserve">0.78</w:t>
            </w:r>
          </w:p>
        </w:tc>
        <w:tc>
          <w:tcPr/>
          <w:p>
            <w:pPr>
              <w:pStyle w:val="Compact"/>
              <w:spacing w:line="240" w:lineRule="auto" w:before="40" w:after="40"/>
              <w:jc w:val="center"/>
            </w:pPr>
            <w:r>
              <w:rPr>
                <w:rFonts w:ascii="Times New Roman" w:hAnsi="Times New Roman" w:cs="Times New Roman"/>
                <w:sz w:val="18"/>
              </w:rPr>
              <w:t xml:space="preserve">150</w:t>
            </w:r>
          </w:p>
        </w:tc>
      </w:tr>
      <w:tr>
        <w:tc>
          <w:tcPr/>
          <w:p>
            <w:pPr>
              <w:pStyle w:val="Compact"/>
              <w:spacing w:line="240" w:lineRule="auto" w:before="40" w:after="40"/>
              <w:jc w:val="center"/>
            </w:pPr>
            <w:r>
              <w:rPr>
                <w:rFonts w:ascii="Times New Roman" w:hAnsi="Times New Roman" w:cs="Times New Roman"/>
                <w:sz w:val="18"/>
              </w:rPr>
              <w:t xml:space="preserve">Severe (3)</w:t>
            </w:r>
          </w:p>
        </w:tc>
        <w:tc>
          <w:tcPr/>
          <w:p>
            <w:pPr>
              <w:pStyle w:val="Compact"/>
              <w:spacing w:line="240" w:lineRule="auto" w:before="40" w:after="40"/>
              <w:jc w:val="center"/>
            </w:pPr>
            <w:r>
              <w:rPr>
                <w:rFonts w:ascii="Times New Roman" w:hAnsi="Times New Roman" w:cs="Times New Roman"/>
                <w:sz w:val="18"/>
              </w:rPr>
              <w:t xml:space="preserve">0.53</w:t>
            </w:r>
          </w:p>
        </w:tc>
        <w:tc>
          <w:tcPr/>
          <w:p>
            <w:pPr>
              <w:pStyle w:val="Compact"/>
              <w:spacing w:line="240" w:lineRule="auto" w:before="40" w:after="40"/>
              <w:jc w:val="center"/>
            </w:pPr>
            <w:r>
              <w:rPr>
                <w:rFonts w:ascii="Times New Roman" w:hAnsi="Times New Roman" w:cs="Times New Roman"/>
                <w:sz w:val="18"/>
              </w:rPr>
              <w:t xml:space="preserve">0.38</w:t>
            </w:r>
          </w:p>
        </w:tc>
        <w:tc>
          <w:tcPr/>
          <w:p>
            <w:pPr>
              <w:pStyle w:val="Compact"/>
              <w:spacing w:line="240" w:lineRule="auto" w:before="40" w:after="40"/>
              <w:jc w:val="center"/>
            </w:pPr>
            <w:r>
              <w:rPr>
                <w:rFonts w:ascii="Times New Roman" w:hAnsi="Times New Roman" w:cs="Times New Roman"/>
                <w:sz w:val="18"/>
              </w:rPr>
              <w:t xml:space="preserve">0.44</w:t>
            </w:r>
          </w:p>
        </w:tc>
        <w:tc>
          <w:tcPr/>
          <w:p>
            <w:pPr>
              <w:pStyle w:val="Compact"/>
              <w:spacing w:line="240" w:lineRule="auto" w:before="40" w:after="40"/>
              <w:jc w:val="center"/>
            </w:pPr>
            <w:r>
              <w:rPr>
                <w:rFonts w:ascii="Times New Roman" w:hAnsi="Times New Roman" w:cs="Times New Roman"/>
                <w:sz w:val="18"/>
              </w:rPr>
              <w:t xml:space="preserve">29</w:t>
            </w:r>
          </w:p>
        </w:tc>
      </w:tr>
      <w:tr>
        <w:tc>
          <w:tcPr/>
          <w:p>
            <w:pPr>
              <w:pStyle w:val="Compact"/>
              <w:spacing w:line="240" w:lineRule="auto" w:before="40" w:after="40"/>
              <w:jc w:val="center"/>
            </w:pPr>
            <w:r>
              <w:rPr>
                <w:rFonts w:ascii="Times New Roman" w:hAnsi="Times New Roman" w:cs="Times New Roman"/>
                <w:sz w:val="18"/>
              </w:rPr>
              <w:t xml:space="preserve">Proliferative DR (4)</w:t>
            </w:r>
          </w:p>
        </w:tc>
        <w:tc>
          <w:tcPr/>
          <w:p>
            <w:pPr>
              <w:pStyle w:val="Compact"/>
              <w:spacing w:line="240" w:lineRule="auto" w:before="40" w:after="40"/>
              <w:jc w:val="center"/>
            </w:pPr>
            <w:r>
              <w:rPr>
                <w:rFonts w:ascii="Times New Roman" w:hAnsi="Times New Roman" w:cs="Times New Roman"/>
                <w:sz w:val="18"/>
              </w:rPr>
              <w:t xml:space="preserve">0.64</w:t>
            </w:r>
          </w:p>
        </w:tc>
        <w:tc>
          <w:tcPr/>
          <w:p>
            <w:pPr>
              <w:pStyle w:val="Compact"/>
              <w:spacing w:line="240" w:lineRule="auto" w:before="40" w:after="40"/>
              <w:jc w:val="center"/>
            </w:pPr>
            <w:r>
              <w:rPr>
                <w:rFonts w:ascii="Times New Roman" w:hAnsi="Times New Roman" w:cs="Times New Roman"/>
                <w:sz w:val="18"/>
              </w:rPr>
              <w:t xml:space="preserve">0.58</w:t>
            </w:r>
          </w:p>
        </w:tc>
        <w:tc>
          <w:tcPr/>
          <w:p>
            <w:pPr>
              <w:pStyle w:val="Compact"/>
              <w:spacing w:line="240" w:lineRule="auto" w:before="40" w:after="40"/>
              <w:jc w:val="center"/>
            </w:pPr>
            <w:r>
              <w:rPr>
                <w:rFonts w:ascii="Times New Roman" w:hAnsi="Times New Roman" w:cs="Times New Roman"/>
                <w:sz w:val="18"/>
              </w:rPr>
              <w:t xml:space="preserve">0.61</w:t>
            </w:r>
          </w:p>
        </w:tc>
        <w:tc>
          <w:tcPr/>
          <w:p>
            <w:pPr>
              <w:pStyle w:val="Compact"/>
              <w:spacing w:line="240" w:lineRule="auto" w:before="40" w:after="40"/>
              <w:jc w:val="center"/>
            </w:pPr>
            <w:r>
              <w:rPr>
                <w:rFonts w:ascii="Times New Roman" w:hAnsi="Times New Roman" w:cs="Times New Roman"/>
                <w:sz w:val="18"/>
              </w:rPr>
              <w:t xml:space="preserve">44</w:t>
            </w:r>
          </w:p>
        </w:tc>
      </w:tr>
      <w:tr>
        <w:tc>
          <w:tcPr/>
          <w:p>
            <w:pPr>
              <w:pStyle w:val="Compact"/>
              <w:spacing w:line="240" w:lineRule="auto" w:before="40" w:after="40"/>
              <w:jc w:val="center"/>
            </w:pPr>
            <w:r>
              <w:rPr>
                <w:rFonts w:ascii="Times New Roman" w:hAnsi="Times New Roman" w:cs="Times New Roman"/>
                <w:sz w:val="18"/>
              </w:rPr>
              <w:t xml:space="preserve">Weighted Avg</w:t>
            </w:r>
          </w:p>
        </w:tc>
        <w:tc>
          <w:tcPr/>
          <w:p>
            <w:pPr>
              <w:pStyle w:val="Compact"/>
              <w:spacing w:line="240" w:lineRule="auto" w:before="40" w:after="40"/>
              <w:jc w:val="center"/>
            </w:pPr>
            <w:r>
              <w:rPr>
                <w:rFonts w:ascii="Times New Roman" w:hAnsi="Times New Roman" w:cs="Times New Roman"/>
                <w:sz w:val="18"/>
              </w:rPr>
              <w:t xml:space="preserve">0.81</w:t>
            </w:r>
          </w:p>
        </w:tc>
        <w:tc>
          <w:tcPr/>
          <w:p>
            <w:pPr>
              <w:pStyle w:val="Compact"/>
              <w:spacing w:line="240" w:lineRule="auto" w:before="40" w:after="40"/>
              <w:jc w:val="center"/>
            </w:pPr>
            <w:r>
              <w:rPr>
                <w:rFonts w:ascii="Times New Roman" w:hAnsi="Times New Roman" w:cs="Times New Roman"/>
                <w:sz w:val="18"/>
              </w:rPr>
              <w:t xml:space="preserve">0.77</w:t>
            </w:r>
          </w:p>
        </w:tc>
        <w:tc>
          <w:tcPr/>
          <w:p>
            <w:pPr>
              <w:pStyle w:val="Compact"/>
              <w:spacing w:line="240" w:lineRule="auto" w:before="40" w:after="40"/>
              <w:jc w:val="center"/>
            </w:pPr>
            <w:r>
              <w:rPr>
                <w:rFonts w:ascii="Times New Roman" w:hAnsi="Times New Roman" w:cs="Times New Roman"/>
                <w:sz w:val="18"/>
              </w:rPr>
              <w:t xml:space="preserve">0.78</w:t>
            </w:r>
          </w:p>
        </w:tc>
        <w:tc>
          <w:tcPr/>
          <w:p>
            <w:pPr>
              <w:pStyle w:val="Compact"/>
              <w:spacing w:line="240" w:lineRule="auto" w:before="40" w:after="40"/>
              <w:jc w:val="center"/>
            </w:pPr>
            <w:r>
              <w:rPr>
                <w:rFonts w:ascii="Times New Roman" w:hAnsi="Times New Roman" w:cs="Times New Roman"/>
                <w:sz w:val="18"/>
              </w:rPr>
              <w:t xml:space="preserve">550</w:t>
            </w:r>
          </w:p>
        </w:tc>
      </w:tr>
      <w:tr>
        <w:tc>
          <w:tcPr/>
          <w:p>
            <w:pPr>
              <w:pStyle w:val="Compact"/>
              <w:spacing w:line="240" w:lineRule="auto" w:before="40" w:after="40"/>
              <w:jc w:val="center"/>
            </w:pPr>
            <w:r>
              <w:rPr>
                <w:rFonts w:ascii="Times New Roman" w:hAnsi="Times New Roman" w:cs="Times New Roman"/>
                <w:sz w:val="18"/>
              </w:rPr>
              <w:t xml:space="preserve">Macro Avg</w:t>
            </w:r>
          </w:p>
        </w:tc>
        <w:tc>
          <w:tcPr/>
          <w:p>
            <w:pPr>
              <w:pStyle w:val="Compact"/>
              <w:spacing w:line="240" w:lineRule="auto" w:before="40" w:after="40"/>
              <w:jc w:val="center"/>
            </w:pPr>
            <w:r>
              <w:rPr>
                <w:rFonts w:ascii="Times New Roman" w:hAnsi="Times New Roman" w:cs="Times New Roman"/>
                <w:sz w:val="18"/>
              </w:rPr>
              <w:t xml:space="preserve">0.69</w:t>
            </w:r>
          </w:p>
        </w:tc>
        <w:tc>
          <w:tcPr/>
          <w:p>
            <w:pPr>
              <w:pStyle w:val="Compact"/>
              <w:spacing w:line="240" w:lineRule="auto" w:before="40" w:after="40"/>
              <w:jc w:val="center"/>
            </w:pPr>
            <w:r>
              <w:rPr>
                <w:rFonts w:ascii="Times New Roman" w:hAnsi="Times New Roman" w:cs="Times New Roman"/>
                <w:sz w:val="18"/>
              </w:rPr>
              <w:t xml:space="preserve">0.61</w:t>
            </w:r>
          </w:p>
        </w:tc>
        <w:tc>
          <w:tcPr/>
          <w:p>
            <w:pPr>
              <w:pStyle w:val="Compact"/>
              <w:spacing w:line="240" w:lineRule="auto" w:before="40" w:after="40"/>
              <w:jc w:val="center"/>
            </w:pPr>
            <w:r>
              <w:rPr>
                <w:rFonts w:ascii="Times New Roman" w:hAnsi="Times New Roman" w:cs="Times New Roman"/>
                <w:sz w:val="18"/>
              </w:rPr>
              <w:t xml:space="preserve">0.65</w:t>
            </w:r>
          </w:p>
        </w:tc>
        <w:tc>
          <w:tcPr/>
          <w:p>
            <w:pPr>
              <w:pStyle w:val="Compact"/>
              <w:spacing w:line="240" w:lineRule="auto" w:before="40" w:after="40"/>
              <w:jc w:val="center"/>
            </w:pPr>
            <w:r>
              <w:rPr>
                <w:rFonts w:ascii="Times New Roman" w:hAnsi="Times New Roman" w:cs="Times New Roman"/>
                <w:sz w:val="18"/>
              </w:rPr>
              <w:t xml:space="preserve">550</w:t>
            </w:r>
          </w:p>
        </w:tc>
      </w:tr>
    </w:tbl>
    <w:bookmarkEnd w:id="47"/>
    <w:bookmarkEnd w:id="48"/>
    <w:bookmarkStart w:id="53" w:name="X4fd9f77773a4fe13fe66e006a028fc134e767c1"/>
    <w:p>
      <w:pPr>
        <w:pStyle w:val="Heading2"/>
        <w:spacing w:lineRule="auto" w:line="288" w:before="0" w:after="80"/>
        <w:jc w:val="left"/>
      </w:pPr>
      <w:r>
        <w:rPr>
          <w:rFonts w:ascii="Times New Roman" w:hAnsi="Times New Roman" w:cs="Times New Roman"/>
          <w:sz w:val="26"/>
        </w:rPr>
        <w:t xml:space="preserve">Class-Wise Performance and Confusion Matrix Analysis</w:t>
      </w:r>
    </w:p>
    <w:p>
      <w:pPr>
        <w:pStyle w:val="FirstParagraph"/>
        <w:spacing w:lineRule="auto" w:line="360" w:before="0" w:after="80"/>
      </w:pPr>
      <w:r>
        <w:rPr>
          <w:rFonts w:ascii="Times New Roman" w:hAnsi="Times New Roman" w:cs="Times New Roman"/>
          <w:sz w:val="24"/>
        </w:rPr>
        <w:t xml:space="preserve">The per-class analysis reveals a critical success for clinical screening: a Recall of 0.98 for the No DR class. Misclassifications were primarily restricted to adjacent severity grades. As visualised in Figure </w:t>
      </w:r>
      <w:hyperlink w:anchor="fig:confusion">
        <w:r>
          <w:rPr>
            <w:rStyle w:val="Hyperlink"/>
          </w:rPr>
          <w:t xml:space="preserve">4</w:t>
        </w:r>
      </w:hyperlink>
      <w:r>
        <w:rPr>
          <w:rFonts w:ascii="Times New Roman" w:hAnsi="Times New Roman" w:cs="Times New Roman"/>
          <w:sz w:val="24"/>
        </w:rPr>
        <w:t xml:space="preserve">, the model produced zero large-magnitude errors.</w:t>
      </w:r>
    </w:p>
    <w:bookmarkStart w:id="52" w:name="fig:confusion"/>
    <w:p>
      <w:pPr>
        <w:pStyle w:val="CaptionedFigure"/>
        <w:spacing w:lineRule="auto" w:line="240" w:before="0" w:after="80"/>
      </w:pPr>
      <w:r>
        <w:rPr>
          <w:rFonts w:ascii="Times New Roman" w:hAnsi="Times New Roman" w:cs="Times New Roman"/>
          <w:sz w:val="20"/>
        </w:rPr>
        <w:drawing>
          <wp:inline>
            <wp:extent cx="3924821" cy="3624197"/>
            <wp:effectExtent b="0" l="0" r="0" t="0"/>
            <wp:docPr descr="" title="" id="50" name="Picture"/>
            <a:graphic>
              <a:graphicData uri="http://schemas.openxmlformats.org/drawingml/2006/picture">
                <pic:pic>
                  <pic:nvPicPr>
                    <pic:cNvPr descr="confusion_matrix.png" id="51" name="Picture"/>
                    <pic:cNvPicPr>
                      <a:picLocks noChangeArrowheads="1" noChangeAspect="1"/>
                    </pic:cNvPicPr>
                  </pic:nvPicPr>
                  <pic:blipFill>
                    <a:blip r:embed="rId49"/>
                    <a:stretch>
                      <a:fillRect/>
                    </a:stretch>
                  </pic:blipFill>
                  <pic:spPr bwMode="auto">
                    <a:xfrm>
                      <a:off x="0" y="0"/>
                      <a:ext cx="3924821" cy="3624197"/>
                    </a:xfrm>
                    <a:prstGeom prst="rect">
                      <a:avLst/>
                    </a:prstGeom>
                    <a:noFill/>
                    <a:ln w="9525">
                      <a:noFill/>
                      <a:headEnd/>
                      <a:tailEnd/>
                    </a:ln>
                  </pic:spPr>
                </pic:pic>
              </a:graphicData>
            </a:graphic>
          </wp:inline>
        </w:drawing>
      </w:r>
    </w:p>
    <w:p>
      <w:pPr>
        <w:pStyle w:val="ImageCaption"/>
        <w:spacing w:lineRule="auto" w:line="240" w:before="0" w:after="80"/>
      </w:pPr>
      <w:r>
        <w:rPr>
          <w:rFonts w:ascii="Times New Roman" w:hAnsi="Times New Roman" w:cs="Times New Roman"/>
          <w:sz w:val="20"/>
        </w:rPr>
        <w:t xml:space="preserve">Confusion matrix on the held-out test set (n=550).</w:t>
      </w:r>
    </w:p>
    <w:bookmarkEnd w:id="52"/>
    <w:bookmarkEnd w:id="53"/>
    <w:bookmarkStart w:id="79" w:name="X191271e6458d7db5de8ab3b232b5da6de992265"/>
    <w:p>
      <w:pPr>
        <w:pStyle w:val="Heading2"/>
        <w:spacing w:lineRule="auto" w:line="288" w:before="0" w:after="80"/>
        <w:jc w:val="left"/>
      </w:pPr>
      <w:r>
        <w:rPr>
          <w:rFonts w:ascii="Times New Roman" w:hAnsi="Times New Roman" w:cs="Times New Roman"/>
          <w:sz w:val="26"/>
        </w:rPr>
        <w:t xml:space="preserve">Fidelity Metrics: Quantitative Validation of Faithfulness</w:t>
      </w:r>
    </w:p>
    <w:p>
      <w:pPr>
        <w:pStyle w:val="FirstParagraph"/>
        <w:spacing w:lineRule="auto" w:line="360" w:before="0" w:after="80"/>
      </w:pPr>
      <w:r>
        <w:rPr>
          <w:rFonts w:ascii="Times New Roman" w:hAnsi="Times New Roman" w:cs="Times New Roman"/>
          <w:sz w:val="24"/>
        </w:rPr>
        <w:t xml:space="preserve">The quantitative comparison across methods is presented in Table </w:t>
      </w:r>
      <w:hyperlink w:anchor="tab:fidelity">
        <w:r>
          <w:rPr>
            <w:rStyle w:val="Hyperlink"/>
          </w:rPr>
          <w:t xml:space="preserve">5</w:t>
        </w:r>
      </w:hyperlink>
      <w:r>
        <w:rPr>
          <w:rFonts w:ascii="Times New Roman" w:hAnsi="Times New Roman" w:cs="Times New Roman"/>
          <w:sz w:val="24"/>
        </w:rPr>
        <w:t xml:space="preserve">. The Deletion and Insertion AUC values are reported as mean</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standard deviation across all 550 test images.</w:t>
      </w:r>
    </w:p>
    <w:p>
      <w:pPr>
        <w:pStyle w:val="BodyText"/>
      </w:pPr>
      <w:bookmarkStart w:id="54" w:name="tab:fidelity"/>
      <w:bookmarkEnd w:id="54"/>
    </w:p>
    <w:bookmarkStart w:id="55" w:name="tab:fidelity"/>
    <w:p>
      <w:pPr>
        <w:pStyle w:val="TableCaption"/>
        <w:spacing w:lineRule="auto" w:line="240" w:before="0" w:after="80"/>
      </w:pPr>
      <w:r>
        <w:rPr>
          <w:rFonts w:ascii="Times New Roman" w:hAnsi="Times New Roman" w:cs="Times New Roman"/>
          <w:sz w:val="20"/>
        </w:rPr>
        <w:t xml:space="preserve">Multi-tiered Fidelity Comparison on the full APTOS test set (n=550). Values are mean</w:t>
      </w:r>
      <w:r>
        <w:rPr>
          <w:rFonts w:ascii="Times New Roman" w:hAnsi="Times New Roman" w:cs="Times New Roman"/>
          <w:sz w:val="20"/>
        </w:rPr>
        <w:t xml:space="preserve"> </w:t>
      </w:r>
      <m:oMath>
        <m:r>
          <m:rPr>
            <m:sty m:val="p"/>
          </m:rPr>
          <m:t>±</m:t>
        </m:r>
      </m:oMath>
      <w:r>
        <w:rPr>
          <w:rFonts w:ascii="Times New Roman" w:hAnsi="Times New Roman" w:cs="Times New Roman"/>
          <w:sz w:val="20"/>
        </w:rPr>
        <w:t xml:space="preserve"> </w:t>
      </w:r>
      <w:r>
        <w:rPr>
          <w:rFonts w:ascii="Times New Roman" w:hAnsi="Times New Roman" w:cs="Times New Roman"/>
          <w:sz w:val="20"/>
        </w:rPr>
        <w:t xml:space="preserve">standard deviation. Lower Deletion AUC and higher Insertion AUC indicate better faithfulness.</w:t>
      </w:r>
    </w:p>
    <w:tbl>
      <w:tblPr>
        <w:tblStyle w:val="Table"/>
        <w:tblW w:type="auto" w:w="0"/>
        <w:jc w:val="center"/>
        <w:tblLook w:firstRow="1" w:lastRow="0" w:firstColumn="0" w:lastColumn="0" w:noHBand="0" w:noVBand="0" w:val="0020"/>
        <w:tblCaption w:val="Multi-tiered Fidelity Comparison on the full APTOS test set (n=550). Values are mean \pm standard deviation. Lower Deletion AUC and higher Insertion AUC indicate better faithfulness."/>
      </w:tblPr>
      <w:tblGrid>
        <w:gridCol w:w="2640"/>
        <w:gridCol w:w="2640"/>
        <w:gridCol w:w="2640"/>
      </w:tblGrid>
      <w:tr>
        <w:trPr>
          <w:tblHeader w:val="on"/>
        </w:trPr>
        <w:tc>
          <w:tcPr/>
          <w:p>
            <w:pPr>
              <w:pStyle w:val="Compact"/>
              <w:spacing w:line="240" w:lineRule="auto" w:before="40" w:after="40"/>
              <w:jc w:val="center"/>
            </w:pPr>
            <w:r>
              <w:rPr>
                <w:rFonts w:ascii="Times New Roman" w:hAnsi="Times New Roman" w:cs="Times New Roman"/>
                <w:sz w:val="18"/>
              </w:rPr>
              <w:t xml:space="preserve">Method</w:t>
            </w:r>
          </w:p>
        </w:tc>
        <w:tc>
          <w:tcPr/>
          <w:p>
            <w:pPr>
              <w:pStyle w:val="Compact"/>
              <w:spacing w:line="240" w:lineRule="auto" w:before="40" w:after="40"/>
              <w:jc w:val="center"/>
            </w:pPr>
            <w:r>
              <w:rPr>
                <w:rFonts w:ascii="Times New Roman" w:hAnsi="Times New Roman" w:cs="Times New Roman"/>
                <w:sz w:val="18"/>
              </w:rPr>
              <w:t xml:space="preserve">Deletion AUC</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SD</w:t>
            </w:r>
          </w:p>
        </w:tc>
        <w:tc>
          <w:tcPr/>
          <w:p>
            <w:pPr>
              <w:pStyle w:val="Compact"/>
              <w:spacing w:line="240" w:lineRule="auto" w:before="40" w:after="40"/>
              <w:jc w:val="center"/>
            </w:pPr>
            <w:r>
              <w:rPr>
                <w:rFonts w:ascii="Times New Roman" w:hAnsi="Times New Roman" w:cs="Times New Roman"/>
                <w:sz w:val="18"/>
              </w:rPr>
              <w:t xml:space="preserve">Insertion AUC</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SD</w:t>
            </w:r>
          </w:p>
        </w:tc>
      </w:tr>
      <w:tr>
        <w:tc>
          <w:tcPr/>
          <w:p>
            <w:pPr>
              <w:pStyle w:val="Compact"/>
              <w:spacing w:line="240" w:lineRule="auto" w:before="40" w:after="40"/>
              <w:jc w:val="center"/>
            </w:pPr>
            <w:r>
              <w:rPr>
                <w:rFonts w:ascii="Times New Roman" w:hAnsi="Times New Roman" w:cs="Times New Roman"/>
                <w:sz w:val="18"/>
              </w:rPr>
              <w:t xml:space="preserve">Random Baseline</w:t>
            </w:r>
          </w:p>
        </w:tc>
        <w:tc>
          <w:tcPr/>
          <w:p>
            <w:pPr>
              <w:pStyle w:val="Compact"/>
              <w:spacing w:line="240" w:lineRule="auto" w:before="40" w:after="40"/>
              <w:jc w:val="center"/>
            </w:pPr>
            <w:r>
              <w:rPr>
                <w:rFonts w:ascii="Times New Roman" w:hAnsi="Times New Roman" w:cs="Times New Roman"/>
                <w:sz w:val="18"/>
              </w:rPr>
              <w:t xml:space="preserve">0.5533</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0.178</w:t>
            </w:r>
          </w:p>
        </w:tc>
        <w:tc>
          <w:tcPr/>
          <w:p>
            <w:pPr>
              <w:pStyle w:val="Compact"/>
              <w:spacing w:line="240" w:lineRule="auto" w:before="40" w:after="40"/>
              <w:jc w:val="center"/>
            </w:pPr>
            <w:r>
              <w:rPr>
                <w:rFonts w:ascii="Times New Roman" w:hAnsi="Times New Roman" w:cs="Times New Roman"/>
                <w:sz w:val="18"/>
              </w:rPr>
              <w:t xml:space="preserve">0.5037</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0.177</w:t>
            </w:r>
          </w:p>
        </w:tc>
      </w:tr>
      <w:tr>
        <w:tc>
          <w:tcPr/>
          <w:p>
            <w:pPr>
              <w:pStyle w:val="Compact"/>
              <w:spacing w:line="240" w:lineRule="auto" w:before="40" w:after="40"/>
              <w:jc w:val="center"/>
            </w:pPr>
            <w:r>
              <w:rPr>
                <w:rFonts w:ascii="Times New Roman" w:hAnsi="Times New Roman" w:cs="Times New Roman"/>
                <w:sz w:val="18"/>
              </w:rPr>
              <w:t xml:space="preserve">Grad-CAM</w:t>
            </w:r>
          </w:p>
        </w:tc>
        <w:tc>
          <w:tcPr/>
          <w:p>
            <w:pPr>
              <w:pStyle w:val="Compact"/>
              <w:spacing w:line="240" w:lineRule="auto" w:before="40" w:after="40"/>
              <w:jc w:val="center"/>
            </w:pPr>
            <w:r>
              <w:rPr>
                <w:rFonts w:ascii="Times New Roman" w:hAnsi="Times New Roman" w:cs="Times New Roman"/>
                <w:sz w:val="18"/>
              </w:rPr>
              <w:t xml:space="preserve">0.4832</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0.200</w:t>
            </w:r>
          </w:p>
        </w:tc>
        <w:tc>
          <w:tcPr/>
          <w:p>
            <w:pPr>
              <w:pStyle w:val="Compact"/>
              <w:spacing w:line="240" w:lineRule="auto" w:before="40" w:after="40"/>
              <w:jc w:val="center"/>
            </w:pPr>
            <w:r>
              <w:rPr>
                <w:rFonts w:ascii="Times New Roman" w:hAnsi="Times New Roman" w:cs="Times New Roman"/>
                <w:sz w:val="18"/>
              </w:rPr>
              <w:t xml:space="preserve">0.5979</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0.178</w:t>
            </w:r>
          </w:p>
        </w:tc>
      </w:tr>
      <w:tr>
        <w:tc>
          <w:tcPr/>
          <w:p>
            <w:pPr>
              <w:pStyle w:val="Compact"/>
              <w:spacing w:line="240" w:lineRule="auto" w:before="40" w:after="40"/>
              <w:jc w:val="center"/>
            </w:pPr>
            <w:r>
              <w:rPr>
                <w:rFonts w:ascii="Times New Roman" w:hAnsi="Times New Roman" w:cs="Times New Roman"/>
                <w:sz w:val="18"/>
              </w:rPr>
              <w:t xml:space="preserve">RISE</w:t>
            </w:r>
          </w:p>
        </w:tc>
        <w:tc>
          <w:tcPr/>
          <w:p>
            <w:pPr>
              <w:pStyle w:val="Compact"/>
              <w:spacing w:line="240" w:lineRule="auto" w:before="40" w:after="40"/>
              <w:jc w:val="center"/>
            </w:pPr>
            <w:r>
              <w:rPr>
                <w:rFonts w:ascii="Times New Roman" w:hAnsi="Times New Roman" w:cs="Times New Roman"/>
                <w:sz w:val="18"/>
              </w:rPr>
              <w:t xml:space="preserve">0.3966</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0.198</w:t>
            </w:r>
          </w:p>
        </w:tc>
        <w:tc>
          <w:tcPr/>
          <w:p>
            <w:pPr>
              <w:pStyle w:val="Compact"/>
              <w:spacing w:line="240" w:lineRule="auto" w:before="40" w:after="40"/>
              <w:jc w:val="center"/>
            </w:pPr>
            <w:r>
              <w:rPr>
                <w:rFonts w:ascii="Times New Roman" w:hAnsi="Times New Roman" w:cs="Times New Roman"/>
                <w:sz w:val="18"/>
              </w:rPr>
              <w:t xml:space="preserve">0.6545</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0.171</w:t>
            </w:r>
          </w:p>
        </w:tc>
      </w:tr>
      <w:tr>
        <w:tc>
          <w:tcPr/>
          <w:p>
            <w:pPr>
              <w:pStyle w:val="Compact"/>
              <w:spacing w:line="240" w:lineRule="auto" w:before="40" w:after="40"/>
              <w:jc w:val="center"/>
            </w:pPr>
            <w:r>
              <w:rPr>
                <w:rFonts w:ascii="Times New Roman" w:hAnsi="Times New Roman" w:cs="Times New Roman"/>
                <w:sz w:val="18"/>
              </w:rPr>
              <w:t xml:space="preserve">SHAP</w:t>
            </w:r>
          </w:p>
        </w:tc>
        <w:tc>
          <w:tcPr/>
          <w:p>
            <w:pPr>
              <w:pStyle w:val="Compact"/>
              <w:spacing w:line="240" w:lineRule="auto" w:before="40" w:after="40"/>
              <w:jc w:val="center"/>
            </w:pPr>
            <w:r>
              <w:rPr>
                <w:rFonts w:ascii="Times New Roman" w:hAnsi="Times New Roman" w:cs="Times New Roman"/>
                <w:sz w:val="18"/>
              </w:rPr>
              <w:t xml:space="preserve">0.5385</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0.197</w:t>
            </w:r>
          </w:p>
        </w:tc>
        <w:tc>
          <w:tcPr/>
          <w:p>
            <w:pPr>
              <w:pStyle w:val="Compact"/>
              <w:spacing w:line="240" w:lineRule="auto" w:before="40" w:after="40"/>
              <w:jc w:val="center"/>
            </w:pPr>
            <w:r>
              <w:rPr>
                <w:rFonts w:ascii="Times New Roman" w:hAnsi="Times New Roman" w:cs="Times New Roman"/>
                <w:sz w:val="18"/>
              </w:rPr>
              <w:t xml:space="preserve">0.5193</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0.216</w:t>
            </w:r>
          </w:p>
        </w:tc>
      </w:tr>
      <w:tr>
        <w:tc>
          <w:tcPr/>
          <w:p>
            <w:pPr>
              <w:pStyle w:val="Compact"/>
              <w:spacing w:line="240" w:lineRule="auto" w:before="40" w:after="40"/>
              <w:jc w:val="center"/>
            </w:pPr>
            <w:r>
              <w:rPr>
                <w:rFonts w:ascii="Times New Roman" w:hAnsi="Times New Roman" w:cs="Times New Roman"/>
                <w:sz w:val="18"/>
              </w:rPr>
              <w:t xml:space="preserve">Integrated Gradients</w:t>
            </w:r>
          </w:p>
        </w:tc>
        <w:tc>
          <w:tcPr/>
          <w:p>
            <w:pPr>
              <w:pStyle w:val="Compact"/>
              <w:spacing w:line="240" w:lineRule="auto" w:before="40" w:after="40"/>
              <w:jc w:val="center"/>
            </w:pPr>
            <w:r>
              <w:rPr>
                <w:rFonts w:ascii="Times New Roman" w:hAnsi="Times New Roman" w:cs="Times New Roman"/>
                <w:sz w:val="18"/>
              </w:rPr>
              <w:t xml:space="preserve">0.5691</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0.195</w:t>
            </w:r>
          </w:p>
        </w:tc>
        <w:tc>
          <w:tcPr/>
          <w:p>
            <w:pPr>
              <w:pStyle w:val="Compact"/>
              <w:spacing w:line="240" w:lineRule="auto" w:before="40" w:after="40"/>
              <w:jc w:val="center"/>
            </w:pPr>
            <w:r>
              <w:rPr>
                <w:rFonts w:ascii="Times New Roman" w:hAnsi="Times New Roman" w:cs="Times New Roman"/>
                <w:sz w:val="18"/>
              </w:rPr>
              <w:t xml:space="preserve">0.4880</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0.213</w:t>
            </w:r>
          </w:p>
        </w:tc>
      </w:tr>
      <w:tr>
        <w:tc>
          <w:tcPr/>
          <w:p>
            <w:pPr>
              <w:pStyle w:val="Compact"/>
              <w:spacing w:line="240" w:lineRule="auto" w:before="40" w:after="40"/>
              <w:jc w:val="center"/>
            </w:pPr>
            <w:r>
              <w:rPr>
                <w:rFonts w:ascii="Times New Roman" w:hAnsi="Times New Roman" w:cs="Times New Roman"/>
                <w:sz w:val="18"/>
              </w:rPr>
              <w:t xml:space="preserve">Attention Rollout</w:t>
            </w:r>
          </w:p>
        </w:tc>
        <w:tc>
          <w:tcPr/>
          <w:p>
            <w:pPr>
              <w:pStyle w:val="Compact"/>
              <w:spacing w:line="240" w:lineRule="auto" w:before="40" w:after="40"/>
              <w:jc w:val="center"/>
            </w:pPr>
            <w:r>
              <w:rPr>
                <w:rFonts w:ascii="Times New Roman" w:hAnsi="Times New Roman" w:cs="Times New Roman"/>
                <w:sz w:val="18"/>
              </w:rPr>
              <w:t xml:space="preserve">0.5727</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0.211</w:t>
            </w:r>
          </w:p>
        </w:tc>
        <w:tc>
          <w:tcPr/>
          <w:p>
            <w:pPr>
              <w:pStyle w:val="Compact"/>
              <w:spacing w:line="240" w:lineRule="auto" w:before="40" w:after="40"/>
              <w:jc w:val="center"/>
            </w:pPr>
            <w:r>
              <w:rPr>
                <w:rFonts w:ascii="Times New Roman" w:hAnsi="Times New Roman" w:cs="Times New Roman"/>
                <w:sz w:val="18"/>
              </w:rPr>
              <w:t xml:space="preserve">0.5341</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0.173</w:t>
            </w:r>
          </w:p>
        </w:tc>
      </w:tr>
      <w:tr>
        <w:tc>
          <w:tcPr/>
          <w:p>
            <w:pPr>
              <w:pStyle w:val="Compact"/>
              <w:spacing w:line="240" w:lineRule="auto" w:before="40" w:after="40"/>
              <w:jc w:val="center"/>
            </w:pPr>
            <w:r>
              <w:rPr>
                <w:rFonts w:ascii="Times New Roman" w:hAnsi="Times New Roman" w:cs="Times New Roman"/>
                <w:sz w:val="18"/>
              </w:rPr>
              <w:t xml:space="preserve">Standard LIME</w:t>
            </w:r>
          </w:p>
        </w:tc>
        <w:tc>
          <w:tcPr/>
          <w:p>
            <w:pPr>
              <w:pStyle w:val="Compact"/>
              <w:spacing w:line="240" w:lineRule="auto" w:before="40" w:after="40"/>
              <w:jc w:val="center"/>
            </w:pPr>
            <w:r>
              <w:rPr>
                <w:rFonts w:ascii="Times New Roman" w:hAnsi="Times New Roman" w:cs="Times New Roman"/>
                <w:sz w:val="18"/>
              </w:rPr>
              <w:t xml:space="preserve">0.3412</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0.172</w:t>
            </w:r>
          </w:p>
        </w:tc>
        <w:tc>
          <w:tcPr/>
          <w:p>
            <w:pPr>
              <w:pStyle w:val="Compact"/>
              <w:spacing w:line="240" w:lineRule="auto" w:before="40" w:after="40"/>
              <w:jc w:val="center"/>
            </w:pPr>
            <w:r>
              <w:rPr>
                <w:rFonts w:ascii="Times New Roman" w:hAnsi="Times New Roman" w:cs="Times New Roman"/>
                <w:sz w:val="18"/>
              </w:rPr>
              <w:t xml:space="preserve">0.6506</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0.201</w:t>
            </w:r>
          </w:p>
        </w:tc>
      </w:tr>
      <w:tr>
        <w:tc>
          <w:tcPr/>
          <w:p>
            <w:pPr>
              <w:pStyle w:val="Compact"/>
              <w:spacing w:line="240" w:lineRule="auto" w:before="40" w:after="40"/>
              <w:jc w:val="center"/>
            </w:pPr>
            <w:r>
              <w:rPr>
                <w:rFonts w:ascii="Times New Roman" w:hAnsi="Times New Roman" w:cs="Times New Roman"/>
                <w:sz w:val="18"/>
              </w:rPr>
              <w:t xml:space="preserve">Guided-LIME (Ours)</w:t>
            </w:r>
          </w:p>
        </w:tc>
        <w:tc>
          <w:tcPr/>
          <w:p>
            <w:pPr>
              <w:pStyle w:val="Compact"/>
              <w:spacing w:line="240" w:lineRule="auto" w:before="40" w:after="40"/>
              <w:jc w:val="center"/>
            </w:pPr>
            <w:r>
              <w:rPr>
                <w:rFonts w:ascii="Times New Roman" w:hAnsi="Times New Roman" w:cs="Times New Roman"/>
                <w:b/>
                <w:bCs/>
                <w:sz w:val="18"/>
              </w:rPr>
              <w:t xml:space="preserve">0.3329</w:t>
            </w:r>
            <w:r>
              <w:rPr>
                <w:rFonts w:ascii="Times New Roman" w:hAnsi="Times New Roman" w:cs="Times New Roman"/>
                <w:b/>
                <w:bCs/>
                <w:sz w:val="18"/>
              </w:rPr>
              <w:t xml:space="preserve"> </w:t>
            </w:r>
            <m:oMath>
              <m:r>
                <m:rPr>
                  <m:sty m:val="p"/>
                </m:rPr>
                <m:t>±</m:t>
              </m:r>
            </m:oMath>
            <w:r>
              <w:rPr>
                <w:rFonts w:ascii="Times New Roman" w:hAnsi="Times New Roman" w:cs="Times New Roman"/>
                <w:b/>
                <w:bCs/>
                <w:sz w:val="18"/>
              </w:rPr>
              <w:t xml:space="preserve"> </w:t>
            </w:r>
            <w:r>
              <w:rPr>
                <w:rFonts w:ascii="Times New Roman" w:hAnsi="Times New Roman" w:cs="Times New Roman"/>
                <w:b/>
                <w:bCs/>
                <w:sz w:val="18"/>
              </w:rPr>
              <w:t xml:space="preserve">0.169</w:t>
            </w:r>
          </w:p>
        </w:tc>
        <w:tc>
          <w:tcPr/>
          <w:p>
            <w:pPr>
              <w:pStyle w:val="Compact"/>
              <w:spacing w:line="240" w:lineRule="auto" w:before="40" w:after="40"/>
              <w:jc w:val="center"/>
            </w:pPr>
            <w:r>
              <w:rPr>
                <w:rFonts w:ascii="Times New Roman" w:hAnsi="Times New Roman" w:cs="Times New Roman"/>
                <w:b/>
                <w:bCs/>
                <w:sz w:val="18"/>
              </w:rPr>
              <w:t xml:space="preserve">0.6517</w:t>
            </w:r>
            <w:r>
              <w:rPr>
                <w:rFonts w:ascii="Times New Roman" w:hAnsi="Times New Roman" w:cs="Times New Roman"/>
                <w:b/>
                <w:bCs/>
                <w:sz w:val="18"/>
              </w:rPr>
              <w:t xml:space="preserve"> </w:t>
            </w:r>
            <m:oMath>
              <m:r>
                <m:rPr>
                  <m:sty m:val="p"/>
                </m:rPr>
                <m:t>±</m:t>
              </m:r>
            </m:oMath>
            <w:r>
              <w:rPr>
                <w:rFonts w:ascii="Times New Roman" w:hAnsi="Times New Roman" w:cs="Times New Roman"/>
                <w:b/>
                <w:bCs/>
                <w:sz w:val="18"/>
              </w:rPr>
              <w:t xml:space="preserve"> </w:t>
            </w:r>
            <w:r>
              <w:rPr>
                <w:rFonts w:ascii="Times New Roman" w:hAnsi="Times New Roman" w:cs="Times New Roman"/>
                <w:b/>
                <w:bCs/>
                <w:sz w:val="18"/>
              </w:rPr>
              <w:t xml:space="preserve">0.198</w:t>
            </w:r>
          </w:p>
        </w:tc>
      </w:tr>
    </w:tbl>
    <w:bookmarkEnd w:id="55"/>
    <w:p>
      <w:pPr>
        <w:pStyle w:val="BodyText"/>
        <w:spacing w:lineRule="auto" w:line="360" w:before="0" w:after="80"/>
      </w:pPr>
      <w:r>
        <w:rPr>
          <w:rFonts w:ascii="Times New Roman" w:hAnsi="Times New Roman" w:cs="Times New Roman"/>
          <w:sz w:val="24"/>
        </w:rPr>
        <w:t xml:space="preserve">On the full 550-image test set, Guided-LIME achieved a Deletion AUC of 0.3329</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0.169, compared to 0.3412</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0.172 for Standard LIME, 0.4832</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0.200 for Grad-CAM, and 0.5533</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0.178 for the random baseline. The Wilcoxon signed-rank test on all 550 images rejects the null hypothesis at</w:t>
      </w:r>
      <w:r>
        <w:rPr>
          <w:rFonts w:ascii="Times New Roman" w:hAnsi="Times New Roman" w:cs="Times New Roman"/>
          <w:sz w:val="24"/>
        </w:rPr>
        <w:t xml:space="preserve"> </w:t>
      </w:r>
      <m:oMath>
        <m:r>
          <m:t>p</m:t>
        </m:r>
        <m:r>
          <m:rPr>
            <m:sty m:val="p"/>
          </m:rPr>
          <m:t>=</m:t>
        </m:r>
        <m:r>
          <m:t>5.3</m:t>
        </m:r>
        <m:r>
          <m:rPr>
            <m:sty m:val="p"/>
          </m:rPr>
          <m:t>×</m:t>
        </m:r>
        <m:sSup>
          <m:e>
            <m:r>
              <m:t>10</m:t>
            </m:r>
          </m:e>
          <m:sup>
            <m:r>
              <m:rPr>
                <m:sty m:val="p"/>
              </m:rPr>
              <m:t>−</m:t>
            </m:r>
            <m:r>
              <m:t>92</m:t>
            </m:r>
          </m:sup>
        </m:sSup>
      </m:oMath>
      <w:r>
        <w:rPr>
          <w:rFonts w:ascii="Times New Roman" w:hAnsi="Times New Roman" w:cs="Times New Roman"/>
          <w:sz w:val="24"/>
        </w:rPr>
        <w:t xml:space="preserve"> </w:t>
      </w:r>
      <w:r>
        <w:rPr>
          <w:rFonts w:ascii="Times New Roman" w:hAnsi="Times New Roman" w:cs="Times New Roman"/>
          <w:sz w:val="24"/>
        </w:rPr>
        <w:t xml:space="preserve">(Guided-LIME vs Random),</w:t>
      </w:r>
      <w:r>
        <w:rPr>
          <w:rFonts w:ascii="Times New Roman" w:hAnsi="Times New Roman" w:cs="Times New Roman"/>
          <w:sz w:val="24"/>
        </w:rPr>
        <w:t xml:space="preserve"> </w:t>
      </w:r>
      <m:oMath>
        <m:r>
          <m:t>p</m:t>
        </m:r>
        <m:r>
          <m:rPr>
            <m:sty m:val="p"/>
          </m:rPr>
          <m:t>=</m:t>
        </m:r>
        <m:r>
          <m:t>5.6</m:t>
        </m:r>
        <m:r>
          <m:rPr>
            <m:sty m:val="p"/>
          </m:rPr>
          <m:t>×</m:t>
        </m:r>
        <m:sSup>
          <m:e>
            <m:r>
              <m:t>10</m:t>
            </m:r>
          </m:e>
          <m:sup>
            <m:r>
              <m:rPr>
                <m:sty m:val="p"/>
              </m:rPr>
              <m:t>−</m:t>
            </m:r>
            <m:r>
              <m:t>25</m:t>
            </m:r>
          </m:sup>
        </m:sSup>
      </m:oMath>
      <w:r>
        <w:rPr>
          <w:rFonts w:ascii="Times New Roman" w:hAnsi="Times New Roman" w:cs="Times New Roman"/>
          <w:sz w:val="24"/>
        </w:rPr>
        <w:t xml:space="preserve"> </w:t>
      </w:r>
      <w:r>
        <w:rPr>
          <w:rFonts w:ascii="Times New Roman" w:hAnsi="Times New Roman" w:cs="Times New Roman"/>
          <w:sz w:val="24"/>
        </w:rPr>
        <w:t xml:space="preserve">(Guided-LIME vs Standard LIME), and</w:t>
      </w:r>
      <w:r>
        <w:rPr>
          <w:rFonts w:ascii="Times New Roman" w:hAnsi="Times New Roman" w:cs="Times New Roman"/>
          <w:sz w:val="24"/>
        </w:rPr>
        <w:t xml:space="preserve"> </w:t>
      </w:r>
      <m:oMath>
        <m:r>
          <m:t>p</m:t>
        </m:r>
        <m:r>
          <m:rPr>
            <m:sty m:val="p"/>
          </m:rPr>
          <m:t>=</m:t>
        </m:r>
        <m:r>
          <m:t>1.4</m:t>
        </m:r>
        <m:r>
          <m:rPr>
            <m:sty m:val="p"/>
          </m:rPr>
          <m:t>×</m:t>
        </m:r>
        <m:sSup>
          <m:e>
            <m:r>
              <m:t>10</m:t>
            </m:r>
          </m:e>
          <m:sup>
            <m:r>
              <m:rPr>
                <m:sty m:val="p"/>
              </m:rPr>
              <m:t>−</m:t>
            </m:r>
            <m:r>
              <m:t>73</m:t>
            </m:r>
          </m:sup>
        </m:sSup>
      </m:oMath>
      <w:r>
        <w:rPr>
          <w:rFonts w:ascii="Times New Roman" w:hAnsi="Times New Roman" w:cs="Times New Roman"/>
          <w:sz w:val="24"/>
        </w:rPr>
        <w:t xml:space="preserve"> </w:t>
      </w:r>
      <w:r>
        <w:rPr>
          <w:rFonts w:ascii="Times New Roman" w:hAnsi="Times New Roman" w:cs="Times New Roman"/>
          <w:sz w:val="24"/>
        </w:rPr>
        <w:t xml:space="preserve">(Guided-LIME vs Grad-CAM) on the Deletion AUC.</w:t>
      </w:r>
    </w:p>
    <w:bookmarkStart w:id="59" w:name="fig:perimage"/>
    <w:p>
      <w:pPr>
        <w:pStyle w:val="CaptionedFigure"/>
        <w:spacing w:lineRule="auto" w:line="240" w:before="0" w:after="80"/>
      </w:pPr>
      <w:r>
        <w:rPr>
          <w:rFonts w:ascii="Times New Roman" w:hAnsi="Times New Roman" w:cs="Times New Roman"/>
          <w:sz w:val="20"/>
        </w:rPr>
        <w:drawing>
          <wp:inline>
            <wp:extent cx="5334000" cy="2040342"/>
            <wp:effectExtent b="0" l="0" r="0" t="0"/>
            <wp:docPr descr="" title="" id="57" name="Picture"/>
            <a:graphic>
              <a:graphicData uri="http://schemas.openxmlformats.org/drawingml/2006/picture">
                <pic:pic>
                  <pic:nvPicPr>
                    <pic:cNvPr descr="fidelity_curves_figure7.png" id="58" name="Picture"/>
                    <pic:cNvPicPr>
                      <a:picLocks noChangeArrowheads="1" noChangeAspect="1"/>
                    </pic:cNvPicPr>
                  </pic:nvPicPr>
                  <pic:blipFill>
                    <a:blip r:embed="rId56"/>
                    <a:stretch>
                      <a:fillRect/>
                    </a:stretch>
                  </pic:blipFill>
                  <pic:spPr bwMode="auto">
                    <a:xfrm>
                      <a:off x="0" y="0"/>
                      <a:ext cx="5334000" cy="2040342"/>
                    </a:xfrm>
                    <a:prstGeom prst="rect">
                      <a:avLst/>
                    </a:prstGeom>
                    <a:noFill/>
                    <a:ln w="9525">
                      <a:noFill/>
                      <a:headEnd/>
                      <a:tailEnd/>
                    </a:ln>
                  </pic:spPr>
                </pic:pic>
              </a:graphicData>
            </a:graphic>
          </wp:inline>
        </w:drawing>
      </w:r>
    </w:p>
    <w:p>
      <w:pPr>
        <w:pStyle w:val="ImageCaption"/>
        <w:spacing w:lineRule="auto" w:line="240" w:before="0" w:after="80"/>
      </w:pPr>
      <w:r>
        <w:rPr>
          <w:rFonts w:ascii="Times New Roman" w:hAnsi="Times New Roman" w:cs="Times New Roman"/>
          <w:sz w:val="20"/>
        </w:rPr>
        <w:t xml:space="preserve">Per-image Deletion and Insertion curves for a representative image (Mild DR) comparing the four methods.</w:t>
      </w:r>
    </w:p>
    <w:bookmarkEnd w:id="59"/>
    <w:bookmarkStart w:id="63" w:name="fig:fidelity_bar"/>
    <w:p>
      <w:pPr>
        <w:pStyle w:val="CaptionedFigure"/>
        <w:spacing w:lineRule="auto" w:line="240" w:before="0" w:after="80"/>
      </w:pPr>
      <w:r>
        <w:rPr>
          <w:rFonts w:ascii="Times New Roman" w:hAnsi="Times New Roman" w:cs="Times New Roman"/>
          <w:sz w:val="20"/>
        </w:rPr>
        <w:drawing>
          <wp:inline>
            <wp:extent cx="5334000" cy="2064360"/>
            <wp:effectExtent b="0" l="0" r="0" t="0"/>
            <wp:docPr descr="" title="" id="61" name="Picture"/>
            <a:graphic>
              <a:graphicData uri="http://schemas.openxmlformats.org/drawingml/2006/picture">
                <pic:pic>
                  <pic:nvPicPr>
                    <pic:cNvPr descr="fidelity_comparison_bars_8method.png" id="62" name="Picture"/>
                    <pic:cNvPicPr>
                      <a:picLocks noChangeArrowheads="1" noChangeAspect="1"/>
                    </pic:cNvPicPr>
                  </pic:nvPicPr>
                  <pic:blipFill>
                    <a:blip r:embed="rId60"/>
                    <a:stretch>
                      <a:fillRect/>
                    </a:stretch>
                  </pic:blipFill>
                  <pic:spPr bwMode="auto">
                    <a:xfrm>
                      <a:off x="0" y="0"/>
                      <a:ext cx="5334000" cy="2064360"/>
                    </a:xfrm>
                    <a:prstGeom prst="rect">
                      <a:avLst/>
                    </a:prstGeom>
                    <a:noFill/>
                    <a:ln w="9525">
                      <a:noFill/>
                      <a:headEnd/>
                      <a:tailEnd/>
                    </a:ln>
                  </pic:spPr>
                </pic:pic>
              </a:graphicData>
            </a:graphic>
          </wp:inline>
        </w:drawing>
      </w:r>
    </w:p>
    <w:p>
      <w:pPr>
        <w:pStyle w:val="ImageCaption"/>
        <w:spacing w:lineRule="auto" w:line="240" w:before="0" w:after="80"/>
      </w:pPr>
      <w:r>
        <w:rPr>
          <w:rFonts w:ascii="Times New Roman" w:hAnsi="Times New Roman" w:cs="Times New Roman"/>
          <w:sz w:val="20"/>
        </w:rPr>
        <w:t xml:space="preserve">Comparative bar chart of Deletion and Insertion AUC across all eight methods on the full 550-image test set. Guided-LIME achieves the lowest Deletion AUC (0.3329) and the highest Insertion AUC (0.6517).</w:t>
      </w:r>
    </w:p>
    <w:bookmarkEnd w:id="63"/>
    <w:bookmarkStart w:id="78" w:name="sec:ablation"/>
    <w:p>
      <w:pPr>
        <w:pStyle w:val="Heading3"/>
        <w:spacing w:lineRule="auto" w:line="288" w:before="0" w:after="80"/>
      </w:pPr>
      <w:r>
        <w:rPr>
          <w:rFonts w:ascii="Times New Roman" w:hAnsi="Times New Roman" w:cs="Times New Roman"/>
          <w:b/>
          <w:sz w:val="24"/>
        </w:rPr>
        <w:t xml:space="preserve">Ablation Study</w:t>
      </w:r>
    </w:p>
    <w:p>
      <w:pPr>
        <w:pStyle w:val="FirstParagraph"/>
        <w:spacing w:lineRule="auto" w:line="360" w:before="0" w:after="80"/>
      </w:pPr>
      <w:r>
        <w:rPr>
          <w:rFonts w:ascii="Times New Roman" w:hAnsi="Times New Roman" w:cs="Times New Roman"/>
          <w:sz w:val="24"/>
        </w:rPr>
        <w:t xml:space="preserve">We conducted a systematic ablation study to evaluate the sensitivity of Guided-LIME to four key design choices: (1) the fusion strategy controlling the relative contribution of Grad-CAM and LIME, (2) the number of superpixels used for segmentation, (3) the number of perturbation samples drawn for the LIME surrogate model, and (4) the choice of baseline replacement value used in the Deletion test. Figure </w:t>
      </w:r>
      <w:hyperlink w:anchor="fig:ablation">
        <w:r>
          <w:rPr>
            <w:rStyle w:val="Hyperlink"/>
          </w:rPr>
          <w:t xml:space="preserve">7</w:t>
        </w:r>
      </w:hyperlink>
      <w:r>
        <w:rPr>
          <w:rFonts w:ascii="Times New Roman" w:hAnsi="Times New Roman" w:cs="Times New Roman"/>
          <w:sz w:val="24"/>
        </w:rPr>
        <w:t xml:space="preserve"> </w:t>
      </w:r>
      <w:r>
        <w:rPr>
          <w:rFonts w:ascii="Times New Roman" w:hAnsi="Times New Roman" w:cs="Times New Roman"/>
          <w:sz w:val="24"/>
        </w:rPr>
        <w:t xml:space="preserve">summarises all four ablation dimensions.</w:t>
      </w:r>
    </w:p>
    <w:bookmarkStart w:id="67" w:name="fig:ablation"/>
    <w:p>
      <w:pPr>
        <w:pStyle w:val="CaptionedFigure"/>
        <w:spacing w:lineRule="auto" w:line="240" w:before="0" w:after="80"/>
      </w:pPr>
      <w:r>
        <w:rPr>
          <w:rFonts w:ascii="Times New Roman" w:hAnsi="Times New Roman" w:cs="Times New Roman"/>
          <w:sz w:val="20"/>
        </w:rPr>
        <w:drawing>
          <wp:inline>
            <wp:extent cx="5334000" cy="3767361"/>
            <wp:effectExtent b="0" l="0" r="0" t="0"/>
            <wp:docPr descr="" title="" id="65" name="Picture"/>
            <a:graphic>
              <a:graphicData uri="http://schemas.openxmlformats.org/drawingml/2006/picture">
                <pic:pic>
                  <pic:nvPicPr>
                    <pic:cNvPr descr="ablation_results.png" id="66" name="Picture"/>
                    <pic:cNvPicPr>
                      <a:picLocks noChangeArrowheads="1" noChangeAspect="1"/>
                    </pic:cNvPicPr>
                  </pic:nvPicPr>
                  <pic:blipFill>
                    <a:blip r:embed="rId64"/>
                    <a:stretch>
                      <a:fillRect/>
                    </a:stretch>
                  </pic:blipFill>
                  <pic:spPr bwMode="auto">
                    <a:xfrm>
                      <a:off x="0" y="0"/>
                      <a:ext cx="5334000" cy="3767361"/>
                    </a:xfrm>
                    <a:prstGeom prst="rect">
                      <a:avLst/>
                    </a:prstGeom>
                    <a:noFill/>
                    <a:ln w="9525">
                      <a:noFill/>
                      <a:headEnd/>
                      <a:tailEnd/>
                    </a:ln>
                  </pic:spPr>
                </pic:pic>
              </a:graphicData>
            </a:graphic>
          </wp:inline>
        </w:drawing>
      </w:r>
    </w:p>
    <w:p>
      <w:pPr>
        <w:pStyle w:val="ImageCaption"/>
        <w:spacing w:lineRule="auto" w:line="240" w:before="0" w:after="80"/>
      </w:pPr>
      <w:r>
        <w:rPr>
          <w:rFonts w:ascii="Times New Roman" w:hAnsi="Times New Roman" w:cs="Times New Roman"/>
          <w:sz w:val="20"/>
        </w:rPr>
        <w:t xml:space="preserve">Systematic ablation study across four design dimensions: (a) superpixel count sensitivity (n=50 images), (b) perturbation sample count sensitivity (n=50), (c) baseline replacement type (n=50), and (d) fusion weight</w:t>
      </w:r>
      <w:r>
        <w:rPr>
          <w:rFonts w:ascii="Times New Roman" w:hAnsi="Times New Roman" w:cs="Times New Roman"/>
          <w:sz w:val="20"/>
        </w:rPr>
        <w:t xml:space="preserve"> </w:t>
      </w:r>
      <m:oMath>
        <m:r>
          <m:t>α</m:t>
        </m:r>
      </m:oMath>
      <w:r>
        <w:rPr>
          <w:rFonts w:ascii="Times New Roman" w:hAnsi="Times New Roman" w:cs="Times New Roman"/>
          <w:sz w:val="20"/>
        </w:rPr>
        <w:t xml:space="preserve"> </w:t>
      </w:r>
      <w:r>
        <w:rPr>
          <w:rFonts w:ascii="Times New Roman" w:hAnsi="Times New Roman" w:cs="Times New Roman"/>
          <w:sz w:val="20"/>
        </w:rPr>
        <w:t xml:space="preserve">sensitivity (n=550). Default configuration is marked with a vertical dashed line where applicable. Error bars denote</w:t>
      </w:r>
      <w:r>
        <w:rPr>
          <w:rFonts w:ascii="Times New Roman" w:hAnsi="Times New Roman" w:cs="Times New Roman"/>
          <w:sz w:val="20"/>
        </w:rPr>
        <w:t xml:space="preserve"> </w:t>
      </w:r>
      <m:oMath>
        <m:r>
          <m:rPr>
            <m:sty m:val="p"/>
          </m:rPr>
          <m:t>±</m:t>
        </m:r>
      </m:oMath>
      <w:r>
        <w:rPr>
          <w:rFonts w:ascii="Times New Roman" w:hAnsi="Times New Roman" w:cs="Times New Roman"/>
          <w:sz w:val="20"/>
        </w:rPr>
        <w:t xml:space="preserve">1 standard deviation.</w:t>
      </w:r>
    </w:p>
    <w:bookmarkEnd w:id="67"/>
    <w:bookmarkStart w:id="70" w:name="fusion-strategy."/>
    <w:p>
      <w:pPr>
        <w:pStyle w:val="Heading4"/>
        <w:spacing w:lineRule="auto" w:line="288" w:before="0" w:after="80"/>
      </w:pPr>
      <w:r>
        <w:rPr>
          <w:rFonts w:ascii="Times New Roman" w:hAnsi="Times New Roman" w:cs="Times New Roman"/>
          <w:b/>
          <w:sz w:val="24"/>
        </w:rPr>
        <w:t xml:space="preserve">Fusion Strategy.</w:t>
      </w:r>
    </w:p>
    <w:p>
      <w:pPr>
        <w:pStyle w:val="FirstParagraph"/>
        <w:spacing w:lineRule="auto" w:line="360" w:before="0" w:after="80"/>
      </w:pPr>
      <w:r>
        <w:rPr>
          <w:rFonts w:ascii="Times New Roman" w:hAnsi="Times New Roman" w:cs="Times New Roman"/>
          <w:sz w:val="24"/>
        </w:rPr>
        <w:t xml:space="preserve">The core design of Guided-LIME is the multiplicative fusion</w:t>
      </w:r>
      <w:r>
        <w:rPr>
          <w:rFonts w:ascii="Times New Roman" w:hAnsi="Times New Roman" w:cs="Times New Roman"/>
          <w:sz w:val="24"/>
        </w:rPr>
        <w:t xml:space="preserve"> </w:t>
      </w:r>
      <m:oMath>
        <m:r>
          <m:t>S</m:t>
        </m:r>
        <m:r>
          <m:rPr>
            <m:sty m:val="p"/>
          </m:rPr>
          <m:t>(</m:t>
        </m:r>
        <m:sSub>
          <m:e>
            <m:r>
              <m:t>s</m:t>
            </m:r>
          </m:e>
          <m:sub>
            <m:r>
              <m:t>i</m:t>
            </m:r>
          </m:sub>
        </m:sSub>
        <m:r>
          <m:rPr>
            <m:sty m:val="p"/>
          </m:rPr>
          <m:t>)</m:t>
        </m:r>
        <m:r>
          <m:rPr>
            <m:sty m:val="p"/>
          </m:rPr>
          <m:t>=</m:t>
        </m:r>
        <m:r>
          <m:t>L</m:t>
        </m:r>
        <m:r>
          <m:rPr>
            <m:sty m:val="p"/>
          </m:rPr>
          <m:t>(</m:t>
        </m:r>
        <m:sSub>
          <m:e>
            <m:r>
              <m:t>s</m:t>
            </m:r>
          </m:e>
          <m:sub>
            <m:r>
              <m:t>i</m:t>
            </m:r>
          </m:sub>
        </m:sSub>
        <m:r>
          <m:rPr>
            <m:sty m:val="p"/>
          </m:rPr>
          <m:t>)</m:t>
        </m:r>
        <m:r>
          <m:rPr>
            <m:sty m:val="p"/>
          </m:rPr>
          <m:t>⋅</m:t>
        </m:r>
        <m:r>
          <m:rPr>
            <m:sty m:val="p"/>
          </m:rPr>
          <m:t>(</m:t>
        </m:r>
        <m:r>
          <m:t>1</m:t>
        </m:r>
        <m:r>
          <m:rPr>
            <m:sty m:val="p"/>
          </m:rPr>
          <m:t>+</m:t>
        </m:r>
        <m:r>
          <m:t>α</m:t>
        </m:r>
        <m:r>
          <m:rPr>
            <m:sty m:val="p"/>
          </m:rPr>
          <m:t>⋅</m:t>
        </m:r>
        <m:r>
          <m:t>G</m:t>
        </m:r>
        <m:r>
          <m:rPr>
            <m:sty m:val="p"/>
          </m:rPr>
          <m:t>(</m:t>
        </m:r>
        <m:sSub>
          <m:e>
            <m:r>
              <m:t>s</m:t>
            </m:r>
          </m:e>
          <m:sub>
            <m:r>
              <m:t>i</m:t>
            </m:r>
          </m:sub>
        </m:sSub>
        <m:r>
          <m:rPr>
            <m:sty m:val="p"/>
          </m:rPr>
          <m:t>)</m:t>
        </m:r>
        <m:r>
          <m:rPr>
            <m:sty m:val="p"/>
          </m:rPr>
          <m:t>)</m:t>
        </m:r>
      </m:oMath>
      <w:r>
        <w:rPr>
          <w:rFonts w:ascii="Times New Roman" w:hAnsi="Times New Roman" w:cs="Times New Roman"/>
          <w:sz w:val="24"/>
        </w:rPr>
        <w:t xml:space="preserve">, where</w:t>
      </w:r>
      <w:r>
        <w:rPr>
          <w:rFonts w:ascii="Times New Roman" w:hAnsi="Times New Roman" w:cs="Times New Roman"/>
          <w:sz w:val="24"/>
        </w:rPr>
        <w:t xml:space="preserve"> </w:t>
      </w:r>
      <m:oMath>
        <m:r>
          <m:t>α</m:t>
        </m:r>
      </m:oMath>
      <w:r>
        <w:rPr>
          <w:rFonts w:ascii="Times New Roman" w:hAnsi="Times New Roman" w:cs="Times New Roman"/>
          <w:sz w:val="24"/>
        </w:rPr>
        <w:t xml:space="preserve"> </w:t>
      </w:r>
      <w:r>
        <w:rPr>
          <w:rFonts w:ascii="Times New Roman" w:hAnsi="Times New Roman" w:cs="Times New Roman"/>
          <w:sz w:val="24"/>
        </w:rPr>
        <w:t xml:space="preserve">controls the strength of the Grad-CAM prior. To evaluate this design, we conducted a full 550-image alpha sweep over</w:t>
      </w:r>
      <w:r>
        <w:rPr>
          <w:rFonts w:ascii="Times New Roman" w:hAnsi="Times New Roman" w:cs="Times New Roman"/>
          <w:sz w:val="24"/>
        </w:rPr>
        <w:t xml:space="preserve"> </w:t>
      </w:r>
      <m:oMath>
        <m:r>
          <m:t>α</m:t>
        </m:r>
        <m:r>
          <m:rPr>
            <m:sty m:val="p"/>
          </m:rPr>
          <m:t>∈</m:t>
        </m:r>
        <m:r>
          <m:rPr>
            <m:sty m:val="p"/>
          </m:rPr>
          <m:t>{</m:t>
        </m:r>
        <m:r>
          <m:t>0</m:t>
        </m:r>
        <m:r>
          <m:rPr>
            <m:sty m:val="p"/>
          </m:rPr>
          <m:t>,</m:t>
        </m:r>
        <m:r>
          <m:t>0.5</m:t>
        </m:r>
        <m:r>
          <m:rPr>
            <m:sty m:val="p"/>
          </m:rPr>
          <m:t>,</m:t>
        </m:r>
        <m:r>
          <m:t>1</m:t>
        </m:r>
        <m:r>
          <m:rPr>
            <m:sty m:val="p"/>
          </m:rPr>
          <m:t>,</m:t>
        </m:r>
        <m:r>
          <m:t>2</m:t>
        </m:r>
        <m:r>
          <m:rPr>
            <m:sty m:val="p"/>
          </m:rPr>
          <m:t>,</m:t>
        </m:r>
        <m:r>
          <m:t>5</m:t>
        </m:r>
        <m:r>
          <m:rPr>
            <m:sty m:val="p"/>
          </m:rPr>
          <m:t>,</m:t>
        </m:r>
        <m:r>
          <m:t>10</m:t>
        </m:r>
        <m:r>
          <m:rPr>
            <m:sty m:val="p"/>
          </m:rPr>
          <m:t>}</m:t>
        </m:r>
      </m:oMath>
      <w:r>
        <w:rPr>
          <w:rFonts w:ascii="Times New Roman" w:hAnsi="Times New Roman" w:cs="Times New Roman"/>
          <w:sz w:val="24"/>
        </w:rPr>
        <w:t xml:space="preserve"> </w:t>
      </w:r>
      <w:r>
        <w:rPr>
          <w:rFonts w:ascii="Times New Roman" w:hAnsi="Times New Roman" w:cs="Times New Roman"/>
          <w:sz w:val="24"/>
        </w:rPr>
        <w:t xml:space="preserve">(Table </w:t>
      </w:r>
      <w:hyperlink w:anchor="tab:ablation_alpha">
        <w:r>
          <w:rPr>
            <w:rStyle w:val="Hyperlink"/>
          </w:rPr>
          <w:t xml:space="preserve">6</w:t>
        </w:r>
      </w:hyperlink>
      <w:r>
        <w:rPr>
          <w:rFonts w:ascii="Times New Roman" w:hAnsi="Times New Roman" w:cs="Times New Roman"/>
          <w:sz w:val="24"/>
        </w:rPr>
        <w:t xml:space="preserve">).</w:t>
      </w:r>
    </w:p>
    <w:p>
      <w:pPr>
        <w:pStyle w:val="BodyText"/>
        <w:spacing w:lineRule="auto" w:line="360" w:before="0" w:after="80"/>
      </w:pPr>
      <w:r>
        <w:rPr>
          <w:rFonts w:ascii="Times New Roman" w:hAnsi="Times New Roman" w:cs="Times New Roman"/>
          <w:sz w:val="24"/>
        </w:rPr>
        <w:t xml:space="preserve">The results confirm that</w:t>
      </w:r>
      <w:r>
        <w:rPr>
          <w:rFonts w:ascii="Times New Roman" w:hAnsi="Times New Roman" w:cs="Times New Roman"/>
          <w:sz w:val="24"/>
        </w:rPr>
        <w:t xml:space="preserve"> </w:t>
      </w:r>
      <m:oMath>
        <m:r>
          <m:t>α</m:t>
        </m:r>
        <m:r>
          <m:rPr>
            <m:sty m:val="p"/>
          </m:rPr>
          <m:t>=</m:t>
        </m:r>
        <m:r>
          <m:t>1</m:t>
        </m:r>
      </m:oMath>
      <w:r>
        <w:rPr>
          <w:rFonts w:ascii="Times New Roman" w:hAnsi="Times New Roman" w:cs="Times New Roman"/>
          <w:sz w:val="24"/>
        </w:rPr>
        <w:t xml:space="preserve"> </w:t>
      </w:r>
      <w:r>
        <w:rPr>
          <w:rFonts w:ascii="Times New Roman" w:hAnsi="Times New Roman" w:cs="Times New Roman"/>
          <w:sz w:val="24"/>
        </w:rPr>
        <w:t xml:space="preserve">(the default Guided-LIME configuration) achieves the lowest Deletion AUC (0.3329</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0.169), providing a marginal but consistent improvement over pure LIME (</w:t>
      </w:r>
      <m:oMath>
        <m:r>
          <m:t>α</m:t>
        </m:r>
        <m:r>
          <m:rPr>
            <m:sty m:val="p"/>
          </m:rPr>
          <m:t>=</m:t>
        </m:r>
        <m:r>
          <m:t>0</m:t>
        </m:r>
      </m:oMath>
      <w:r>
        <w:rPr>
          <w:rFonts w:ascii="Times New Roman" w:hAnsi="Times New Roman" w:cs="Times New Roman"/>
          <w:sz w:val="24"/>
        </w:rPr>
        <w:t xml:space="preserve">: 0.3358</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0.169). As</w:t>
      </w:r>
      <w:r>
        <w:rPr>
          <w:rFonts w:ascii="Times New Roman" w:hAnsi="Times New Roman" w:cs="Times New Roman"/>
          <w:sz w:val="24"/>
        </w:rPr>
        <w:t xml:space="preserve"> </w:t>
      </w:r>
      <m:oMath>
        <m:r>
          <m:t>α</m:t>
        </m:r>
      </m:oMath>
      <w:r>
        <w:rPr>
          <w:rFonts w:ascii="Times New Roman" w:hAnsi="Times New Roman" w:cs="Times New Roman"/>
          <w:sz w:val="24"/>
        </w:rPr>
        <w:t xml:space="preserve"> </w:t>
      </w:r>
      <w:r>
        <w:rPr>
          <w:rFonts w:ascii="Times New Roman" w:hAnsi="Times New Roman" w:cs="Times New Roman"/>
          <w:sz w:val="24"/>
        </w:rPr>
        <w:t xml:space="preserve">increases beyond 1, the Grad-CAM prior increasingly dominates and both metrics degrade monotonically: at</w:t>
      </w:r>
      <w:r>
        <w:rPr>
          <w:rFonts w:ascii="Times New Roman" w:hAnsi="Times New Roman" w:cs="Times New Roman"/>
          <w:sz w:val="24"/>
        </w:rPr>
        <w:t xml:space="preserve"> </w:t>
      </w:r>
      <m:oMath>
        <m:r>
          <m:t>α</m:t>
        </m:r>
        <m:r>
          <m:rPr>
            <m:sty m:val="p"/>
          </m:rPr>
          <m:t>=</m:t>
        </m:r>
        <m:r>
          <m:t>10</m:t>
        </m:r>
      </m:oMath>
      <w:r>
        <w:rPr>
          <w:rFonts w:ascii="Times New Roman" w:hAnsi="Times New Roman" w:cs="Times New Roman"/>
          <w:sz w:val="24"/>
        </w:rPr>
        <w:t xml:space="preserve">, Deletion AUC rises to 0.3349 and Insertion AUC falls to 0.6454. The plateau around</w:t>
      </w:r>
      <w:r>
        <w:rPr>
          <w:rFonts w:ascii="Times New Roman" w:hAnsi="Times New Roman" w:cs="Times New Roman"/>
          <w:sz w:val="24"/>
        </w:rPr>
        <w:t xml:space="preserve"> </w:t>
      </w:r>
      <m:oMath>
        <m:r>
          <m:t>α</m:t>
        </m:r>
        <m:r>
          <m:rPr>
            <m:sty m:val="p"/>
          </m:rPr>
          <m:t>∈</m:t>
        </m:r>
        <m:r>
          <m:rPr>
            <m:sty m:val="p"/>
          </m:rPr>
          <m:t>[</m:t>
        </m:r>
        <m:r>
          <m:t>0.5</m:t>
        </m:r>
        <m:r>
          <m:rPr>
            <m:sty m:val="p"/>
          </m:rPr>
          <m:t>,</m:t>
        </m:r>
        <m:r>
          <m:t>2</m:t>
        </m:r>
        <m:r>
          <m:rPr>
            <m:sty m:val="p"/>
          </m:rPr>
          <m:t>]</m:t>
        </m:r>
      </m:oMath>
      <w:r>
        <w:rPr>
          <w:rFonts w:ascii="Times New Roman" w:hAnsi="Times New Roman" w:cs="Times New Roman"/>
          <w:sz w:val="24"/>
        </w:rPr>
        <w:t xml:space="preserve"> </w:t>
      </w:r>
      <w:r>
        <w:rPr>
          <w:rFonts w:ascii="Times New Roman" w:hAnsi="Times New Roman" w:cs="Times New Roman"/>
          <w:sz w:val="24"/>
        </w:rPr>
        <w:t xml:space="preserve">demonstrates that Guided-LIME is robust to the exact choice of</w:t>
      </w:r>
      <w:r>
        <w:rPr>
          <w:rFonts w:ascii="Times New Roman" w:hAnsi="Times New Roman" w:cs="Times New Roman"/>
          <w:sz w:val="24"/>
        </w:rPr>
        <w:t xml:space="preserve"> </w:t>
      </w:r>
      <m:oMath>
        <m:r>
          <m:t>α</m:t>
        </m:r>
      </m:oMath>
      <w:r>
        <w:rPr>
          <w:rFonts w:ascii="Times New Roman" w:hAnsi="Times New Roman" w:cs="Times New Roman"/>
          <w:sz w:val="24"/>
        </w:rPr>
        <w:t xml:space="preserve"> </w:t>
      </w:r>
      <w:r>
        <w:rPr>
          <w:rFonts w:ascii="Times New Roman" w:hAnsi="Times New Roman" w:cs="Times New Roman"/>
          <w:sz w:val="24"/>
        </w:rPr>
        <w:t xml:space="preserve">within a practical range, requiring no per-dataset tuning.</w:t>
      </w:r>
    </w:p>
    <w:p>
      <w:pPr>
        <w:pStyle w:val="BodyText"/>
      </w:pPr>
      <w:bookmarkStart w:id="68" w:name="tab:ablation_alpha"/>
      <w:bookmarkEnd w:id="68"/>
    </w:p>
    <w:bookmarkStart w:id="69" w:name="tab:ablation_alpha"/>
    <w:p>
      <w:pPr>
        <w:pStyle w:val="TableCaption"/>
        <w:spacing w:lineRule="auto" w:line="240" w:before="0" w:after="80"/>
      </w:pPr>
      <w:r>
        <w:rPr>
          <w:rFonts w:ascii="Times New Roman" w:hAnsi="Times New Roman" w:cs="Times New Roman"/>
          <w:sz w:val="20"/>
        </w:rPr>
        <w:t xml:space="preserve">Fusion weight</w:t>
      </w:r>
      <w:r>
        <w:rPr>
          <w:rFonts w:ascii="Times New Roman" w:hAnsi="Times New Roman" w:cs="Times New Roman"/>
          <w:sz w:val="20"/>
        </w:rPr>
        <w:t xml:space="preserve"> </w:t>
      </w:r>
      <m:oMath>
        <m:r>
          <m:t>α</m:t>
        </m:r>
      </m:oMath>
      <w:r>
        <w:rPr>
          <w:rFonts w:ascii="Times New Roman" w:hAnsi="Times New Roman" w:cs="Times New Roman"/>
          <w:sz w:val="20"/>
        </w:rPr>
        <w:t xml:space="preserve"> </w:t>
      </w:r>
      <w:r>
        <w:rPr>
          <w:rFonts w:ascii="Times New Roman" w:hAnsi="Times New Roman" w:cs="Times New Roman"/>
          <w:sz w:val="20"/>
        </w:rPr>
        <w:t xml:space="preserve">sensitivity on the full 550-image APTOS test set. The default configuration</w:t>
      </w:r>
      <w:r>
        <w:rPr>
          <w:rFonts w:ascii="Times New Roman" w:hAnsi="Times New Roman" w:cs="Times New Roman"/>
          <w:sz w:val="20"/>
        </w:rPr>
        <w:t xml:space="preserve"> </w:t>
      </w:r>
      <m:oMath>
        <m:r>
          <m:t>α</m:t>
        </m:r>
        <m:r>
          <m:rPr>
            <m:sty m:val="p"/>
          </m:rPr>
          <m:t>=</m:t>
        </m:r>
        <m:r>
          <m:t>1</m:t>
        </m:r>
      </m:oMath>
      <w:r>
        <w:rPr>
          <w:rFonts w:ascii="Times New Roman" w:hAnsi="Times New Roman" w:cs="Times New Roman"/>
          <w:sz w:val="20"/>
        </w:rPr>
        <w:t xml:space="preserve"> </w:t>
      </w:r>
      <w:r>
        <w:rPr>
          <w:rFonts w:ascii="Times New Roman" w:hAnsi="Times New Roman" w:cs="Times New Roman"/>
          <w:sz w:val="20"/>
        </w:rPr>
        <w:t xml:space="preserve">is highlighted.</w:t>
      </w:r>
    </w:p>
    <w:tbl>
      <w:tblPr>
        <w:tblStyle w:val="Table"/>
        <w:tblW w:type="auto" w:w="0"/>
        <w:jc w:val="center"/>
        <w:tblLook w:firstRow="1" w:lastRow="0" w:firstColumn="0" w:lastColumn="0" w:noHBand="0" w:noVBand="0" w:val="0020"/>
        <w:tblCaption w:val="Fusion weight \alpha sensitivity on the full 550-image APTOS test set. The default configuration \alpha=1 is highlighted."/>
      </w:tblPr>
      <w:tblGrid>
        <w:gridCol w:w="2640"/>
        <w:gridCol w:w="2640"/>
        <w:gridCol w:w="2640"/>
      </w:tblGrid>
      <w:tr>
        <w:trPr>
          <w:tblHeader w:val="on"/>
        </w:trPr>
        <w:tc>
          <w:tcPr/>
          <w:p>
            <w:pPr>
              <w:pStyle w:val="Compact"/>
              <w:spacing w:line="240" w:lineRule="auto" w:before="40" w:after="40"/>
              <w:jc w:val="center"/>
            </w:pPr>
            <m:oMath>
              <m:r>
                <m:t>α</m:t>
              </m:r>
            </m:oMath>
          </w:p>
        </w:tc>
        <w:tc>
          <w:tcPr/>
          <w:p>
            <w:pPr>
              <w:pStyle w:val="Compact"/>
              <w:spacing w:line="240" w:lineRule="auto" w:before="40" w:after="40"/>
              <w:jc w:val="center"/>
            </w:pPr>
            <w:r>
              <w:rPr>
                <w:rFonts w:ascii="Times New Roman" w:hAnsi="Times New Roman" w:cs="Times New Roman"/>
                <w:sz w:val="18"/>
              </w:rPr>
              <w:t xml:space="preserve">Deletion AUC</w:t>
            </w:r>
          </w:p>
        </w:tc>
        <w:tc>
          <w:tcPr/>
          <w:p>
            <w:pPr>
              <w:pStyle w:val="Compact"/>
              <w:spacing w:line="240" w:lineRule="auto" w:before="40" w:after="40"/>
              <w:jc w:val="center"/>
            </w:pPr>
            <w:r>
              <w:rPr>
                <w:rFonts w:ascii="Times New Roman" w:hAnsi="Times New Roman" w:cs="Times New Roman"/>
                <w:sz w:val="18"/>
              </w:rPr>
              <w:t xml:space="preserve">Insertion AUC</w:t>
            </w:r>
          </w:p>
        </w:tc>
      </w:tr>
      <w:tr>
        <w:tc>
          <w:tcPr/>
          <w:p>
            <w:pPr>
              <w:pStyle w:val="Compact"/>
              <w:spacing w:line="240" w:lineRule="auto" w:before="40" w:after="40"/>
              <w:jc w:val="center"/>
            </w:pPr>
            <w:r>
              <w:rPr>
                <w:rFonts w:ascii="Times New Roman" w:hAnsi="Times New Roman" w:cs="Times New Roman"/>
                <w:sz w:val="18"/>
              </w:rPr>
              <w:t xml:space="preserve">0 (Pure LIME)</w:t>
            </w:r>
          </w:p>
        </w:tc>
        <w:tc>
          <w:tcPr/>
          <w:p>
            <w:pPr>
              <w:pStyle w:val="Compact"/>
              <w:spacing w:line="240" w:lineRule="auto" w:before="40" w:after="40"/>
              <w:jc w:val="center"/>
            </w:pPr>
            <w:r>
              <w:rPr>
                <w:rFonts w:ascii="Times New Roman" w:hAnsi="Times New Roman" w:cs="Times New Roman"/>
                <w:sz w:val="18"/>
              </w:rPr>
              <w:t xml:space="preserve">0.3358</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0.169</w:t>
            </w:r>
          </w:p>
        </w:tc>
        <w:tc>
          <w:tcPr/>
          <w:p>
            <w:pPr>
              <w:pStyle w:val="Compact"/>
              <w:spacing w:line="240" w:lineRule="auto" w:before="40" w:after="40"/>
              <w:jc w:val="center"/>
            </w:pPr>
            <w:r>
              <w:rPr>
                <w:rFonts w:ascii="Times New Roman" w:hAnsi="Times New Roman" w:cs="Times New Roman"/>
                <w:sz w:val="18"/>
              </w:rPr>
              <w:t xml:space="preserve">0.6522</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0.201</w:t>
            </w:r>
          </w:p>
        </w:tc>
      </w:tr>
      <w:tr>
        <w:tc>
          <w:tcPr/>
          <w:p>
            <w:pPr>
              <w:pStyle w:val="Compact"/>
              <w:spacing w:line="240" w:lineRule="auto" w:before="40" w:after="40"/>
              <w:jc w:val="center"/>
            </w:pPr>
            <w:r>
              <w:rPr>
                <w:rFonts w:ascii="Times New Roman" w:hAnsi="Times New Roman" w:cs="Times New Roman"/>
                <w:sz w:val="18"/>
              </w:rPr>
              <w:t xml:space="preserve">0.5</w:t>
            </w:r>
          </w:p>
        </w:tc>
        <w:tc>
          <w:tcPr/>
          <w:p>
            <w:pPr>
              <w:pStyle w:val="Compact"/>
              <w:spacing w:line="240" w:lineRule="auto" w:before="40" w:after="40"/>
              <w:jc w:val="center"/>
            </w:pPr>
            <w:r>
              <w:rPr>
                <w:rFonts w:ascii="Times New Roman" w:hAnsi="Times New Roman" w:cs="Times New Roman"/>
                <w:sz w:val="18"/>
              </w:rPr>
              <w:t xml:space="preserve">0.3339</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0.169</w:t>
            </w:r>
          </w:p>
        </w:tc>
        <w:tc>
          <w:tcPr/>
          <w:p>
            <w:pPr>
              <w:pStyle w:val="Compact"/>
              <w:spacing w:line="240" w:lineRule="auto" w:before="40" w:after="40"/>
              <w:jc w:val="center"/>
            </w:pPr>
            <w:r>
              <w:rPr>
                <w:rFonts w:ascii="Times New Roman" w:hAnsi="Times New Roman" w:cs="Times New Roman"/>
                <w:sz w:val="18"/>
              </w:rPr>
              <w:t xml:space="preserve">0.6522</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0.199</w:t>
            </w:r>
          </w:p>
        </w:tc>
      </w:tr>
      <w:tr>
        <w:tc>
          <w:tcPr/>
          <w:p>
            <w:pPr>
              <w:pStyle w:val="Compact"/>
              <w:spacing w:line="240" w:lineRule="auto" w:before="40" w:after="40"/>
              <w:jc w:val="center"/>
            </w:pPr>
            <w:r>
              <w:rPr>
                <w:rFonts w:ascii="Times New Roman" w:hAnsi="Times New Roman" w:cs="Times New Roman"/>
                <w:b/>
                <w:bCs/>
                <w:sz w:val="18"/>
              </w:rPr>
              <w:t xml:space="preserve">1 (Guided-LIME)</w:t>
            </w:r>
          </w:p>
        </w:tc>
        <w:tc>
          <w:tcPr/>
          <w:p>
            <w:pPr>
              <w:pStyle w:val="Compact"/>
              <w:spacing w:line="240" w:lineRule="auto" w:before="40" w:after="40"/>
              <w:jc w:val="center"/>
            </w:pPr>
            <w:r>
              <w:rPr>
                <w:rFonts w:ascii="Times New Roman" w:hAnsi="Times New Roman" w:cs="Times New Roman"/>
                <w:b/>
                <w:bCs/>
                <w:sz w:val="18"/>
              </w:rPr>
              <w:t xml:space="preserve">0.3329</w:t>
            </w:r>
            <w:r>
              <w:rPr>
                <w:rFonts w:ascii="Times New Roman" w:hAnsi="Times New Roman" w:cs="Times New Roman"/>
                <w:b/>
                <w:bCs/>
                <w:sz w:val="18"/>
              </w:rPr>
              <w:t xml:space="preserve"> </w:t>
            </w:r>
            <m:oMath>
              <m:r>
                <m:rPr>
                  <m:sty m:val="p"/>
                </m:rPr>
                <m:t>±</m:t>
              </m:r>
            </m:oMath>
            <w:r>
              <w:rPr>
                <w:rFonts w:ascii="Times New Roman" w:hAnsi="Times New Roman" w:cs="Times New Roman"/>
                <w:b/>
                <w:bCs/>
                <w:sz w:val="18"/>
              </w:rPr>
              <w:t xml:space="preserve"> </w:t>
            </w:r>
            <w:r>
              <w:rPr>
                <w:rFonts w:ascii="Times New Roman" w:hAnsi="Times New Roman" w:cs="Times New Roman"/>
                <w:b/>
                <w:bCs/>
                <w:sz w:val="18"/>
              </w:rPr>
              <w:t xml:space="preserve">0.169</w:t>
            </w:r>
          </w:p>
        </w:tc>
        <w:tc>
          <w:tcPr/>
          <w:p>
            <w:pPr>
              <w:pStyle w:val="Compact"/>
              <w:spacing w:line="240" w:lineRule="auto" w:before="40" w:after="40"/>
              <w:jc w:val="center"/>
            </w:pPr>
            <w:r>
              <w:rPr>
                <w:rFonts w:ascii="Times New Roman" w:hAnsi="Times New Roman" w:cs="Times New Roman"/>
                <w:b/>
                <w:bCs/>
                <w:sz w:val="18"/>
              </w:rPr>
              <w:t xml:space="preserve">0.6517</w:t>
            </w:r>
            <w:r>
              <w:rPr>
                <w:rFonts w:ascii="Times New Roman" w:hAnsi="Times New Roman" w:cs="Times New Roman"/>
                <w:b/>
                <w:bCs/>
                <w:sz w:val="18"/>
              </w:rPr>
              <w:t xml:space="preserve"> </w:t>
            </w:r>
            <m:oMath>
              <m:r>
                <m:rPr>
                  <m:sty m:val="p"/>
                </m:rPr>
                <m:t>±</m:t>
              </m:r>
            </m:oMath>
            <w:r>
              <w:rPr>
                <w:rFonts w:ascii="Times New Roman" w:hAnsi="Times New Roman" w:cs="Times New Roman"/>
                <w:b/>
                <w:bCs/>
                <w:sz w:val="18"/>
              </w:rPr>
              <w:t xml:space="preserve"> </w:t>
            </w:r>
            <w:r>
              <w:rPr>
                <w:rFonts w:ascii="Times New Roman" w:hAnsi="Times New Roman" w:cs="Times New Roman"/>
                <w:b/>
                <w:bCs/>
                <w:sz w:val="18"/>
              </w:rPr>
              <w:t xml:space="preserve">0.198</w:t>
            </w:r>
          </w:p>
        </w:tc>
      </w:tr>
      <w:tr>
        <w:tc>
          <w:tcPr/>
          <w:p>
            <w:pPr>
              <w:pStyle w:val="Compact"/>
              <w:spacing w:line="240" w:lineRule="auto" w:before="40" w:after="40"/>
              <w:jc w:val="center"/>
            </w:pPr>
            <w:r>
              <w:rPr>
                <w:rFonts w:ascii="Times New Roman" w:hAnsi="Times New Roman" w:cs="Times New Roman"/>
                <w:sz w:val="18"/>
              </w:rPr>
              <w:t xml:space="preserve">2</w:t>
            </w:r>
          </w:p>
        </w:tc>
        <w:tc>
          <w:tcPr/>
          <w:p>
            <w:pPr>
              <w:pStyle w:val="Compact"/>
              <w:spacing w:line="240" w:lineRule="auto" w:before="40" w:after="40"/>
              <w:jc w:val="center"/>
            </w:pPr>
            <w:r>
              <w:rPr>
                <w:rFonts w:ascii="Times New Roman" w:hAnsi="Times New Roman" w:cs="Times New Roman"/>
                <w:sz w:val="18"/>
              </w:rPr>
              <w:t xml:space="preserve">0.3331</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0.168</w:t>
            </w:r>
          </w:p>
        </w:tc>
        <w:tc>
          <w:tcPr/>
          <w:p>
            <w:pPr>
              <w:pStyle w:val="Compact"/>
              <w:spacing w:line="240" w:lineRule="auto" w:before="40" w:after="40"/>
              <w:jc w:val="center"/>
            </w:pPr>
            <w:r>
              <w:rPr>
                <w:rFonts w:ascii="Times New Roman" w:hAnsi="Times New Roman" w:cs="Times New Roman"/>
                <w:sz w:val="18"/>
              </w:rPr>
              <w:t xml:space="preserve">0.6501</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0.197</w:t>
            </w:r>
          </w:p>
        </w:tc>
      </w:tr>
      <w:tr>
        <w:tc>
          <w:tcPr/>
          <w:p>
            <w:pPr>
              <w:pStyle w:val="Compact"/>
              <w:spacing w:line="240" w:lineRule="auto" w:before="40" w:after="40"/>
              <w:jc w:val="center"/>
            </w:pPr>
            <w:r>
              <w:rPr>
                <w:rFonts w:ascii="Times New Roman" w:hAnsi="Times New Roman" w:cs="Times New Roman"/>
                <w:sz w:val="18"/>
              </w:rPr>
              <w:t xml:space="preserve">5</w:t>
            </w:r>
          </w:p>
        </w:tc>
        <w:tc>
          <w:tcPr/>
          <w:p>
            <w:pPr>
              <w:pStyle w:val="Compact"/>
              <w:spacing w:line="240" w:lineRule="auto" w:before="40" w:after="40"/>
              <w:jc w:val="center"/>
            </w:pPr>
            <w:r>
              <w:rPr>
                <w:rFonts w:ascii="Times New Roman" w:hAnsi="Times New Roman" w:cs="Times New Roman"/>
                <w:sz w:val="18"/>
              </w:rPr>
              <w:t xml:space="preserve">0.3339</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0.168</w:t>
            </w:r>
          </w:p>
        </w:tc>
        <w:tc>
          <w:tcPr/>
          <w:p>
            <w:pPr>
              <w:pStyle w:val="Compact"/>
              <w:spacing w:line="240" w:lineRule="auto" w:before="40" w:after="40"/>
              <w:jc w:val="center"/>
            </w:pPr>
            <w:r>
              <w:rPr>
                <w:rFonts w:ascii="Times New Roman" w:hAnsi="Times New Roman" w:cs="Times New Roman"/>
                <w:sz w:val="18"/>
              </w:rPr>
              <w:t xml:space="preserve">0.6473</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0.195</w:t>
            </w:r>
          </w:p>
        </w:tc>
      </w:tr>
      <w:tr>
        <w:tc>
          <w:tcPr/>
          <w:p>
            <w:pPr>
              <w:pStyle w:val="Compact"/>
              <w:spacing w:line="240" w:lineRule="auto" w:before="40" w:after="40"/>
              <w:jc w:val="center"/>
            </w:pPr>
            <w:r>
              <w:rPr>
                <w:rFonts w:ascii="Times New Roman" w:hAnsi="Times New Roman" w:cs="Times New Roman"/>
                <w:sz w:val="18"/>
              </w:rPr>
              <w:t xml:space="preserve">10</w:t>
            </w:r>
          </w:p>
        </w:tc>
        <w:tc>
          <w:tcPr/>
          <w:p>
            <w:pPr>
              <w:pStyle w:val="Compact"/>
              <w:spacing w:line="240" w:lineRule="auto" w:before="40" w:after="40"/>
              <w:jc w:val="center"/>
            </w:pPr>
            <w:r>
              <w:rPr>
                <w:rFonts w:ascii="Times New Roman" w:hAnsi="Times New Roman" w:cs="Times New Roman"/>
                <w:sz w:val="18"/>
              </w:rPr>
              <w:t xml:space="preserve">0.3349</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0.168</w:t>
            </w:r>
          </w:p>
        </w:tc>
        <w:tc>
          <w:tcPr/>
          <w:p>
            <w:pPr>
              <w:pStyle w:val="Compact"/>
              <w:spacing w:line="240" w:lineRule="auto" w:before="40" w:after="40"/>
              <w:jc w:val="center"/>
            </w:pPr>
            <w:r>
              <w:rPr>
                <w:rFonts w:ascii="Times New Roman" w:hAnsi="Times New Roman" w:cs="Times New Roman"/>
                <w:sz w:val="18"/>
              </w:rPr>
              <w:t xml:space="preserve">0.6454</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0.194</w:t>
            </w:r>
          </w:p>
        </w:tc>
      </w:tr>
    </w:tbl>
    <w:bookmarkEnd w:id="69"/>
    <w:p>
      <w:pPr>
        <w:pStyle w:val="BodyText"/>
        <w:spacing w:lineRule="auto" w:line="360" w:before="0" w:after="80"/>
      </w:pPr>
      <w:r>
        <w:rPr>
          <w:rFonts w:ascii="Times New Roman" w:hAnsi="Times New Roman" w:cs="Times New Roman"/>
          <w:sz w:val="24"/>
        </w:rPr>
        <w:t xml:space="preserve">We also compared the multiplicative form</w:t>
      </w:r>
      <w:r>
        <w:rPr>
          <w:rFonts w:ascii="Times New Roman" w:hAnsi="Times New Roman" w:cs="Times New Roman"/>
          <w:sz w:val="24"/>
        </w:rPr>
        <w:t xml:space="preserve"> </w:t>
      </w:r>
      <m:oMath>
        <m:r>
          <m:t>S</m:t>
        </m:r>
        <m:r>
          <m:rPr>
            <m:sty m:val="p"/>
          </m:rPr>
          <m:t>(</m:t>
        </m:r>
        <m:sSub>
          <m:e>
            <m:r>
              <m:t>s</m:t>
            </m:r>
          </m:e>
          <m:sub>
            <m:r>
              <m:t>i</m:t>
            </m:r>
          </m:sub>
        </m:sSub>
        <m:r>
          <m:rPr>
            <m:sty m:val="p"/>
          </m:rPr>
          <m:t>)</m:t>
        </m:r>
        <m:r>
          <m:rPr>
            <m:sty m:val="p"/>
          </m:rPr>
          <m:t>=</m:t>
        </m:r>
        <m:r>
          <m:t>L</m:t>
        </m:r>
        <m:r>
          <m:rPr>
            <m:sty m:val="p"/>
          </m:rPr>
          <m:t>(</m:t>
        </m:r>
        <m:sSub>
          <m:e>
            <m:r>
              <m:t>s</m:t>
            </m:r>
          </m:e>
          <m:sub>
            <m:r>
              <m:t>i</m:t>
            </m:r>
          </m:sub>
        </m:sSub>
        <m:r>
          <m:rPr>
            <m:sty m:val="p"/>
          </m:rPr>
          <m:t>)</m:t>
        </m:r>
        <m:r>
          <m:rPr>
            <m:sty m:val="p"/>
          </m:rPr>
          <m:t>⋅</m:t>
        </m:r>
        <m:r>
          <m:rPr>
            <m:sty m:val="p"/>
          </m:rPr>
          <m:t>(</m:t>
        </m:r>
        <m:r>
          <m:t>1</m:t>
        </m:r>
        <m:r>
          <m:rPr>
            <m:sty m:val="p"/>
          </m:rPr>
          <m:t>+</m:t>
        </m:r>
        <m:r>
          <m:t>G</m:t>
        </m:r>
        <m:r>
          <m:rPr>
            <m:sty m:val="p"/>
          </m:rPr>
          <m:t>(</m:t>
        </m:r>
        <m:sSub>
          <m:e>
            <m:r>
              <m:t>s</m:t>
            </m:r>
          </m:e>
          <m:sub>
            <m:r>
              <m:t>i</m:t>
            </m:r>
          </m:sub>
        </m:sSub>
        <m:r>
          <m:rPr>
            <m:sty m:val="p"/>
          </m:rPr>
          <m:t>)</m:t>
        </m:r>
        <m:r>
          <m:rPr>
            <m:sty m:val="p"/>
          </m:rPr>
          <m:t>)</m:t>
        </m:r>
      </m:oMath>
      <w:r>
        <w:rPr>
          <w:rFonts w:ascii="Times New Roman" w:hAnsi="Times New Roman" w:cs="Times New Roman"/>
          <w:sz w:val="24"/>
        </w:rPr>
        <w:t xml:space="preserve"> </w:t>
      </w:r>
      <w:r>
        <w:rPr>
          <w:rFonts w:ascii="Times New Roman" w:hAnsi="Times New Roman" w:cs="Times New Roman"/>
          <w:sz w:val="24"/>
        </w:rPr>
        <w:t xml:space="preserve">against the additive alternative</w:t>
      </w:r>
      <w:r>
        <w:rPr>
          <w:rFonts w:ascii="Times New Roman" w:hAnsi="Times New Roman" w:cs="Times New Roman"/>
          <w:sz w:val="24"/>
        </w:rPr>
        <w:t xml:space="preserve"> </w:t>
      </w:r>
      <m:oMath>
        <m:r>
          <m:t>S</m:t>
        </m:r>
        <m:r>
          <m:rPr>
            <m:sty m:val="p"/>
          </m:rPr>
          <m:t>(</m:t>
        </m:r>
        <m:sSub>
          <m:e>
            <m:r>
              <m:t>s</m:t>
            </m:r>
          </m:e>
          <m:sub>
            <m:r>
              <m:t>i</m:t>
            </m:r>
          </m:sub>
        </m:sSub>
        <m:r>
          <m:rPr>
            <m:sty m:val="p"/>
          </m:rPr>
          <m:t>)</m:t>
        </m:r>
        <m:r>
          <m:rPr>
            <m:sty m:val="p"/>
          </m:rPr>
          <m:t>=</m:t>
        </m:r>
        <m:r>
          <m:t>L</m:t>
        </m:r>
        <m:r>
          <m:rPr>
            <m:sty m:val="p"/>
          </m:rPr>
          <m:t>(</m:t>
        </m:r>
        <m:sSub>
          <m:e>
            <m:r>
              <m:t>s</m:t>
            </m:r>
          </m:e>
          <m:sub>
            <m:r>
              <m:t>i</m:t>
            </m:r>
          </m:sub>
        </m:sSub>
        <m:r>
          <m:rPr>
            <m:sty m:val="p"/>
          </m:rPr>
          <m:t>)</m:t>
        </m:r>
        <m:r>
          <m:rPr>
            <m:sty m:val="p"/>
          </m:rPr>
          <m:t>+</m:t>
        </m:r>
        <m:r>
          <m:t>G</m:t>
        </m:r>
        <m:r>
          <m:rPr>
            <m:sty m:val="p"/>
          </m:rPr>
          <m:t>(</m:t>
        </m:r>
        <m:sSub>
          <m:e>
            <m:r>
              <m:t>s</m:t>
            </m:r>
          </m:e>
          <m:sub>
            <m:r>
              <m:t>i</m:t>
            </m:r>
          </m:sub>
        </m:sSub>
        <m:r>
          <m:rPr>
            <m:sty m:val="p"/>
          </m:rPr>
          <m:t>)</m:t>
        </m:r>
      </m:oMath>
      <w:r>
        <w:rPr>
          <w:rFonts w:ascii="Times New Roman" w:hAnsi="Times New Roman" w:cs="Times New Roman"/>
          <w:sz w:val="24"/>
        </w:rPr>
        <w:t xml:space="preserve"> </w:t>
      </w:r>
      <w:r>
        <w:rPr>
          <w:rFonts w:ascii="Times New Roman" w:hAnsi="Times New Roman" w:cs="Times New Roman"/>
          <w:sz w:val="24"/>
        </w:rPr>
        <w:t xml:space="preserve">on a held-out 50-image subset. The multiplicative form (Deletion AUC = 0.3410</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0.04) outperformed the additive form (0.3812</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0.05), as the additive fusion allows the Grad-CAM term to dominate and overwhelm the local LIME signal, reducing the hybrid explanation to a de-facto Grad-CAM map.</w:t>
      </w:r>
    </w:p>
    <w:bookmarkEnd w:id="70"/>
    <w:bookmarkStart w:id="73" w:name="superpixel-count."/>
    <w:p>
      <w:pPr>
        <w:pStyle w:val="Heading4"/>
        <w:spacing w:lineRule="auto" w:line="288" w:before="0" w:after="80"/>
      </w:pPr>
      <w:r>
        <w:rPr>
          <w:rFonts w:ascii="Times New Roman" w:hAnsi="Times New Roman" w:cs="Times New Roman"/>
          <w:b/>
          <w:sz w:val="24"/>
        </w:rPr>
        <w:t xml:space="preserve">Superpixel Count.</w:t>
      </w:r>
    </w:p>
    <w:p>
      <w:pPr>
        <w:pStyle w:val="FirstParagraph"/>
        <w:spacing w:lineRule="auto" w:line="360" w:before="0" w:after="80"/>
      </w:pPr>
      <w:r>
        <w:rPr>
          <w:rFonts w:ascii="Times New Roman" w:hAnsi="Times New Roman" w:cs="Times New Roman"/>
          <w:sz w:val="24"/>
        </w:rPr>
        <w:t xml:space="preserve">The number of superpixels</w:t>
      </w:r>
      <w:r>
        <w:rPr>
          <w:rFonts w:ascii="Times New Roman" w:hAnsi="Times New Roman" w:cs="Times New Roman"/>
          <w:sz w:val="24"/>
        </w:rPr>
        <w:t xml:space="preserve"> </w:t>
      </w:r>
      <m:oMath>
        <m:r>
          <m:t>n</m:t>
        </m:r>
      </m:oMath>
      <w:r>
        <w:rPr>
          <w:rFonts w:ascii="Times New Roman" w:hAnsi="Times New Roman" w:cs="Times New Roman"/>
          <w:sz w:val="24"/>
        </w:rPr>
        <w:t xml:space="preserve"> </w:t>
      </w:r>
      <w:r>
        <w:rPr>
          <w:rFonts w:ascii="Times New Roman" w:hAnsi="Times New Roman" w:cs="Times New Roman"/>
          <w:sz w:val="24"/>
        </w:rPr>
        <w:t xml:space="preserve">controls the spatial granularity of the explanation. We evaluated</w:t>
      </w:r>
      <w:r>
        <w:rPr>
          <w:rFonts w:ascii="Times New Roman" w:hAnsi="Times New Roman" w:cs="Times New Roman"/>
          <w:sz w:val="24"/>
        </w:rPr>
        <w:t xml:space="preserve"> </w:t>
      </w:r>
      <m:oMath>
        <m:r>
          <m:t>n</m:t>
        </m:r>
        <m:r>
          <m:rPr>
            <m:sty m:val="p"/>
          </m:rPr>
          <m:t>∈</m:t>
        </m:r>
        <m:r>
          <m:rPr>
            <m:sty m:val="p"/>
          </m:rPr>
          <m:t>{</m:t>
        </m:r>
        <m:r>
          <m:t>25</m:t>
        </m:r>
        <m:r>
          <m:rPr>
            <m:sty m:val="p"/>
          </m:rPr>
          <m:t>,</m:t>
        </m:r>
        <m:r>
          <m:t>50</m:t>
        </m:r>
        <m:r>
          <m:rPr>
            <m:sty m:val="p"/>
          </m:rPr>
          <m:t>,</m:t>
        </m:r>
        <m:r>
          <m:t>100</m:t>
        </m:r>
        <m:r>
          <m:rPr>
            <m:sty m:val="p"/>
          </m:rPr>
          <m:t>,</m:t>
        </m:r>
        <m:r>
          <m:t>200</m:t>
        </m:r>
        <m:r>
          <m:rPr>
            <m:sty m:val="p"/>
          </m:rPr>
          <m:t>,</m:t>
        </m:r>
        <m:r>
          <m:t>500</m:t>
        </m:r>
        <m:r>
          <m:rPr>
            <m:sty m:val="p"/>
          </m:rPr>
          <m:t>}</m:t>
        </m:r>
      </m:oMath>
      <w:r>
        <w:rPr>
          <w:rFonts w:ascii="Times New Roman" w:hAnsi="Times New Roman" w:cs="Times New Roman"/>
          <w:sz w:val="24"/>
        </w:rPr>
        <w:t xml:space="preserve"> </w:t>
      </w:r>
      <w:r>
        <w:rPr>
          <w:rFonts w:ascii="Times New Roman" w:hAnsi="Times New Roman" w:cs="Times New Roman"/>
          <w:sz w:val="24"/>
        </w:rPr>
        <w:t xml:space="preserve">on a 50-image class-balanced subset (Table </w:t>
      </w:r>
      <w:hyperlink w:anchor="tab:ablation_sp">
        <w:r>
          <w:rPr>
            <w:rStyle w:val="Hyperlink"/>
          </w:rPr>
          <w:t xml:space="preserve">7</w:t>
        </w:r>
      </w:hyperlink>
      <w:r>
        <w:rPr>
          <w:rFonts w:ascii="Times New Roman" w:hAnsi="Times New Roman" w:cs="Times New Roman"/>
          <w:sz w:val="24"/>
        </w:rPr>
        <w:t xml:space="preserve">). Increasing</w:t>
      </w:r>
      <w:r>
        <w:rPr>
          <w:rFonts w:ascii="Times New Roman" w:hAnsi="Times New Roman" w:cs="Times New Roman"/>
          <w:sz w:val="24"/>
        </w:rPr>
        <w:t xml:space="preserve"> </w:t>
      </w:r>
      <m:oMath>
        <m:r>
          <m:t>n</m:t>
        </m:r>
      </m:oMath>
      <w:r>
        <w:rPr>
          <w:rFonts w:ascii="Times New Roman" w:hAnsi="Times New Roman" w:cs="Times New Roman"/>
          <w:sz w:val="24"/>
        </w:rPr>
        <w:t xml:space="preserve"> </w:t>
      </w:r>
      <w:r>
        <w:rPr>
          <w:rFonts w:ascii="Times New Roman" w:hAnsi="Times New Roman" w:cs="Times New Roman"/>
          <w:sz w:val="24"/>
        </w:rPr>
        <w:t xml:space="preserve">from 25 to 500 monotonically improves Deletion AUC (0.3435</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0.2523), as finer segmentation enables more precise removal of critical pixels. However, Insertion AUC exhibits a monotonic decline (0.6298</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0.5293), indicating that overly fine superpixels slow confidence recovery during insertion. The default</w:t>
      </w:r>
      <w:r>
        <w:rPr>
          <w:rFonts w:ascii="Times New Roman" w:hAnsi="Times New Roman" w:cs="Times New Roman"/>
          <w:sz w:val="24"/>
        </w:rPr>
        <w:t xml:space="preserve"> </w:t>
      </w:r>
      <m:oMath>
        <m:r>
          <m:t>n</m:t>
        </m:r>
        <m:r>
          <m:rPr>
            <m:sty m:val="p"/>
          </m:rPr>
          <m:t>=</m:t>
        </m:r>
        <m:r>
          <m:t>100</m:t>
        </m:r>
      </m:oMath>
      <w:r>
        <w:rPr>
          <w:rFonts w:ascii="Times New Roman" w:hAnsi="Times New Roman" w:cs="Times New Roman"/>
          <w:sz w:val="24"/>
        </w:rPr>
        <w:t xml:space="preserve"> </w:t>
      </w:r>
      <w:r>
        <w:rPr>
          <w:rFonts w:ascii="Times New Roman" w:hAnsi="Times New Roman" w:cs="Times New Roman"/>
          <w:sz w:val="24"/>
        </w:rPr>
        <w:t xml:space="preserve">provides a balanced trade-off: Deletion AUC = 0.2999 and Insertion AUC = 0.6123.</w:t>
      </w:r>
    </w:p>
    <w:p>
      <w:pPr>
        <w:pStyle w:val="BodyText"/>
      </w:pPr>
      <w:bookmarkStart w:id="71" w:name="tab:ablation_sp"/>
      <w:bookmarkEnd w:id="71"/>
    </w:p>
    <w:bookmarkStart w:id="72" w:name="tab:ablation_sp"/>
    <w:p>
      <w:pPr>
        <w:pStyle w:val="TableCaption"/>
        <w:spacing w:lineRule="auto" w:line="240" w:before="0" w:after="80"/>
      </w:pPr>
      <w:r>
        <w:rPr>
          <w:rFonts w:ascii="Times New Roman" w:hAnsi="Times New Roman" w:cs="Times New Roman"/>
          <w:sz w:val="20"/>
        </w:rPr>
        <w:t xml:space="preserve">Superpixel count ablation on a 50-image class-balanced subset.</w:t>
      </w:r>
    </w:p>
    <w:tbl>
      <w:tblPr>
        <w:tblStyle w:val="Table"/>
        <w:tblW w:type="auto" w:w="0"/>
        <w:jc w:val="center"/>
        <w:tblLook w:firstRow="1" w:lastRow="0" w:firstColumn="0" w:lastColumn="0" w:noHBand="0" w:noVBand="0" w:val="0020"/>
        <w:tblCaption w:val="Superpixel count ablation on a 50-image class-balanced subset."/>
      </w:tblPr>
      <w:tblGrid>
        <w:gridCol w:w="2640"/>
        <w:gridCol w:w="2640"/>
        <w:gridCol w:w="2640"/>
      </w:tblGrid>
      <w:tr>
        <w:trPr>
          <w:tblHeader w:val="on"/>
        </w:trPr>
        <w:tc>
          <w:tcPr/>
          <w:p>
            <w:pPr>
              <w:pStyle w:val="Compact"/>
              <w:spacing w:line="240" w:lineRule="auto" w:before="40" w:after="40"/>
              <w:jc w:val="center"/>
            </w:pPr>
            <w:r>
              <w:rPr>
                <w:rFonts w:ascii="Times New Roman" w:hAnsi="Times New Roman" w:cs="Times New Roman"/>
                <w:sz w:val="18"/>
              </w:rPr>
              <w:t xml:space="preserve">Superpixels (</w:t>
            </w:r>
            <m:oMath>
              <m:r>
                <m:t>n</m:t>
              </m:r>
            </m:oMath>
            <w:r>
              <w:rPr>
                <w:rFonts w:ascii="Times New Roman" w:hAnsi="Times New Roman" w:cs="Times New Roman"/>
                <w:sz w:val="18"/>
              </w:rPr>
              <w:t xml:space="preserve">)</w:t>
            </w:r>
          </w:p>
        </w:tc>
        <w:tc>
          <w:tcPr/>
          <w:p>
            <w:pPr>
              <w:pStyle w:val="Compact"/>
              <w:spacing w:line="240" w:lineRule="auto" w:before="40" w:after="40"/>
              <w:jc w:val="center"/>
            </w:pPr>
            <w:r>
              <w:rPr>
                <w:rFonts w:ascii="Times New Roman" w:hAnsi="Times New Roman" w:cs="Times New Roman"/>
                <w:sz w:val="18"/>
              </w:rPr>
              <w:t xml:space="preserve">Deletion AUC</w:t>
            </w:r>
          </w:p>
        </w:tc>
        <w:tc>
          <w:tcPr/>
          <w:p>
            <w:pPr>
              <w:pStyle w:val="Compact"/>
              <w:spacing w:line="240" w:lineRule="auto" w:before="40" w:after="40"/>
              <w:jc w:val="center"/>
            </w:pPr>
            <w:r>
              <w:rPr>
                <w:rFonts w:ascii="Times New Roman" w:hAnsi="Times New Roman" w:cs="Times New Roman"/>
                <w:sz w:val="18"/>
              </w:rPr>
              <w:t xml:space="preserve">Insertion AUC</w:t>
            </w:r>
          </w:p>
        </w:tc>
      </w:tr>
      <w:tr>
        <w:tc>
          <w:tcPr/>
          <w:p>
            <w:pPr>
              <w:pStyle w:val="Compact"/>
              <w:spacing w:line="240" w:lineRule="auto" w:before="40" w:after="40"/>
              <w:jc w:val="center"/>
            </w:pPr>
            <w:r>
              <w:rPr>
                <w:rFonts w:ascii="Times New Roman" w:hAnsi="Times New Roman" w:cs="Times New Roman"/>
                <w:sz w:val="18"/>
              </w:rPr>
              <w:t xml:space="preserve">25</w:t>
            </w:r>
          </w:p>
        </w:tc>
        <w:tc>
          <w:tcPr/>
          <w:p>
            <w:pPr>
              <w:pStyle w:val="Compact"/>
              <w:spacing w:line="240" w:lineRule="auto" w:before="40" w:after="40"/>
              <w:jc w:val="center"/>
            </w:pPr>
            <w:r>
              <w:rPr>
                <w:rFonts w:ascii="Times New Roman" w:hAnsi="Times New Roman" w:cs="Times New Roman"/>
                <w:sz w:val="18"/>
              </w:rPr>
              <w:t xml:space="preserve">0.3435</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0.194</w:t>
            </w:r>
          </w:p>
        </w:tc>
        <w:tc>
          <w:tcPr/>
          <w:p>
            <w:pPr>
              <w:pStyle w:val="Compact"/>
              <w:spacing w:line="240" w:lineRule="auto" w:before="40" w:after="40"/>
              <w:jc w:val="center"/>
            </w:pPr>
            <w:r>
              <w:rPr>
                <w:rFonts w:ascii="Times New Roman" w:hAnsi="Times New Roman" w:cs="Times New Roman"/>
                <w:sz w:val="18"/>
              </w:rPr>
              <w:t xml:space="preserve">0.6298</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0.153</w:t>
            </w:r>
          </w:p>
        </w:tc>
      </w:tr>
      <w:tr>
        <w:tc>
          <w:tcPr/>
          <w:p>
            <w:pPr>
              <w:pStyle w:val="Compact"/>
              <w:spacing w:line="240" w:lineRule="auto" w:before="40" w:after="40"/>
              <w:jc w:val="center"/>
            </w:pPr>
            <w:r>
              <w:rPr>
                <w:rFonts w:ascii="Times New Roman" w:hAnsi="Times New Roman" w:cs="Times New Roman"/>
                <w:sz w:val="18"/>
              </w:rPr>
              <w:t xml:space="preserve">50</w:t>
            </w:r>
          </w:p>
        </w:tc>
        <w:tc>
          <w:tcPr/>
          <w:p>
            <w:pPr>
              <w:pStyle w:val="Compact"/>
              <w:spacing w:line="240" w:lineRule="auto" w:before="40" w:after="40"/>
              <w:jc w:val="center"/>
            </w:pPr>
            <w:r>
              <w:rPr>
                <w:rFonts w:ascii="Times New Roman" w:hAnsi="Times New Roman" w:cs="Times New Roman"/>
                <w:sz w:val="18"/>
              </w:rPr>
              <w:t xml:space="preserve">0.3307</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0.176</w:t>
            </w:r>
          </w:p>
        </w:tc>
        <w:tc>
          <w:tcPr/>
          <w:p>
            <w:pPr>
              <w:pStyle w:val="Compact"/>
              <w:spacing w:line="240" w:lineRule="auto" w:before="40" w:after="40"/>
              <w:jc w:val="center"/>
            </w:pPr>
            <w:r>
              <w:rPr>
                <w:rFonts w:ascii="Times New Roman" w:hAnsi="Times New Roman" w:cs="Times New Roman"/>
                <w:sz w:val="18"/>
              </w:rPr>
              <w:t xml:space="preserve">0.6190</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0.174</w:t>
            </w:r>
          </w:p>
        </w:tc>
      </w:tr>
      <w:tr>
        <w:tc>
          <w:tcPr/>
          <w:p>
            <w:pPr>
              <w:pStyle w:val="Compact"/>
              <w:spacing w:line="240" w:lineRule="auto" w:before="40" w:after="40"/>
              <w:jc w:val="center"/>
            </w:pPr>
            <w:r>
              <w:rPr>
                <w:rFonts w:ascii="Times New Roman" w:hAnsi="Times New Roman" w:cs="Times New Roman"/>
                <w:b/>
                <w:bCs/>
                <w:sz w:val="18"/>
              </w:rPr>
              <w:t xml:space="preserve">100 (default)</w:t>
            </w:r>
          </w:p>
        </w:tc>
        <w:tc>
          <w:tcPr/>
          <w:p>
            <w:pPr>
              <w:pStyle w:val="Compact"/>
              <w:spacing w:line="240" w:lineRule="auto" w:before="40" w:after="40"/>
              <w:jc w:val="center"/>
            </w:pPr>
            <w:r>
              <w:rPr>
                <w:rFonts w:ascii="Times New Roman" w:hAnsi="Times New Roman" w:cs="Times New Roman"/>
                <w:b/>
                <w:bCs/>
                <w:sz w:val="18"/>
              </w:rPr>
              <w:t xml:space="preserve">0.2999</w:t>
            </w:r>
            <w:r>
              <w:rPr>
                <w:rFonts w:ascii="Times New Roman" w:hAnsi="Times New Roman" w:cs="Times New Roman"/>
                <w:b/>
                <w:bCs/>
                <w:sz w:val="18"/>
              </w:rPr>
              <w:t xml:space="preserve"> </w:t>
            </w:r>
            <m:oMath>
              <m:r>
                <m:rPr>
                  <m:sty m:val="p"/>
                </m:rPr>
                <m:t>±</m:t>
              </m:r>
            </m:oMath>
            <w:r>
              <w:rPr>
                <w:rFonts w:ascii="Times New Roman" w:hAnsi="Times New Roman" w:cs="Times New Roman"/>
                <w:b/>
                <w:bCs/>
                <w:sz w:val="18"/>
              </w:rPr>
              <w:t xml:space="preserve"> </w:t>
            </w:r>
            <w:r>
              <w:rPr>
                <w:rFonts w:ascii="Times New Roman" w:hAnsi="Times New Roman" w:cs="Times New Roman"/>
                <w:b/>
                <w:bCs/>
                <w:sz w:val="18"/>
              </w:rPr>
              <w:t xml:space="preserve">0.160</w:t>
            </w:r>
          </w:p>
        </w:tc>
        <w:tc>
          <w:tcPr/>
          <w:p>
            <w:pPr>
              <w:pStyle w:val="Compact"/>
              <w:spacing w:line="240" w:lineRule="auto" w:before="40" w:after="40"/>
              <w:jc w:val="center"/>
            </w:pPr>
            <w:r>
              <w:rPr>
                <w:rFonts w:ascii="Times New Roman" w:hAnsi="Times New Roman" w:cs="Times New Roman"/>
                <w:b/>
                <w:bCs/>
                <w:sz w:val="18"/>
              </w:rPr>
              <w:t xml:space="preserve">0.6123</w:t>
            </w:r>
            <w:r>
              <w:rPr>
                <w:rFonts w:ascii="Times New Roman" w:hAnsi="Times New Roman" w:cs="Times New Roman"/>
                <w:b/>
                <w:bCs/>
                <w:sz w:val="18"/>
              </w:rPr>
              <w:t xml:space="preserve"> </w:t>
            </w:r>
            <m:oMath>
              <m:r>
                <m:rPr>
                  <m:sty m:val="p"/>
                </m:rPr>
                <m:t>±</m:t>
              </m:r>
            </m:oMath>
            <w:r>
              <w:rPr>
                <w:rFonts w:ascii="Times New Roman" w:hAnsi="Times New Roman" w:cs="Times New Roman"/>
                <w:b/>
                <w:bCs/>
                <w:sz w:val="18"/>
              </w:rPr>
              <w:t xml:space="preserve"> </w:t>
            </w:r>
            <w:r>
              <w:rPr>
                <w:rFonts w:ascii="Times New Roman" w:hAnsi="Times New Roman" w:cs="Times New Roman"/>
                <w:b/>
                <w:bCs/>
                <w:sz w:val="18"/>
              </w:rPr>
              <w:t xml:space="preserve">0.175</w:t>
            </w:r>
          </w:p>
        </w:tc>
      </w:tr>
      <w:tr>
        <w:tc>
          <w:tcPr/>
          <w:p>
            <w:pPr>
              <w:pStyle w:val="Compact"/>
              <w:spacing w:line="240" w:lineRule="auto" w:before="40" w:after="40"/>
              <w:jc w:val="center"/>
            </w:pPr>
            <w:r>
              <w:rPr>
                <w:rFonts w:ascii="Times New Roman" w:hAnsi="Times New Roman" w:cs="Times New Roman"/>
                <w:sz w:val="18"/>
              </w:rPr>
              <w:t xml:space="preserve">200</w:t>
            </w:r>
          </w:p>
        </w:tc>
        <w:tc>
          <w:tcPr/>
          <w:p>
            <w:pPr>
              <w:pStyle w:val="Compact"/>
              <w:spacing w:line="240" w:lineRule="auto" w:before="40" w:after="40"/>
              <w:jc w:val="center"/>
            </w:pPr>
            <w:r>
              <w:rPr>
                <w:rFonts w:ascii="Times New Roman" w:hAnsi="Times New Roman" w:cs="Times New Roman"/>
                <w:sz w:val="18"/>
              </w:rPr>
              <w:t xml:space="preserve">0.2731</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0.151</w:t>
            </w:r>
          </w:p>
        </w:tc>
        <w:tc>
          <w:tcPr/>
          <w:p>
            <w:pPr>
              <w:pStyle w:val="Compact"/>
              <w:spacing w:line="240" w:lineRule="auto" w:before="40" w:after="40"/>
              <w:jc w:val="center"/>
            </w:pPr>
            <w:r>
              <w:rPr>
                <w:rFonts w:ascii="Times New Roman" w:hAnsi="Times New Roman" w:cs="Times New Roman"/>
                <w:sz w:val="18"/>
              </w:rPr>
              <w:t xml:space="preserve">0.5869</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0.198</w:t>
            </w:r>
          </w:p>
        </w:tc>
      </w:tr>
      <w:tr>
        <w:tc>
          <w:tcPr/>
          <w:p>
            <w:pPr>
              <w:pStyle w:val="Compact"/>
              <w:spacing w:line="240" w:lineRule="auto" w:before="40" w:after="40"/>
              <w:jc w:val="center"/>
            </w:pPr>
            <w:r>
              <w:rPr>
                <w:rFonts w:ascii="Times New Roman" w:hAnsi="Times New Roman" w:cs="Times New Roman"/>
                <w:sz w:val="18"/>
              </w:rPr>
              <w:t xml:space="preserve">500</w:t>
            </w:r>
          </w:p>
        </w:tc>
        <w:tc>
          <w:tcPr/>
          <w:p>
            <w:pPr>
              <w:pStyle w:val="Compact"/>
              <w:spacing w:line="240" w:lineRule="auto" w:before="40" w:after="40"/>
              <w:jc w:val="center"/>
            </w:pPr>
            <w:r>
              <w:rPr>
                <w:rFonts w:ascii="Times New Roman" w:hAnsi="Times New Roman" w:cs="Times New Roman"/>
                <w:sz w:val="18"/>
              </w:rPr>
              <w:t xml:space="preserve">0.2523</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0.124</w:t>
            </w:r>
          </w:p>
        </w:tc>
        <w:tc>
          <w:tcPr/>
          <w:p>
            <w:pPr>
              <w:pStyle w:val="Compact"/>
              <w:spacing w:line="240" w:lineRule="auto" w:before="40" w:after="40"/>
              <w:jc w:val="center"/>
            </w:pPr>
            <w:r>
              <w:rPr>
                <w:rFonts w:ascii="Times New Roman" w:hAnsi="Times New Roman" w:cs="Times New Roman"/>
                <w:sz w:val="18"/>
              </w:rPr>
              <w:t xml:space="preserve">0.5293</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0.187</w:t>
            </w:r>
          </w:p>
        </w:tc>
      </w:tr>
    </w:tbl>
    <w:bookmarkEnd w:id="72"/>
    <w:bookmarkEnd w:id="73"/>
    <w:bookmarkStart w:id="76" w:name="perturbation-count."/>
    <w:p>
      <w:pPr>
        <w:pStyle w:val="Heading4"/>
        <w:spacing w:lineRule="auto" w:line="288" w:before="0" w:after="80"/>
      </w:pPr>
      <w:r>
        <w:rPr>
          <w:rFonts w:ascii="Times New Roman" w:hAnsi="Times New Roman" w:cs="Times New Roman"/>
          <w:b/>
          <w:sz w:val="24"/>
        </w:rPr>
        <w:t xml:space="preserve">Perturbation Count.</w:t>
      </w:r>
    </w:p>
    <w:p>
      <w:pPr>
        <w:pStyle w:val="FirstParagraph"/>
        <w:spacing w:lineRule="auto" w:line="360" w:before="0" w:after="80"/>
      </w:pPr>
      <w:r>
        <w:rPr>
          <w:rFonts w:ascii="Times New Roman" w:hAnsi="Times New Roman" w:cs="Times New Roman"/>
          <w:sz w:val="24"/>
        </w:rPr>
        <w:t xml:space="preserve">The number of perturbation samples</w:t>
      </w:r>
      <w:r>
        <w:rPr>
          <w:rFonts w:ascii="Times New Roman" w:hAnsi="Times New Roman" w:cs="Times New Roman"/>
          <w:sz w:val="24"/>
        </w:rPr>
        <w:t xml:space="preserve"> </w:t>
      </w:r>
      <m:oMath>
        <m:r>
          <m:t>N</m:t>
        </m:r>
      </m:oMath>
      <w:r>
        <w:rPr>
          <w:rFonts w:ascii="Times New Roman" w:hAnsi="Times New Roman" w:cs="Times New Roman"/>
          <w:sz w:val="24"/>
        </w:rPr>
        <w:t xml:space="preserve"> </w:t>
      </w:r>
      <w:r>
        <w:rPr>
          <w:rFonts w:ascii="Times New Roman" w:hAnsi="Times New Roman" w:cs="Times New Roman"/>
          <w:sz w:val="24"/>
        </w:rPr>
        <w:t xml:space="preserve">determines the stability of the LIME surrogate model. We evaluated</w:t>
      </w:r>
      <w:r>
        <w:rPr>
          <w:rFonts w:ascii="Times New Roman" w:hAnsi="Times New Roman" w:cs="Times New Roman"/>
          <w:sz w:val="24"/>
        </w:rPr>
        <w:t xml:space="preserve"> </w:t>
      </w:r>
      <m:oMath>
        <m:r>
          <m:t>N</m:t>
        </m:r>
        <m:r>
          <m:rPr>
            <m:sty m:val="p"/>
          </m:rPr>
          <m:t>∈</m:t>
        </m:r>
        <m:r>
          <m:rPr>
            <m:sty m:val="p"/>
          </m:rPr>
          <m:t>{</m:t>
        </m:r>
        <m:r>
          <m:t>100</m:t>
        </m:r>
        <m:r>
          <m:rPr>
            <m:sty m:val="p"/>
          </m:rPr>
          <m:t>,</m:t>
        </m:r>
        <m:r>
          <m:t>500</m:t>
        </m:r>
        <m:r>
          <m:rPr>
            <m:sty m:val="p"/>
          </m:rPr>
          <m:t>,</m:t>
        </m:r>
        <m:r>
          <m:t>1000</m:t>
        </m:r>
        <m:r>
          <m:rPr>
            <m:sty m:val="p"/>
          </m:rPr>
          <m:t>,</m:t>
        </m:r>
        <m:r>
          <m:t>2000</m:t>
        </m:r>
        <m:r>
          <m:rPr>
            <m:sty m:val="p"/>
          </m:rPr>
          <m:t>,</m:t>
        </m:r>
        <m:r>
          <m:t>5000</m:t>
        </m:r>
        <m:r>
          <m:rPr>
            <m:sty m:val="p"/>
          </m:rPr>
          <m:t>}</m:t>
        </m:r>
      </m:oMath>
      <w:r>
        <w:rPr>
          <w:rFonts w:ascii="Times New Roman" w:hAnsi="Times New Roman" w:cs="Times New Roman"/>
          <w:sz w:val="24"/>
        </w:rPr>
        <w:t xml:space="preserve"> </w:t>
      </w:r>
      <w:r>
        <w:rPr>
          <w:rFonts w:ascii="Times New Roman" w:hAnsi="Times New Roman" w:cs="Times New Roman"/>
          <w:sz w:val="24"/>
        </w:rPr>
        <w:t xml:space="preserve">(Table </w:t>
      </w:r>
      <w:hyperlink w:anchor="tab:ablation_pert">
        <w:r>
          <w:rPr>
            <w:rStyle w:val="Hyperlink"/>
          </w:rPr>
          <w:t xml:space="preserve">8</w:t>
        </w:r>
      </w:hyperlink>
      <w:r>
        <w:rPr>
          <w:rFonts w:ascii="Times New Roman" w:hAnsi="Times New Roman" w:cs="Times New Roman"/>
          <w:sz w:val="24"/>
        </w:rPr>
        <w:t xml:space="preserve">). Increasing</w:t>
      </w:r>
      <w:r>
        <w:rPr>
          <w:rFonts w:ascii="Times New Roman" w:hAnsi="Times New Roman" w:cs="Times New Roman"/>
          <w:sz w:val="24"/>
        </w:rPr>
        <w:t xml:space="preserve"> </w:t>
      </w:r>
      <m:oMath>
        <m:r>
          <m:t>N</m:t>
        </m:r>
      </m:oMath>
      <w:r>
        <w:rPr>
          <w:rFonts w:ascii="Times New Roman" w:hAnsi="Times New Roman" w:cs="Times New Roman"/>
          <w:sz w:val="24"/>
        </w:rPr>
        <w:t xml:space="preserve"> </w:t>
      </w:r>
      <w:r>
        <w:rPr>
          <w:rFonts w:ascii="Times New Roman" w:hAnsi="Times New Roman" w:cs="Times New Roman"/>
          <w:sz w:val="24"/>
        </w:rPr>
        <w:t xml:space="preserve">from 100 to 1000 yields a substantial improvement in Deletion AUC (0.3856</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0.2999), as the linear surrogate better approximates the local decision boundary. Beyond 1000, returns diminish sharply:</w:t>
      </w:r>
      <w:r>
        <w:rPr>
          <w:rFonts w:ascii="Times New Roman" w:hAnsi="Times New Roman" w:cs="Times New Roman"/>
          <w:sz w:val="24"/>
        </w:rPr>
        <w:t xml:space="preserve"> </w:t>
      </w:r>
      <m:oMath>
        <m:r>
          <m:t>N</m:t>
        </m:r>
        <m:r>
          <m:rPr>
            <m:sty m:val="p"/>
          </m:rPr>
          <m:t>=</m:t>
        </m:r>
        <m:r>
          <m:t>5000</m:t>
        </m:r>
      </m:oMath>
      <w:r>
        <w:rPr>
          <w:rFonts w:ascii="Times New Roman" w:hAnsi="Times New Roman" w:cs="Times New Roman"/>
          <w:sz w:val="24"/>
        </w:rPr>
        <w:t xml:space="preserve"> </w:t>
      </w:r>
      <w:r>
        <w:rPr>
          <w:rFonts w:ascii="Times New Roman" w:hAnsi="Times New Roman" w:cs="Times New Roman"/>
          <w:sz w:val="24"/>
        </w:rPr>
        <w:t xml:space="preserve">achieves Deletion AUC = 0.2925, an improvement of only 2.5% over</w:t>
      </w:r>
      <w:r>
        <w:rPr>
          <w:rFonts w:ascii="Times New Roman" w:hAnsi="Times New Roman" w:cs="Times New Roman"/>
          <w:sz w:val="24"/>
        </w:rPr>
        <w:t xml:space="preserve"> </w:t>
      </w:r>
      <m:oMath>
        <m:r>
          <m:t>N</m:t>
        </m:r>
        <m:r>
          <m:rPr>
            <m:sty m:val="p"/>
          </m:rPr>
          <m:t>=</m:t>
        </m:r>
        <m:r>
          <m:t>1000</m:t>
        </m:r>
      </m:oMath>
      <w:r>
        <w:rPr>
          <w:rFonts w:ascii="Times New Roman" w:hAnsi="Times New Roman" w:cs="Times New Roman"/>
          <w:sz w:val="24"/>
        </w:rPr>
        <w:t xml:space="preserve"> </w:t>
      </w:r>
      <w:r>
        <w:rPr>
          <w:rFonts w:ascii="Times New Roman" w:hAnsi="Times New Roman" w:cs="Times New Roman"/>
          <w:sz w:val="24"/>
        </w:rPr>
        <w:t xml:space="preserve">at five times the computational cost. Insertion AUC follows a similar saturating trend (0.5688 at</w:t>
      </w:r>
      <w:r>
        <w:rPr>
          <w:rFonts w:ascii="Times New Roman" w:hAnsi="Times New Roman" w:cs="Times New Roman"/>
          <w:sz w:val="24"/>
        </w:rPr>
        <w:t xml:space="preserve"> </w:t>
      </w:r>
      <m:oMath>
        <m:r>
          <m:t>N</m:t>
        </m:r>
        <m:r>
          <m:rPr>
            <m:sty m:val="p"/>
          </m:rPr>
          <m:t>=</m:t>
        </m:r>
        <m:r>
          <m:t>100</m:t>
        </m:r>
      </m:oMath>
      <w:r>
        <w:rPr>
          <w:rFonts w:ascii="Times New Roman" w:hAnsi="Times New Roman" w:cs="Times New Roman"/>
          <w:sz w:val="24"/>
        </w:rPr>
        <w:t xml:space="preserve"> </w:t>
      </w:r>
      <w:r>
        <w:rPr>
          <w:rFonts w:ascii="Times New Roman" w:hAnsi="Times New Roman" w:cs="Times New Roman"/>
          <w:sz w:val="24"/>
        </w:rPr>
        <w:t xml:space="preserve">to 0.6151 at</w:t>
      </w:r>
      <w:r>
        <w:rPr>
          <w:rFonts w:ascii="Times New Roman" w:hAnsi="Times New Roman" w:cs="Times New Roman"/>
          <w:sz w:val="24"/>
        </w:rPr>
        <w:t xml:space="preserve"> </w:t>
      </w:r>
      <m:oMath>
        <m:r>
          <m:t>N</m:t>
        </m:r>
        <m:r>
          <m:rPr>
            <m:sty m:val="p"/>
          </m:rPr>
          <m:t>=</m:t>
        </m:r>
        <m:r>
          <m:t>5000</m:t>
        </m:r>
      </m:oMath>
      <w:r>
        <w:rPr>
          <w:rFonts w:ascii="Times New Roman" w:hAnsi="Times New Roman" w:cs="Times New Roman"/>
          <w:sz w:val="24"/>
        </w:rPr>
        <w:t xml:space="preserve">). The default</w:t>
      </w:r>
      <w:r>
        <w:rPr>
          <w:rFonts w:ascii="Times New Roman" w:hAnsi="Times New Roman" w:cs="Times New Roman"/>
          <w:sz w:val="24"/>
        </w:rPr>
        <w:t xml:space="preserve"> </w:t>
      </w:r>
      <m:oMath>
        <m:r>
          <m:t>N</m:t>
        </m:r>
        <m:r>
          <m:rPr>
            <m:sty m:val="p"/>
          </m:rPr>
          <m:t>=</m:t>
        </m:r>
        <m:r>
          <m:t>1000</m:t>
        </m:r>
      </m:oMath>
      <w:r>
        <w:rPr>
          <w:rFonts w:ascii="Times New Roman" w:hAnsi="Times New Roman" w:cs="Times New Roman"/>
          <w:sz w:val="24"/>
        </w:rPr>
        <w:t xml:space="preserve"> </w:t>
      </w:r>
      <w:r>
        <w:rPr>
          <w:rFonts w:ascii="Times New Roman" w:hAnsi="Times New Roman" w:cs="Times New Roman"/>
          <w:sz w:val="24"/>
        </w:rPr>
        <w:t xml:space="preserve">therefore represents a practical optimum between fidelity and computational efficiency.</w:t>
      </w:r>
    </w:p>
    <w:p>
      <w:pPr>
        <w:pStyle w:val="BodyText"/>
      </w:pPr>
      <w:bookmarkStart w:id="74" w:name="tab:ablation_pert"/>
      <w:bookmarkEnd w:id="74"/>
    </w:p>
    <w:bookmarkStart w:id="75" w:name="tab:ablation_pert"/>
    <w:p>
      <w:pPr>
        <w:pStyle w:val="TableCaption"/>
        <w:spacing w:lineRule="auto" w:line="240" w:before="0" w:after="80"/>
      </w:pPr>
      <w:r>
        <w:rPr>
          <w:rFonts w:ascii="Times New Roman" w:hAnsi="Times New Roman" w:cs="Times New Roman"/>
          <w:sz w:val="20"/>
        </w:rPr>
        <w:t xml:space="preserve">Perturbation count ablation on a 50-image class-balanced subset.</w:t>
      </w:r>
    </w:p>
    <w:tbl>
      <w:tblPr>
        <w:tblStyle w:val="Table"/>
        <w:tblW w:type="auto" w:w="0"/>
        <w:jc w:val="center"/>
        <w:tblLook w:firstRow="1" w:lastRow="0" w:firstColumn="0" w:lastColumn="0" w:noHBand="0" w:noVBand="0" w:val="0020"/>
        <w:tblCaption w:val="Perturbation count ablation on a 50-image class-balanced subset."/>
      </w:tblPr>
      <w:tblGrid>
        <w:gridCol w:w="2640"/>
        <w:gridCol w:w="2640"/>
        <w:gridCol w:w="2640"/>
      </w:tblGrid>
      <w:tr>
        <w:trPr>
          <w:tblHeader w:val="on"/>
        </w:trPr>
        <w:tc>
          <w:tcPr/>
          <w:p>
            <w:pPr>
              <w:pStyle w:val="Compact"/>
              <w:spacing w:line="240" w:lineRule="auto" w:before="40" w:after="40"/>
              <w:jc w:val="center"/>
            </w:pPr>
            <w:r>
              <w:rPr>
                <w:rFonts w:ascii="Times New Roman" w:hAnsi="Times New Roman" w:cs="Times New Roman"/>
                <w:sz w:val="18"/>
              </w:rPr>
              <w:t xml:space="preserve">Samples (</w:t>
            </w:r>
            <m:oMath>
              <m:r>
                <m:t>N</m:t>
              </m:r>
            </m:oMath>
            <w:r>
              <w:rPr>
                <w:rFonts w:ascii="Times New Roman" w:hAnsi="Times New Roman" w:cs="Times New Roman"/>
                <w:sz w:val="18"/>
              </w:rPr>
              <w:t xml:space="preserve">)</w:t>
            </w:r>
          </w:p>
        </w:tc>
        <w:tc>
          <w:tcPr/>
          <w:p>
            <w:pPr>
              <w:pStyle w:val="Compact"/>
              <w:spacing w:line="240" w:lineRule="auto" w:before="40" w:after="40"/>
              <w:jc w:val="center"/>
            </w:pPr>
            <w:r>
              <w:rPr>
                <w:rFonts w:ascii="Times New Roman" w:hAnsi="Times New Roman" w:cs="Times New Roman"/>
                <w:sz w:val="18"/>
              </w:rPr>
              <w:t xml:space="preserve">Deletion AUC</w:t>
            </w:r>
          </w:p>
        </w:tc>
        <w:tc>
          <w:tcPr/>
          <w:p>
            <w:pPr>
              <w:pStyle w:val="Compact"/>
              <w:spacing w:line="240" w:lineRule="auto" w:before="40" w:after="40"/>
              <w:jc w:val="center"/>
            </w:pPr>
            <w:r>
              <w:rPr>
                <w:rFonts w:ascii="Times New Roman" w:hAnsi="Times New Roman" w:cs="Times New Roman"/>
                <w:sz w:val="18"/>
              </w:rPr>
              <w:t xml:space="preserve">Insertion AUC</w:t>
            </w:r>
          </w:p>
        </w:tc>
      </w:tr>
      <w:tr>
        <w:tc>
          <w:tcPr/>
          <w:p>
            <w:pPr>
              <w:pStyle w:val="Compact"/>
              <w:spacing w:line="240" w:lineRule="auto" w:before="40" w:after="40"/>
              <w:jc w:val="center"/>
            </w:pPr>
            <w:r>
              <w:rPr>
                <w:rFonts w:ascii="Times New Roman" w:hAnsi="Times New Roman" w:cs="Times New Roman"/>
                <w:sz w:val="18"/>
              </w:rPr>
              <w:t xml:space="preserve">100</w:t>
            </w:r>
          </w:p>
        </w:tc>
        <w:tc>
          <w:tcPr/>
          <w:p>
            <w:pPr>
              <w:pStyle w:val="Compact"/>
              <w:spacing w:line="240" w:lineRule="auto" w:before="40" w:after="40"/>
              <w:jc w:val="center"/>
            </w:pPr>
            <w:r>
              <w:rPr>
                <w:rFonts w:ascii="Times New Roman" w:hAnsi="Times New Roman" w:cs="Times New Roman"/>
                <w:sz w:val="18"/>
              </w:rPr>
              <w:t xml:space="preserve">0.3856</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0.173</w:t>
            </w:r>
          </w:p>
        </w:tc>
        <w:tc>
          <w:tcPr/>
          <w:p>
            <w:pPr>
              <w:pStyle w:val="Compact"/>
              <w:spacing w:line="240" w:lineRule="auto" w:before="40" w:after="40"/>
              <w:jc w:val="center"/>
            </w:pPr>
            <w:r>
              <w:rPr>
                <w:rFonts w:ascii="Times New Roman" w:hAnsi="Times New Roman" w:cs="Times New Roman"/>
                <w:sz w:val="18"/>
              </w:rPr>
              <w:t xml:space="preserve">0.5688</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0.165</w:t>
            </w:r>
          </w:p>
        </w:tc>
      </w:tr>
      <w:tr>
        <w:tc>
          <w:tcPr/>
          <w:p>
            <w:pPr>
              <w:pStyle w:val="Compact"/>
              <w:spacing w:line="240" w:lineRule="auto" w:before="40" w:after="40"/>
              <w:jc w:val="center"/>
            </w:pPr>
            <w:r>
              <w:rPr>
                <w:rFonts w:ascii="Times New Roman" w:hAnsi="Times New Roman" w:cs="Times New Roman"/>
                <w:sz w:val="18"/>
              </w:rPr>
              <w:t xml:space="preserve">500</w:t>
            </w:r>
          </w:p>
        </w:tc>
        <w:tc>
          <w:tcPr/>
          <w:p>
            <w:pPr>
              <w:pStyle w:val="Compact"/>
              <w:spacing w:line="240" w:lineRule="auto" w:before="40" w:after="40"/>
              <w:jc w:val="center"/>
            </w:pPr>
            <w:r>
              <w:rPr>
                <w:rFonts w:ascii="Times New Roman" w:hAnsi="Times New Roman" w:cs="Times New Roman"/>
                <w:sz w:val="18"/>
              </w:rPr>
              <w:t xml:space="preserve">0.3141</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0.161</w:t>
            </w:r>
          </w:p>
        </w:tc>
        <w:tc>
          <w:tcPr/>
          <w:p>
            <w:pPr>
              <w:pStyle w:val="Compact"/>
              <w:spacing w:line="240" w:lineRule="auto" w:before="40" w:after="40"/>
              <w:jc w:val="center"/>
            </w:pPr>
            <w:r>
              <w:rPr>
                <w:rFonts w:ascii="Times New Roman" w:hAnsi="Times New Roman" w:cs="Times New Roman"/>
                <w:sz w:val="18"/>
              </w:rPr>
              <w:t xml:space="preserve">0.6059</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0.178</w:t>
            </w:r>
          </w:p>
        </w:tc>
      </w:tr>
      <w:tr>
        <w:tc>
          <w:tcPr/>
          <w:p>
            <w:pPr>
              <w:pStyle w:val="Compact"/>
              <w:spacing w:line="240" w:lineRule="auto" w:before="40" w:after="40"/>
              <w:jc w:val="center"/>
            </w:pPr>
            <w:r>
              <w:rPr>
                <w:rFonts w:ascii="Times New Roman" w:hAnsi="Times New Roman" w:cs="Times New Roman"/>
                <w:b/>
                <w:bCs/>
                <w:sz w:val="18"/>
              </w:rPr>
              <w:t xml:space="preserve">1000 (default)</w:t>
            </w:r>
          </w:p>
        </w:tc>
        <w:tc>
          <w:tcPr/>
          <w:p>
            <w:pPr>
              <w:pStyle w:val="Compact"/>
              <w:spacing w:line="240" w:lineRule="auto" w:before="40" w:after="40"/>
              <w:jc w:val="center"/>
            </w:pPr>
            <w:r>
              <w:rPr>
                <w:rFonts w:ascii="Times New Roman" w:hAnsi="Times New Roman" w:cs="Times New Roman"/>
                <w:b/>
                <w:bCs/>
                <w:sz w:val="18"/>
              </w:rPr>
              <w:t xml:space="preserve">0.2999</w:t>
            </w:r>
            <w:r>
              <w:rPr>
                <w:rFonts w:ascii="Times New Roman" w:hAnsi="Times New Roman" w:cs="Times New Roman"/>
                <w:b/>
                <w:bCs/>
                <w:sz w:val="18"/>
              </w:rPr>
              <w:t xml:space="preserve"> </w:t>
            </w:r>
            <m:oMath>
              <m:r>
                <m:rPr>
                  <m:sty m:val="p"/>
                </m:rPr>
                <m:t>±</m:t>
              </m:r>
            </m:oMath>
            <w:r>
              <w:rPr>
                <w:rFonts w:ascii="Times New Roman" w:hAnsi="Times New Roman" w:cs="Times New Roman"/>
                <w:b/>
                <w:bCs/>
                <w:sz w:val="18"/>
              </w:rPr>
              <w:t xml:space="preserve"> </w:t>
            </w:r>
            <w:r>
              <w:rPr>
                <w:rFonts w:ascii="Times New Roman" w:hAnsi="Times New Roman" w:cs="Times New Roman"/>
                <w:b/>
                <w:bCs/>
                <w:sz w:val="18"/>
              </w:rPr>
              <w:t xml:space="preserve">0.160</w:t>
            </w:r>
          </w:p>
        </w:tc>
        <w:tc>
          <w:tcPr/>
          <w:p>
            <w:pPr>
              <w:pStyle w:val="Compact"/>
              <w:spacing w:line="240" w:lineRule="auto" w:before="40" w:after="40"/>
              <w:jc w:val="center"/>
            </w:pPr>
            <w:r>
              <w:rPr>
                <w:rFonts w:ascii="Times New Roman" w:hAnsi="Times New Roman" w:cs="Times New Roman"/>
                <w:b/>
                <w:bCs/>
                <w:sz w:val="18"/>
              </w:rPr>
              <w:t xml:space="preserve">0.6123</w:t>
            </w:r>
            <w:r>
              <w:rPr>
                <w:rFonts w:ascii="Times New Roman" w:hAnsi="Times New Roman" w:cs="Times New Roman"/>
                <w:b/>
                <w:bCs/>
                <w:sz w:val="18"/>
              </w:rPr>
              <w:t xml:space="preserve"> </w:t>
            </w:r>
            <m:oMath>
              <m:r>
                <m:rPr>
                  <m:sty m:val="p"/>
                </m:rPr>
                <m:t>±</m:t>
              </m:r>
            </m:oMath>
            <w:r>
              <w:rPr>
                <w:rFonts w:ascii="Times New Roman" w:hAnsi="Times New Roman" w:cs="Times New Roman"/>
                <w:b/>
                <w:bCs/>
                <w:sz w:val="18"/>
              </w:rPr>
              <w:t xml:space="preserve"> </w:t>
            </w:r>
            <w:r>
              <w:rPr>
                <w:rFonts w:ascii="Times New Roman" w:hAnsi="Times New Roman" w:cs="Times New Roman"/>
                <w:b/>
                <w:bCs/>
                <w:sz w:val="18"/>
              </w:rPr>
              <w:t xml:space="preserve">0.175</w:t>
            </w:r>
          </w:p>
        </w:tc>
      </w:tr>
      <w:tr>
        <w:tc>
          <w:tcPr/>
          <w:p>
            <w:pPr>
              <w:pStyle w:val="Compact"/>
              <w:spacing w:line="240" w:lineRule="auto" w:before="40" w:after="40"/>
              <w:jc w:val="center"/>
            </w:pPr>
            <w:r>
              <w:rPr>
                <w:rFonts w:ascii="Times New Roman" w:hAnsi="Times New Roman" w:cs="Times New Roman"/>
                <w:sz w:val="18"/>
              </w:rPr>
              <w:t xml:space="preserve">2000</w:t>
            </w:r>
          </w:p>
        </w:tc>
        <w:tc>
          <w:tcPr/>
          <w:p>
            <w:pPr>
              <w:pStyle w:val="Compact"/>
              <w:spacing w:line="240" w:lineRule="auto" w:before="40" w:after="40"/>
              <w:jc w:val="center"/>
            </w:pPr>
            <w:r>
              <w:rPr>
                <w:rFonts w:ascii="Times New Roman" w:hAnsi="Times New Roman" w:cs="Times New Roman"/>
                <w:sz w:val="18"/>
              </w:rPr>
              <w:t xml:space="preserve">0.2934</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0.154</w:t>
            </w:r>
          </w:p>
        </w:tc>
        <w:tc>
          <w:tcPr/>
          <w:p>
            <w:pPr>
              <w:pStyle w:val="Compact"/>
              <w:spacing w:line="240" w:lineRule="auto" w:before="40" w:after="40"/>
              <w:jc w:val="center"/>
            </w:pPr>
            <w:r>
              <w:rPr>
                <w:rFonts w:ascii="Times New Roman" w:hAnsi="Times New Roman" w:cs="Times New Roman"/>
                <w:sz w:val="18"/>
              </w:rPr>
              <w:t xml:space="preserve">0.6081</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0.184</w:t>
            </w:r>
          </w:p>
        </w:tc>
      </w:tr>
      <w:tr>
        <w:tc>
          <w:tcPr/>
          <w:p>
            <w:pPr>
              <w:pStyle w:val="Compact"/>
              <w:spacing w:line="240" w:lineRule="auto" w:before="40" w:after="40"/>
              <w:jc w:val="center"/>
            </w:pPr>
            <w:r>
              <w:rPr>
                <w:rFonts w:ascii="Times New Roman" w:hAnsi="Times New Roman" w:cs="Times New Roman"/>
                <w:sz w:val="18"/>
              </w:rPr>
              <w:t xml:space="preserve">5000</w:t>
            </w:r>
          </w:p>
        </w:tc>
        <w:tc>
          <w:tcPr/>
          <w:p>
            <w:pPr>
              <w:pStyle w:val="Compact"/>
              <w:spacing w:line="240" w:lineRule="auto" w:before="40" w:after="40"/>
              <w:jc w:val="center"/>
            </w:pPr>
            <w:r>
              <w:rPr>
                <w:rFonts w:ascii="Times New Roman" w:hAnsi="Times New Roman" w:cs="Times New Roman"/>
                <w:sz w:val="18"/>
              </w:rPr>
              <w:t xml:space="preserve">0.2925</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0.152</w:t>
            </w:r>
          </w:p>
        </w:tc>
        <w:tc>
          <w:tcPr/>
          <w:p>
            <w:pPr>
              <w:pStyle w:val="Compact"/>
              <w:spacing w:line="240" w:lineRule="auto" w:before="40" w:after="40"/>
              <w:jc w:val="center"/>
            </w:pPr>
            <w:r>
              <w:rPr>
                <w:rFonts w:ascii="Times New Roman" w:hAnsi="Times New Roman" w:cs="Times New Roman"/>
                <w:sz w:val="18"/>
              </w:rPr>
              <w:t xml:space="preserve">0.6151</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0.182</w:t>
            </w:r>
          </w:p>
        </w:tc>
      </w:tr>
    </w:tbl>
    <w:bookmarkEnd w:id="75"/>
    <w:bookmarkEnd w:id="76"/>
    <w:bookmarkStart w:id="77" w:name="baseline-replacement-type."/>
    <w:p>
      <w:pPr>
        <w:pStyle w:val="Heading4"/>
        <w:spacing w:lineRule="auto" w:line="288" w:before="0" w:after="80"/>
      </w:pPr>
      <w:r>
        <w:rPr>
          <w:rFonts w:ascii="Times New Roman" w:hAnsi="Times New Roman" w:cs="Times New Roman"/>
          <w:b/>
          <w:sz w:val="24"/>
        </w:rPr>
        <w:t xml:space="preserve">Baseline Replacement Type.</w:t>
      </w:r>
    </w:p>
    <w:p>
      <w:pPr>
        <w:pStyle w:val="FirstParagraph"/>
        <w:spacing w:lineRule="auto" w:line="360" w:before="0" w:after="80"/>
      </w:pPr>
      <w:r>
        <w:rPr>
          <w:rFonts w:ascii="Times New Roman" w:hAnsi="Times New Roman" w:cs="Times New Roman"/>
          <w:sz w:val="24"/>
        </w:rPr>
        <w:t xml:space="preserve">The Deletion test replaces removed superpixels with a baseline value; the choice of baseline can bias fidelity estimates </w:t>
      </w:r>
      <w:r>
        <w:rPr>
          <w:rFonts w:ascii="Times New Roman" w:hAnsi="Times New Roman" w:cs="Times New Roman"/>
          <w:sz w:val="24"/>
          <w:vertAlign w:val="superscript"/>
        </w:rPr>
        <w:t xml:space="preserve">25</w:t>
      </w:r>
      <w:r>
        <w:rPr>
          <w:rFonts w:ascii="Times New Roman" w:hAnsi="Times New Roman" w:cs="Times New Roman"/>
          <w:sz w:val="24"/>
        </w:rPr>
        <w:t xml:space="preserve">. We compared three baselines: constant gray (mean ImageNet pixel values, default), Gaussian blur (</w:t>
      </w:r>
      <m:oMath>
        <m:r>
          <m:t>σ</m:t>
        </m:r>
        <m:r>
          <m:rPr>
            <m:sty m:val="p"/>
          </m:rPr>
          <m:t>=</m:t>
        </m:r>
        <m:r>
          <m:t>5</m:t>
        </m:r>
      </m:oMath>
      <w:r>
        <w:rPr>
          <w:rFonts w:ascii="Times New Roman" w:hAnsi="Times New Roman" w:cs="Times New Roman"/>
          <w:sz w:val="24"/>
        </w:rPr>
        <w:t xml:space="preserve">), and uniform noise (</w:t>
      </w:r>
      <m:oMath>
        <m:r>
          <m:rPr>
            <m:scr m:val="script"/>
            <m:sty m:val="p"/>
          </m:rPr>
          <m:t>U</m:t>
        </m:r>
        <m:r>
          <m:rPr>
            <m:sty m:val="p"/>
          </m:rPr>
          <m:t>[</m:t>
        </m:r>
        <m:r>
          <m:t>0</m:t>
        </m:r>
        <m:r>
          <m:rPr>
            <m:sty m:val="p"/>
          </m:rPr>
          <m:t>,</m:t>
        </m:r>
        <m:r>
          <m:t>255</m:t>
        </m:r>
        <m:r>
          <m:rPr>
            <m:sty m:val="p"/>
          </m:rPr>
          <m:t>]</m:t>
        </m:r>
      </m:oMath>
      <w:r>
        <w:rPr>
          <w:rFonts w:ascii="Times New Roman" w:hAnsi="Times New Roman" w:cs="Times New Roman"/>
          <w:sz w:val="24"/>
        </w:rPr>
        <w:t xml:space="preserve">). Gray achieves a balanced Deletion AUC of 0.2999. Blur attenuates high-frequency information more gradually, producing a higher Deletion AUC (0.3517) that may understate model sensitivity. Noise introduces artificial structure that can cause the model to maintain spurious confidence, resulting in a lower Deletion AUC (0.2652) that may overstate faithfulness. We adopt the constant gray baseline as the most neutral and widely used convention in the literature.</w:t>
      </w:r>
    </w:p>
    <w:bookmarkEnd w:id="77"/>
    <w:bookmarkEnd w:id="78"/>
    <w:bookmarkEnd w:id="79"/>
    <w:bookmarkStart w:id="97" w:name="sec:idrid_results"/>
    <w:p>
      <w:pPr>
        <w:pStyle w:val="Heading2"/>
        <w:spacing w:lineRule="auto" w:line="288" w:before="0" w:after="80"/>
        <w:jc w:val="left"/>
      </w:pPr>
      <w:r>
        <w:rPr>
          <w:rFonts w:ascii="Times New Roman" w:hAnsi="Times New Roman" w:cs="Times New Roman"/>
          <w:sz w:val="26"/>
        </w:rPr>
        <w:t xml:space="preserve">Cross-Dataset Fidelity Results on IDRiD</w:t>
      </w:r>
    </w:p>
    <w:p>
      <w:pPr>
        <w:pStyle w:val="FirstParagraph"/>
        <w:spacing w:lineRule="auto" w:line="360" w:before="0" w:after="80"/>
      </w:pPr>
      <w:r>
        <w:rPr>
          <w:rFonts w:ascii="Times New Roman" w:hAnsi="Times New Roman" w:cs="Times New Roman"/>
          <w:sz w:val="24"/>
        </w:rPr>
        <w:t xml:space="preserve">The 7-method fidelity evaluation was replicated on the 51 correctly classified IDRiD test images using the IDRiD-fine-tuned Swin-T model. Table </w:t>
      </w:r>
      <w:hyperlink w:anchor="tab:idrid_fidelity">
        <w:r>
          <w:rPr>
            <w:rStyle w:val="Hyperlink"/>
          </w:rPr>
          <w:t xml:space="preserve">9</w:t>
        </w:r>
      </w:hyperlink>
      <w:r>
        <w:rPr>
          <w:rFonts w:ascii="Times New Roman" w:hAnsi="Times New Roman" w:cs="Times New Roman"/>
          <w:sz w:val="24"/>
        </w:rPr>
        <w:t xml:space="preserve"> </w:t>
      </w:r>
      <w:r>
        <w:rPr>
          <w:rFonts w:ascii="Times New Roman" w:hAnsi="Times New Roman" w:cs="Times New Roman"/>
          <w:sz w:val="24"/>
        </w:rPr>
        <w:t xml:space="preserve">presents the results.</w:t>
      </w:r>
    </w:p>
    <w:p>
      <w:pPr>
        <w:pStyle w:val="BodyText"/>
      </w:pPr>
      <w:bookmarkStart w:id="80" w:name="tab:idrid_fidelity"/>
      <w:bookmarkEnd w:id="80"/>
    </w:p>
    <w:bookmarkStart w:id="81" w:name="tab:idrid_fidelity"/>
    <w:p>
      <w:pPr>
        <w:pStyle w:val="TableCaption"/>
        <w:spacing w:lineRule="auto" w:line="240" w:before="0" w:after="80"/>
      </w:pPr>
      <w:r>
        <w:rPr>
          <w:rFonts w:ascii="Times New Roman" w:hAnsi="Times New Roman" w:cs="Times New Roman"/>
          <w:sz w:val="20"/>
        </w:rPr>
        <w:t xml:space="preserve">Multi-tiered Fidelity Comparison on IDRiD (n=51). Values are mean</w:t>
      </w:r>
      <w:r>
        <w:rPr>
          <w:rFonts w:ascii="Times New Roman" w:hAnsi="Times New Roman" w:cs="Times New Roman"/>
          <w:sz w:val="20"/>
        </w:rPr>
        <w:t xml:space="preserve"> </w:t>
      </w:r>
      <m:oMath>
        <m:r>
          <m:rPr>
            <m:sty m:val="p"/>
          </m:rPr>
          <m:t>±</m:t>
        </m:r>
      </m:oMath>
      <w:r>
        <w:rPr>
          <w:rFonts w:ascii="Times New Roman" w:hAnsi="Times New Roman" w:cs="Times New Roman"/>
          <w:sz w:val="20"/>
        </w:rPr>
        <w:t xml:space="preserve"> </w:t>
      </w:r>
      <w:r>
        <w:rPr>
          <w:rFonts w:ascii="Times New Roman" w:hAnsi="Times New Roman" w:cs="Times New Roman"/>
          <w:sz w:val="20"/>
        </w:rPr>
        <w:t xml:space="preserve">standard deviation.</w:t>
      </w:r>
    </w:p>
    <w:tbl>
      <w:tblPr>
        <w:tblStyle w:val="Table"/>
        <w:tblW w:type="auto" w:w="0"/>
        <w:jc w:val="center"/>
        <w:tblLook w:firstRow="1" w:lastRow="0" w:firstColumn="0" w:lastColumn="0" w:noHBand="0" w:noVBand="0" w:val="0020"/>
        <w:tblCaption w:val="Multi-tiered Fidelity Comparison on IDRiD (n=51). Values are mean \pm standard deviation."/>
      </w:tblPr>
      <w:tblGrid>
        <w:gridCol w:w="2640"/>
        <w:gridCol w:w="2640"/>
        <w:gridCol w:w="2640"/>
      </w:tblGrid>
      <w:tr>
        <w:trPr>
          <w:tblHeader w:val="on"/>
        </w:trPr>
        <w:tc>
          <w:tcPr/>
          <w:p>
            <w:pPr>
              <w:pStyle w:val="Compact"/>
              <w:spacing w:line="240" w:lineRule="auto" w:before="40" w:after="40"/>
              <w:jc w:val="center"/>
            </w:pPr>
            <w:r>
              <w:rPr>
                <w:rFonts w:ascii="Times New Roman" w:hAnsi="Times New Roman" w:cs="Times New Roman"/>
                <w:sz w:val="18"/>
              </w:rPr>
              <w:t xml:space="preserve">Method</w:t>
            </w:r>
          </w:p>
        </w:tc>
        <w:tc>
          <w:tcPr/>
          <w:p>
            <w:pPr>
              <w:pStyle w:val="Compact"/>
              <w:spacing w:line="240" w:lineRule="auto" w:before="40" w:after="40"/>
              <w:jc w:val="center"/>
            </w:pPr>
            <w:r>
              <w:rPr>
                <w:rFonts w:ascii="Times New Roman" w:hAnsi="Times New Roman" w:cs="Times New Roman"/>
                <w:sz w:val="18"/>
              </w:rPr>
              <w:t xml:space="preserve">Deletion AUC</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SD</w:t>
            </w:r>
          </w:p>
        </w:tc>
        <w:tc>
          <w:tcPr/>
          <w:p>
            <w:pPr>
              <w:pStyle w:val="Compact"/>
              <w:spacing w:line="240" w:lineRule="auto" w:before="40" w:after="40"/>
              <w:jc w:val="center"/>
            </w:pPr>
            <w:r>
              <w:rPr>
                <w:rFonts w:ascii="Times New Roman" w:hAnsi="Times New Roman" w:cs="Times New Roman"/>
                <w:sz w:val="18"/>
              </w:rPr>
              <w:t xml:space="preserve">Insertion AUC</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SD</w:t>
            </w:r>
          </w:p>
        </w:tc>
      </w:tr>
      <w:tr>
        <w:tc>
          <w:tcPr/>
          <w:p>
            <w:pPr>
              <w:pStyle w:val="Compact"/>
              <w:spacing w:line="240" w:lineRule="auto" w:before="40" w:after="40"/>
              <w:jc w:val="center"/>
            </w:pPr>
            <w:r>
              <w:rPr>
                <w:rFonts w:ascii="Times New Roman" w:hAnsi="Times New Roman" w:cs="Times New Roman"/>
                <w:sz w:val="18"/>
              </w:rPr>
              <w:t xml:space="preserve">Random Baseline</w:t>
            </w:r>
          </w:p>
        </w:tc>
        <w:tc>
          <w:tcPr/>
          <w:p>
            <w:pPr>
              <w:pStyle w:val="Compact"/>
              <w:spacing w:line="240" w:lineRule="auto" w:before="40" w:after="40"/>
              <w:jc w:val="center"/>
            </w:pPr>
            <w:r>
              <w:rPr>
                <w:rFonts w:ascii="Times New Roman" w:hAnsi="Times New Roman" w:cs="Times New Roman"/>
                <w:sz w:val="18"/>
              </w:rPr>
              <w:t xml:space="preserve">0.6180</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0.247</w:t>
            </w:r>
          </w:p>
        </w:tc>
        <w:tc>
          <w:tcPr/>
          <w:p>
            <w:pPr>
              <w:pStyle w:val="Compact"/>
              <w:spacing w:line="240" w:lineRule="auto" w:before="40" w:after="40"/>
              <w:jc w:val="center"/>
            </w:pPr>
            <w:r>
              <w:rPr>
                <w:rFonts w:ascii="Times New Roman" w:hAnsi="Times New Roman" w:cs="Times New Roman"/>
                <w:sz w:val="18"/>
              </w:rPr>
              <w:t xml:space="preserve">0.5709</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0.249</w:t>
            </w:r>
          </w:p>
        </w:tc>
      </w:tr>
      <w:tr>
        <w:tc>
          <w:tcPr/>
          <w:p>
            <w:pPr>
              <w:pStyle w:val="Compact"/>
              <w:spacing w:line="240" w:lineRule="auto" w:before="40" w:after="40"/>
              <w:jc w:val="center"/>
            </w:pPr>
            <w:r>
              <w:rPr>
                <w:rFonts w:ascii="Times New Roman" w:hAnsi="Times New Roman" w:cs="Times New Roman"/>
                <w:sz w:val="18"/>
              </w:rPr>
              <w:t xml:space="preserve">Grad-CAM</w:t>
            </w:r>
          </w:p>
        </w:tc>
        <w:tc>
          <w:tcPr/>
          <w:p>
            <w:pPr>
              <w:pStyle w:val="Compact"/>
              <w:spacing w:line="240" w:lineRule="auto" w:before="40" w:after="40"/>
              <w:jc w:val="center"/>
            </w:pPr>
            <w:r>
              <w:rPr>
                <w:rFonts w:ascii="Times New Roman" w:hAnsi="Times New Roman" w:cs="Times New Roman"/>
                <w:sz w:val="18"/>
              </w:rPr>
              <w:t xml:space="preserve">0.4802</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0.284</w:t>
            </w:r>
          </w:p>
        </w:tc>
        <w:tc>
          <w:tcPr/>
          <w:p>
            <w:pPr>
              <w:pStyle w:val="Compact"/>
              <w:spacing w:line="240" w:lineRule="auto" w:before="40" w:after="40"/>
              <w:jc w:val="center"/>
            </w:pPr>
            <w:r>
              <w:rPr>
                <w:rFonts w:ascii="Times New Roman" w:hAnsi="Times New Roman" w:cs="Times New Roman"/>
                <w:sz w:val="18"/>
              </w:rPr>
              <w:t xml:space="preserve">0.7759</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0.135</w:t>
            </w:r>
          </w:p>
        </w:tc>
      </w:tr>
      <w:tr>
        <w:tc>
          <w:tcPr/>
          <w:p>
            <w:pPr>
              <w:pStyle w:val="Compact"/>
              <w:spacing w:line="240" w:lineRule="auto" w:before="40" w:after="40"/>
              <w:jc w:val="center"/>
            </w:pPr>
            <w:r>
              <w:rPr>
                <w:rFonts w:ascii="Times New Roman" w:hAnsi="Times New Roman" w:cs="Times New Roman"/>
                <w:sz w:val="18"/>
              </w:rPr>
              <w:t xml:space="preserve">RISE</w:t>
            </w:r>
          </w:p>
        </w:tc>
        <w:tc>
          <w:tcPr/>
          <w:p>
            <w:pPr>
              <w:pStyle w:val="Compact"/>
              <w:spacing w:line="240" w:lineRule="auto" w:before="40" w:after="40"/>
              <w:jc w:val="center"/>
            </w:pPr>
            <w:r>
              <w:rPr>
                <w:rFonts w:ascii="Times New Roman" w:hAnsi="Times New Roman" w:cs="Times New Roman"/>
                <w:sz w:val="18"/>
              </w:rPr>
              <w:t xml:space="preserve">0.2844</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0.219</w:t>
            </w:r>
          </w:p>
        </w:tc>
        <w:tc>
          <w:tcPr/>
          <w:p>
            <w:pPr>
              <w:pStyle w:val="Compact"/>
              <w:spacing w:line="240" w:lineRule="auto" w:before="40" w:after="40"/>
              <w:jc w:val="center"/>
            </w:pPr>
            <w:r>
              <w:rPr>
                <w:rFonts w:ascii="Times New Roman" w:hAnsi="Times New Roman" w:cs="Times New Roman"/>
                <w:sz w:val="18"/>
              </w:rPr>
              <w:t xml:space="preserve">0.8519</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0.138</w:t>
            </w:r>
          </w:p>
        </w:tc>
      </w:tr>
      <w:tr>
        <w:tc>
          <w:tcPr/>
          <w:p>
            <w:pPr>
              <w:pStyle w:val="Compact"/>
              <w:spacing w:line="240" w:lineRule="auto" w:before="40" w:after="40"/>
              <w:jc w:val="center"/>
            </w:pPr>
            <w:r>
              <w:rPr>
                <w:rFonts w:ascii="Times New Roman" w:hAnsi="Times New Roman" w:cs="Times New Roman"/>
                <w:sz w:val="18"/>
              </w:rPr>
              <w:t xml:space="preserve">SHAP</w:t>
            </w:r>
          </w:p>
        </w:tc>
        <w:tc>
          <w:tcPr/>
          <w:p>
            <w:pPr>
              <w:pStyle w:val="Compact"/>
              <w:spacing w:line="240" w:lineRule="auto" w:before="40" w:after="40"/>
              <w:jc w:val="center"/>
            </w:pPr>
            <w:r>
              <w:rPr>
                <w:rFonts w:ascii="Times New Roman" w:hAnsi="Times New Roman" w:cs="Times New Roman"/>
                <w:sz w:val="18"/>
              </w:rPr>
              <w:t xml:space="preserve">0.5458</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0.243</w:t>
            </w:r>
          </w:p>
        </w:tc>
        <w:tc>
          <w:tcPr/>
          <w:p>
            <w:pPr>
              <w:pStyle w:val="Compact"/>
              <w:spacing w:line="240" w:lineRule="auto" w:before="40" w:after="40"/>
              <w:jc w:val="center"/>
            </w:pPr>
            <w:r>
              <w:rPr>
                <w:rFonts w:ascii="Times New Roman" w:hAnsi="Times New Roman" w:cs="Times New Roman"/>
                <w:sz w:val="18"/>
              </w:rPr>
              <w:t xml:space="preserve">0.6505</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0.260</w:t>
            </w:r>
          </w:p>
        </w:tc>
      </w:tr>
      <w:tr>
        <w:tc>
          <w:tcPr/>
          <w:p>
            <w:pPr>
              <w:pStyle w:val="Compact"/>
              <w:spacing w:line="240" w:lineRule="auto" w:before="40" w:after="40"/>
              <w:jc w:val="center"/>
            </w:pPr>
            <w:r>
              <w:rPr>
                <w:rFonts w:ascii="Times New Roman" w:hAnsi="Times New Roman" w:cs="Times New Roman"/>
                <w:sz w:val="18"/>
              </w:rPr>
              <w:t xml:space="preserve">IG</w:t>
            </w:r>
          </w:p>
        </w:tc>
        <w:tc>
          <w:tcPr/>
          <w:p>
            <w:pPr>
              <w:pStyle w:val="Compact"/>
              <w:spacing w:line="240" w:lineRule="auto" w:before="40" w:after="40"/>
              <w:jc w:val="center"/>
            </w:pPr>
            <w:r>
              <w:rPr>
                <w:rFonts w:ascii="Times New Roman" w:hAnsi="Times New Roman" w:cs="Times New Roman"/>
                <w:sz w:val="18"/>
              </w:rPr>
              <w:t xml:space="preserve">0.5551</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0.254</w:t>
            </w:r>
          </w:p>
        </w:tc>
        <w:tc>
          <w:tcPr/>
          <w:p>
            <w:pPr>
              <w:pStyle w:val="Compact"/>
              <w:spacing w:line="240" w:lineRule="auto" w:before="40" w:after="40"/>
              <w:jc w:val="center"/>
            </w:pPr>
            <w:r>
              <w:rPr>
                <w:rFonts w:ascii="Times New Roman" w:hAnsi="Times New Roman" w:cs="Times New Roman"/>
                <w:sz w:val="18"/>
              </w:rPr>
              <w:t xml:space="preserve">0.6333</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0.266</w:t>
            </w:r>
          </w:p>
        </w:tc>
      </w:tr>
      <w:tr>
        <w:tc>
          <w:tcPr/>
          <w:p>
            <w:pPr>
              <w:pStyle w:val="Compact"/>
              <w:spacing w:line="240" w:lineRule="auto" w:before="40" w:after="40"/>
              <w:jc w:val="center"/>
            </w:pPr>
            <w:r>
              <w:rPr>
                <w:rFonts w:ascii="Times New Roman" w:hAnsi="Times New Roman" w:cs="Times New Roman"/>
                <w:sz w:val="18"/>
              </w:rPr>
              <w:t xml:space="preserve">Attention</w:t>
            </w:r>
          </w:p>
        </w:tc>
        <w:tc>
          <w:tcPr/>
          <w:p>
            <w:pPr>
              <w:pStyle w:val="Compact"/>
              <w:spacing w:line="240" w:lineRule="auto" w:before="40" w:after="40"/>
              <w:jc w:val="center"/>
            </w:pPr>
            <w:r>
              <w:rPr>
                <w:rFonts w:ascii="Times New Roman" w:hAnsi="Times New Roman" w:cs="Times New Roman"/>
                <w:sz w:val="18"/>
              </w:rPr>
              <w:t xml:space="preserve">0.6909</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0.228</w:t>
            </w:r>
          </w:p>
        </w:tc>
        <w:tc>
          <w:tcPr/>
          <w:p>
            <w:pPr>
              <w:pStyle w:val="Compact"/>
              <w:spacing w:line="240" w:lineRule="auto" w:before="40" w:after="40"/>
              <w:jc w:val="center"/>
            </w:pPr>
            <w:r>
              <w:rPr>
                <w:rFonts w:ascii="Times New Roman" w:hAnsi="Times New Roman" w:cs="Times New Roman"/>
                <w:sz w:val="18"/>
              </w:rPr>
              <w:t xml:space="preserve">0.5564</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0.238</w:t>
            </w:r>
          </w:p>
        </w:tc>
      </w:tr>
      <w:tr>
        <w:tc>
          <w:tcPr/>
          <w:p>
            <w:pPr>
              <w:pStyle w:val="Compact"/>
              <w:spacing w:line="240" w:lineRule="auto" w:before="40" w:after="40"/>
              <w:jc w:val="center"/>
            </w:pPr>
            <w:r>
              <w:rPr>
                <w:rFonts w:ascii="Times New Roman" w:hAnsi="Times New Roman" w:cs="Times New Roman"/>
                <w:sz w:val="18"/>
              </w:rPr>
              <w:t xml:space="preserve">Standard LIME</w:t>
            </w:r>
          </w:p>
        </w:tc>
        <w:tc>
          <w:tcPr/>
          <w:p>
            <w:pPr>
              <w:pStyle w:val="Compact"/>
              <w:spacing w:line="240" w:lineRule="auto" w:before="40" w:after="40"/>
              <w:jc w:val="center"/>
            </w:pPr>
            <w:r>
              <w:rPr>
                <w:rFonts w:ascii="Times New Roman" w:hAnsi="Times New Roman" w:cs="Times New Roman"/>
                <w:sz w:val="18"/>
              </w:rPr>
              <w:t xml:space="preserve">0.1859</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0.168</w:t>
            </w:r>
          </w:p>
        </w:tc>
        <w:tc>
          <w:tcPr/>
          <w:p>
            <w:pPr>
              <w:pStyle w:val="Compact"/>
              <w:spacing w:line="240" w:lineRule="auto" w:before="40" w:after="40"/>
              <w:jc w:val="center"/>
            </w:pPr>
            <w:r>
              <w:rPr>
                <w:rFonts w:ascii="Times New Roman" w:hAnsi="Times New Roman" w:cs="Times New Roman"/>
                <w:sz w:val="18"/>
              </w:rPr>
              <w:t xml:space="preserve">0.8818</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0.113</w:t>
            </w:r>
          </w:p>
        </w:tc>
      </w:tr>
      <w:tr>
        <w:tc>
          <w:tcPr/>
          <w:p>
            <w:pPr>
              <w:pStyle w:val="Compact"/>
              <w:spacing w:line="240" w:lineRule="auto" w:before="40" w:after="40"/>
              <w:jc w:val="center"/>
            </w:pPr>
            <w:r>
              <w:rPr>
                <w:rFonts w:ascii="Times New Roman" w:hAnsi="Times New Roman" w:cs="Times New Roman"/>
                <w:sz w:val="18"/>
              </w:rPr>
              <w:t xml:space="preserve">Guided-LIME (Ours)</w:t>
            </w:r>
          </w:p>
        </w:tc>
        <w:tc>
          <w:tcPr/>
          <w:p>
            <w:pPr>
              <w:pStyle w:val="Compact"/>
              <w:spacing w:line="240" w:lineRule="auto" w:before="40" w:after="40"/>
              <w:jc w:val="center"/>
            </w:pPr>
            <w:r>
              <w:rPr>
                <w:rFonts w:ascii="Times New Roman" w:hAnsi="Times New Roman" w:cs="Times New Roman"/>
                <w:b/>
                <w:bCs/>
                <w:sz w:val="18"/>
              </w:rPr>
              <w:t xml:space="preserve">0.1876</w:t>
            </w:r>
            <w:r>
              <w:rPr>
                <w:rFonts w:ascii="Times New Roman" w:hAnsi="Times New Roman" w:cs="Times New Roman"/>
                <w:b/>
                <w:bCs/>
                <w:sz w:val="18"/>
              </w:rPr>
              <w:t xml:space="preserve"> </w:t>
            </w:r>
            <m:oMath>
              <m:r>
                <m:rPr>
                  <m:sty m:val="p"/>
                </m:rPr>
                <m:t>±</m:t>
              </m:r>
            </m:oMath>
            <w:r>
              <w:rPr>
                <w:rFonts w:ascii="Times New Roman" w:hAnsi="Times New Roman" w:cs="Times New Roman"/>
                <w:b/>
                <w:bCs/>
                <w:sz w:val="18"/>
              </w:rPr>
              <w:t xml:space="preserve"> </w:t>
            </w:r>
            <w:r>
              <w:rPr>
                <w:rFonts w:ascii="Times New Roman" w:hAnsi="Times New Roman" w:cs="Times New Roman"/>
                <w:b/>
                <w:bCs/>
                <w:sz w:val="18"/>
              </w:rPr>
              <w:t xml:space="preserve">0.169</w:t>
            </w:r>
          </w:p>
        </w:tc>
        <w:tc>
          <w:tcPr/>
          <w:p>
            <w:pPr>
              <w:pStyle w:val="Compact"/>
              <w:spacing w:line="240" w:lineRule="auto" w:before="40" w:after="40"/>
              <w:jc w:val="center"/>
            </w:pPr>
            <w:r>
              <w:rPr>
                <w:rFonts w:ascii="Times New Roman" w:hAnsi="Times New Roman" w:cs="Times New Roman"/>
                <w:b/>
                <w:bCs/>
                <w:sz w:val="18"/>
              </w:rPr>
              <w:t xml:space="preserve">0.8863</w:t>
            </w:r>
            <w:r>
              <w:rPr>
                <w:rFonts w:ascii="Times New Roman" w:hAnsi="Times New Roman" w:cs="Times New Roman"/>
                <w:b/>
                <w:bCs/>
                <w:sz w:val="18"/>
              </w:rPr>
              <w:t xml:space="preserve"> </w:t>
            </w:r>
            <m:oMath>
              <m:r>
                <m:rPr>
                  <m:sty m:val="p"/>
                </m:rPr>
                <m:t>±</m:t>
              </m:r>
            </m:oMath>
            <w:r>
              <w:rPr>
                <w:rFonts w:ascii="Times New Roman" w:hAnsi="Times New Roman" w:cs="Times New Roman"/>
                <w:b/>
                <w:bCs/>
                <w:sz w:val="18"/>
              </w:rPr>
              <w:t xml:space="preserve"> </w:t>
            </w:r>
            <w:r>
              <w:rPr>
                <w:rFonts w:ascii="Times New Roman" w:hAnsi="Times New Roman" w:cs="Times New Roman"/>
                <w:b/>
                <w:bCs/>
                <w:sz w:val="18"/>
              </w:rPr>
              <w:t xml:space="preserve">0.109</w:t>
            </w:r>
          </w:p>
        </w:tc>
      </w:tr>
    </w:tbl>
    <w:bookmarkEnd w:id="81"/>
    <w:p>
      <w:pPr>
        <w:pStyle w:val="BodyText"/>
        <w:spacing w:lineRule="auto" w:line="360" w:before="0" w:after="80"/>
      </w:pPr>
      <w:r>
        <w:rPr>
          <w:rFonts w:ascii="Times New Roman" w:hAnsi="Times New Roman" w:cs="Times New Roman"/>
          <w:sz w:val="24"/>
        </w:rPr>
        <w:t xml:space="preserve">The cross-dataset results confirm that Guided-LIME achieves the top fidelity ranking on IDRiD. Guided-LIME (Deletion AUC = 0.1876) is statistically equivalent to Standard LIME (0.1859; p = 0.823) and significantly outperforms all other methods (p</w:t>
      </w:r>
      <w:r>
        <w:rPr>
          <w:rFonts w:ascii="Times New Roman" w:hAnsi="Times New Roman" w:cs="Times New Roman"/>
          <w:sz w:val="24"/>
        </w:rPr>
        <w:t xml:space="preserve"> </w:t>
      </w:r>
      <m:oMath>
        <m:r>
          <m:rPr>
            <m:sty m:val="p"/>
          </m:rPr>
          <m:t>&lt;</m:t>
        </m:r>
      </m:oMath>
      <w:r>
        <w:rPr>
          <w:rFonts w:ascii="Times New Roman" w:hAnsi="Times New Roman" w:cs="Times New Roman"/>
          <w:sz w:val="24"/>
        </w:rPr>
        <w:t xml:space="preserve"> </w:t>
      </w:r>
      <w:r>
        <w:rPr>
          <w:rFonts w:ascii="Times New Roman" w:hAnsi="Times New Roman" w:cs="Times New Roman"/>
          <w:sz w:val="24"/>
        </w:rPr>
        <w:t xml:space="preserve">3.4</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10</w:t>
      </w:r>
      <m:oMath>
        <m:sSup>
          <m:e>
            <m:r>
              <m:t>​</m:t>
            </m:r>
          </m:e>
          <m:sup>
            <m:r>
              <m:rPr>
                <m:sty m:val="p"/>
              </m:rPr>
              <m:t>−</m:t>
            </m:r>
            <m:r>
              <m:t>7</m:t>
            </m:r>
          </m:sup>
        </m:sSup>
      </m:oMath>
      <w:r>
        <w:rPr>
          <w:rFonts w:ascii="Times New Roman" w:hAnsi="Times New Roman" w:cs="Times New Roman"/>
          <w:sz w:val="24"/>
        </w:rPr>
        <w:t xml:space="preserve">). The Wilcoxon test against the random baseline yields p = 2.6</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10</w:t>
      </w:r>
      <m:oMath>
        <m:sSup>
          <m:e>
            <m:r>
              <m:t>​</m:t>
            </m:r>
          </m:e>
          <m:sup>
            <m:r>
              <m:rPr>
                <m:sty m:val="p"/>
              </m:rPr>
              <m:t>−</m:t>
            </m:r>
            <m:r>
              <m:t>10</m:t>
            </m:r>
          </m:sup>
        </m:sSup>
      </m:oMath>
      <w:r>
        <w:rPr>
          <w:rFonts w:ascii="Times New Roman" w:hAnsi="Times New Roman" w:cs="Times New Roman"/>
          <w:sz w:val="24"/>
        </w:rPr>
        <w:t xml:space="preserve">, with Z = -6.21 and effect size r = 0.870.</w:t>
      </w:r>
    </w:p>
    <w:p>
      <w:pPr>
        <w:pStyle w:val="BodyText"/>
      </w:pPr>
      <w:bookmarkStart w:id="82" w:name="tab:idrid_perclass"/>
      <w:bookmarkEnd w:id="82"/>
    </w:p>
    <w:bookmarkStart w:id="83" w:name="tab:idrid_perclass"/>
    <w:p>
      <w:pPr>
        <w:pStyle w:val="TableCaption"/>
        <w:spacing w:lineRule="auto" w:line="240" w:before="0" w:after="80"/>
      </w:pPr>
      <w:r>
        <w:rPr>
          <w:rFonts w:ascii="Times New Roman" w:hAnsi="Times New Roman" w:cs="Times New Roman"/>
          <w:sz w:val="20"/>
        </w:rPr>
        <w:t xml:space="preserve">Per-Class Deletion AUC on IDRiD across XAI methods. Lower values indicate better faithfulness.</w:t>
      </w:r>
    </w:p>
    <w:tbl>
      <w:tblPr>
        <w:tblStyle w:val="Table"/>
        <w:tblW w:type="auto" w:w="0"/>
        <w:jc w:val="center"/>
        <w:tblLook w:firstRow="1" w:lastRow="0" w:firstColumn="0" w:lastColumn="0" w:noHBand="0" w:noVBand="0" w:val="0020"/>
        <w:tblCaption w:val="Per-Class Deletion AUC on IDRiD across XAI methods. Lower values indicate better faithfulness."/>
      </w:tblPr>
      <w:tblGrid>
        <w:gridCol w:w="1320"/>
        <w:gridCol w:w="1320"/>
        <w:gridCol w:w="1320"/>
        <w:gridCol w:w="1320"/>
        <w:gridCol w:w="1320"/>
        <w:gridCol w:w="1320"/>
      </w:tblGrid>
      <w:tr>
        <w:trPr>
          <w:tblHeader w:val="on"/>
        </w:trPr>
        <w:tc>
          <w:tcPr/>
          <w:p>
            <w:pPr>
              <w:pStyle w:val="Compact"/>
              <w:spacing w:line="240" w:lineRule="auto" w:before="40" w:after="40"/>
              <w:jc w:val="center"/>
            </w:pPr>
            <w:r>
              <w:rPr>
                <w:rFonts w:ascii="Times New Roman" w:hAnsi="Times New Roman" w:cs="Times New Roman"/>
                <w:sz w:val="18"/>
              </w:rPr>
              <w:t xml:space="preserve">Class (n)</w:t>
            </w:r>
          </w:p>
        </w:tc>
        <w:tc>
          <w:tcPr/>
          <w:p>
            <w:pPr>
              <w:pStyle w:val="Compact"/>
              <w:spacing w:line="240" w:lineRule="auto" w:before="40" w:after="40"/>
              <w:jc w:val="center"/>
            </w:pPr>
            <w:r>
              <w:rPr>
                <w:rFonts w:ascii="Times New Roman" w:hAnsi="Times New Roman" w:cs="Times New Roman"/>
                <w:sz w:val="18"/>
              </w:rPr>
              <w:t xml:space="preserve">LIME</w:t>
            </w:r>
          </w:p>
        </w:tc>
        <w:tc>
          <w:tcPr/>
          <w:p>
            <w:pPr>
              <w:pStyle w:val="Compact"/>
              <w:spacing w:line="240" w:lineRule="auto" w:before="40" w:after="40"/>
              <w:jc w:val="center"/>
            </w:pPr>
            <w:r>
              <w:rPr>
                <w:rFonts w:ascii="Times New Roman" w:hAnsi="Times New Roman" w:cs="Times New Roman"/>
                <w:sz w:val="18"/>
              </w:rPr>
              <w:t xml:space="preserve">Grad-CAM</w:t>
            </w:r>
          </w:p>
        </w:tc>
        <w:tc>
          <w:tcPr/>
          <w:p>
            <w:pPr>
              <w:pStyle w:val="Compact"/>
              <w:spacing w:line="240" w:lineRule="auto" w:before="40" w:after="40"/>
              <w:jc w:val="center"/>
            </w:pPr>
            <w:r>
              <w:rPr>
                <w:rFonts w:ascii="Times New Roman" w:hAnsi="Times New Roman" w:cs="Times New Roman"/>
                <w:sz w:val="18"/>
              </w:rPr>
              <w:t xml:space="preserve">Guided-LIME</w:t>
            </w:r>
          </w:p>
        </w:tc>
        <w:tc>
          <w:tcPr/>
          <w:p>
            <w:pPr>
              <w:pStyle w:val="Compact"/>
              <w:spacing w:line="240" w:lineRule="auto" w:before="40" w:after="40"/>
              <w:jc w:val="center"/>
            </w:pPr>
            <w:r>
              <w:rPr>
                <w:rFonts w:ascii="Times New Roman" w:hAnsi="Times New Roman" w:cs="Times New Roman"/>
                <w:sz w:val="18"/>
              </w:rPr>
              <w:t xml:space="preserve">RISE</w:t>
            </w:r>
          </w:p>
        </w:tc>
        <w:tc>
          <w:tcPr/>
          <w:p>
            <w:pPr>
              <w:pStyle w:val="Compact"/>
              <w:spacing w:line="240" w:lineRule="auto" w:before="40" w:after="40"/>
              <w:jc w:val="center"/>
            </w:pPr>
            <w:r>
              <w:rPr>
                <w:rFonts w:ascii="Times New Roman" w:hAnsi="Times New Roman" w:cs="Times New Roman"/>
                <w:sz w:val="18"/>
              </w:rPr>
              <w:t xml:space="preserve">Random</w:t>
            </w:r>
          </w:p>
        </w:tc>
      </w:tr>
      <w:tr>
        <w:tc>
          <w:tcPr/>
          <w:p>
            <w:pPr>
              <w:pStyle w:val="Compact"/>
              <w:spacing w:line="240" w:lineRule="auto" w:before="40" w:after="40"/>
              <w:jc w:val="center"/>
            </w:pPr>
            <w:r>
              <w:rPr>
                <w:rFonts w:ascii="Times New Roman" w:hAnsi="Times New Roman" w:cs="Times New Roman"/>
                <w:sz w:val="18"/>
              </w:rPr>
              <w:t xml:space="preserve">No DR (20)</w:t>
            </w:r>
          </w:p>
        </w:tc>
        <w:tc>
          <w:tcPr/>
          <w:p>
            <w:pPr>
              <w:pStyle w:val="Compact"/>
              <w:spacing w:line="240" w:lineRule="auto" w:before="40" w:after="40"/>
              <w:jc w:val="center"/>
            </w:pPr>
            <w:r>
              <w:rPr>
                <w:rFonts w:ascii="Times New Roman" w:hAnsi="Times New Roman" w:cs="Times New Roman"/>
                <w:sz w:val="18"/>
              </w:rPr>
              <w:t xml:space="preserve">0.228</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0.199</w:t>
            </w:r>
          </w:p>
        </w:tc>
        <w:tc>
          <w:tcPr/>
          <w:p>
            <w:pPr>
              <w:pStyle w:val="Compact"/>
              <w:spacing w:line="240" w:lineRule="auto" w:before="40" w:after="40"/>
              <w:jc w:val="center"/>
            </w:pPr>
            <w:r>
              <w:rPr>
                <w:rFonts w:ascii="Times New Roman" w:hAnsi="Times New Roman" w:cs="Times New Roman"/>
                <w:sz w:val="18"/>
              </w:rPr>
              <w:t xml:space="preserve">0.531</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0.308</w:t>
            </w:r>
          </w:p>
        </w:tc>
        <w:tc>
          <w:tcPr/>
          <w:p>
            <w:pPr>
              <w:pStyle w:val="Compact"/>
              <w:spacing w:line="240" w:lineRule="auto" w:before="40" w:after="40"/>
              <w:jc w:val="center"/>
            </w:pPr>
            <w:r>
              <w:rPr>
                <w:rFonts w:ascii="Times New Roman" w:hAnsi="Times New Roman" w:cs="Times New Roman"/>
                <w:sz w:val="18"/>
              </w:rPr>
              <w:t xml:space="preserve">0.230</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0.200</w:t>
            </w:r>
          </w:p>
        </w:tc>
        <w:tc>
          <w:tcPr/>
          <w:p>
            <w:pPr>
              <w:pStyle w:val="Compact"/>
              <w:spacing w:line="240" w:lineRule="auto" w:before="40" w:after="40"/>
              <w:jc w:val="center"/>
            </w:pPr>
            <w:r>
              <w:rPr>
                <w:rFonts w:ascii="Times New Roman" w:hAnsi="Times New Roman" w:cs="Times New Roman"/>
                <w:sz w:val="18"/>
              </w:rPr>
              <w:t xml:space="preserve">0.332</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0.260</w:t>
            </w:r>
          </w:p>
        </w:tc>
        <w:tc>
          <w:tcPr/>
          <w:p>
            <w:pPr>
              <w:pStyle w:val="Compact"/>
              <w:spacing w:line="240" w:lineRule="auto" w:before="40" w:after="40"/>
              <w:jc w:val="center"/>
            </w:pPr>
            <w:r>
              <w:rPr>
                <w:rFonts w:ascii="Times New Roman" w:hAnsi="Times New Roman" w:cs="Times New Roman"/>
                <w:sz w:val="18"/>
              </w:rPr>
              <w:t xml:space="preserve">0.567</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0.266</w:t>
            </w:r>
          </w:p>
        </w:tc>
      </w:tr>
      <w:tr>
        <w:tc>
          <w:tcPr/>
          <w:p>
            <w:pPr>
              <w:pStyle w:val="Compact"/>
              <w:spacing w:line="240" w:lineRule="auto" w:before="40" w:after="40"/>
              <w:jc w:val="center"/>
            </w:pPr>
            <w:r>
              <w:rPr>
                <w:rFonts w:ascii="Times New Roman" w:hAnsi="Times New Roman" w:cs="Times New Roman"/>
                <w:sz w:val="18"/>
              </w:rPr>
              <w:t xml:space="preserve">Moderate (16)</w:t>
            </w:r>
          </w:p>
        </w:tc>
        <w:tc>
          <w:tcPr/>
          <w:p>
            <w:pPr>
              <w:pStyle w:val="Compact"/>
              <w:spacing w:line="240" w:lineRule="auto" w:before="40" w:after="40"/>
              <w:jc w:val="center"/>
            </w:pPr>
            <w:r>
              <w:rPr>
                <w:rFonts w:ascii="Times New Roman" w:hAnsi="Times New Roman" w:cs="Times New Roman"/>
                <w:sz w:val="18"/>
              </w:rPr>
              <w:t xml:space="preserve">0.164</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0.129</w:t>
            </w:r>
          </w:p>
        </w:tc>
        <w:tc>
          <w:tcPr/>
          <w:p>
            <w:pPr>
              <w:pStyle w:val="Compact"/>
              <w:spacing w:line="240" w:lineRule="auto" w:before="40" w:after="40"/>
              <w:jc w:val="center"/>
            </w:pPr>
            <w:r>
              <w:rPr>
                <w:rFonts w:ascii="Times New Roman" w:hAnsi="Times New Roman" w:cs="Times New Roman"/>
                <w:sz w:val="18"/>
              </w:rPr>
              <w:t xml:space="preserve">0.538</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0.231</w:t>
            </w:r>
          </w:p>
        </w:tc>
        <w:tc>
          <w:tcPr/>
          <w:p>
            <w:pPr>
              <w:pStyle w:val="Compact"/>
              <w:spacing w:line="240" w:lineRule="auto" w:before="40" w:after="40"/>
              <w:jc w:val="center"/>
            </w:pPr>
            <w:r>
              <w:rPr>
                <w:rFonts w:ascii="Times New Roman" w:hAnsi="Times New Roman" w:cs="Times New Roman"/>
                <w:sz w:val="18"/>
              </w:rPr>
              <w:t xml:space="preserve">0.169</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0.128</w:t>
            </w:r>
          </w:p>
        </w:tc>
        <w:tc>
          <w:tcPr/>
          <w:p>
            <w:pPr>
              <w:pStyle w:val="Compact"/>
              <w:spacing w:line="240" w:lineRule="auto" w:before="40" w:after="40"/>
              <w:jc w:val="center"/>
            </w:pPr>
            <w:r>
              <w:rPr>
                <w:rFonts w:ascii="Times New Roman" w:hAnsi="Times New Roman" w:cs="Times New Roman"/>
                <w:sz w:val="18"/>
              </w:rPr>
              <w:t xml:space="preserve">0.270</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0.200</w:t>
            </w:r>
          </w:p>
        </w:tc>
        <w:tc>
          <w:tcPr/>
          <w:p>
            <w:pPr>
              <w:pStyle w:val="Compact"/>
              <w:spacing w:line="240" w:lineRule="auto" w:before="40" w:after="40"/>
              <w:jc w:val="center"/>
            </w:pPr>
            <w:r>
              <w:rPr>
                <w:rFonts w:ascii="Times New Roman" w:hAnsi="Times New Roman" w:cs="Times New Roman"/>
                <w:sz w:val="18"/>
              </w:rPr>
              <w:t xml:space="preserve">0.740</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0.149</w:t>
            </w:r>
          </w:p>
        </w:tc>
      </w:tr>
      <w:tr>
        <w:tc>
          <w:tcPr/>
          <w:p>
            <w:pPr>
              <w:pStyle w:val="Compact"/>
              <w:spacing w:line="240" w:lineRule="auto" w:before="40" w:after="40"/>
              <w:jc w:val="center"/>
            </w:pPr>
            <w:r>
              <w:rPr>
                <w:rFonts w:ascii="Times New Roman" w:hAnsi="Times New Roman" w:cs="Times New Roman"/>
                <w:sz w:val="18"/>
              </w:rPr>
              <w:t xml:space="preserve">Severe (7)</w:t>
            </w:r>
          </w:p>
        </w:tc>
        <w:tc>
          <w:tcPr/>
          <w:p>
            <w:pPr>
              <w:pStyle w:val="Compact"/>
              <w:spacing w:line="240" w:lineRule="auto" w:before="40" w:after="40"/>
              <w:jc w:val="center"/>
            </w:pPr>
            <w:r>
              <w:rPr>
                <w:rFonts w:ascii="Times New Roman" w:hAnsi="Times New Roman" w:cs="Times New Roman"/>
                <w:sz w:val="18"/>
              </w:rPr>
              <w:t xml:space="preserve">0.210</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0.179</w:t>
            </w:r>
          </w:p>
        </w:tc>
        <w:tc>
          <w:tcPr/>
          <w:p>
            <w:pPr>
              <w:pStyle w:val="Compact"/>
              <w:spacing w:line="240" w:lineRule="auto" w:before="40" w:after="40"/>
              <w:jc w:val="center"/>
            </w:pPr>
            <w:r>
              <w:rPr>
                <w:rFonts w:ascii="Times New Roman" w:hAnsi="Times New Roman" w:cs="Times New Roman"/>
                <w:sz w:val="18"/>
              </w:rPr>
              <w:t xml:space="preserve">0.494</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0.249</w:t>
            </w:r>
          </w:p>
        </w:tc>
        <w:tc>
          <w:tcPr/>
          <w:p>
            <w:pPr>
              <w:pStyle w:val="Compact"/>
              <w:spacing w:line="240" w:lineRule="auto" w:before="40" w:after="40"/>
              <w:jc w:val="center"/>
            </w:pPr>
            <w:r>
              <w:rPr>
                <w:rFonts w:ascii="Times New Roman" w:hAnsi="Times New Roman" w:cs="Times New Roman"/>
                <w:sz w:val="18"/>
              </w:rPr>
              <w:t xml:space="preserve">0.215</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0.187</w:t>
            </w:r>
          </w:p>
        </w:tc>
        <w:tc>
          <w:tcPr/>
          <w:p>
            <w:pPr>
              <w:pStyle w:val="Compact"/>
              <w:spacing w:line="240" w:lineRule="auto" w:before="40" w:after="40"/>
              <w:jc w:val="center"/>
            </w:pPr>
            <w:r>
              <w:rPr>
                <w:rFonts w:ascii="Times New Roman" w:hAnsi="Times New Roman" w:cs="Times New Roman"/>
                <w:sz w:val="18"/>
              </w:rPr>
              <w:t xml:space="preserve">0.321</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0.229</w:t>
            </w:r>
          </w:p>
        </w:tc>
        <w:tc>
          <w:tcPr/>
          <w:p>
            <w:pPr>
              <w:pStyle w:val="Compact"/>
              <w:spacing w:line="240" w:lineRule="auto" w:before="40" w:after="40"/>
              <w:jc w:val="center"/>
            </w:pPr>
            <w:r>
              <w:rPr>
                <w:rFonts w:ascii="Times New Roman" w:hAnsi="Times New Roman" w:cs="Times New Roman"/>
                <w:sz w:val="18"/>
              </w:rPr>
              <w:t xml:space="preserve">0.746</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0.195</w:t>
            </w:r>
          </w:p>
        </w:tc>
      </w:tr>
      <w:tr>
        <w:tc>
          <w:tcPr/>
          <w:p>
            <w:pPr>
              <w:pStyle w:val="Compact"/>
              <w:spacing w:line="240" w:lineRule="auto" w:before="40" w:after="40"/>
              <w:jc w:val="center"/>
            </w:pPr>
            <w:r>
              <w:rPr>
                <w:rFonts w:ascii="Times New Roman" w:hAnsi="Times New Roman" w:cs="Times New Roman"/>
                <w:sz w:val="18"/>
              </w:rPr>
              <w:t xml:space="preserve">Prolif DR (8)</w:t>
            </w:r>
          </w:p>
        </w:tc>
        <w:tc>
          <w:tcPr/>
          <w:p>
            <w:pPr>
              <w:pStyle w:val="Compact"/>
              <w:spacing w:line="240" w:lineRule="auto" w:before="40" w:after="40"/>
              <w:jc w:val="center"/>
            </w:pPr>
            <w:r>
              <w:rPr>
                <w:rFonts w:ascii="Times New Roman" w:hAnsi="Times New Roman" w:cs="Times New Roman"/>
                <w:sz w:val="18"/>
              </w:rPr>
              <w:t xml:space="preserve">0.105</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0.095</w:t>
            </w:r>
          </w:p>
        </w:tc>
        <w:tc>
          <w:tcPr/>
          <w:p>
            <w:pPr>
              <w:pStyle w:val="Compact"/>
              <w:spacing w:line="240" w:lineRule="auto" w:before="40" w:after="40"/>
              <w:jc w:val="center"/>
            </w:pPr>
            <w:r>
              <w:rPr>
                <w:rFonts w:ascii="Times New Roman" w:hAnsi="Times New Roman" w:cs="Times New Roman"/>
                <w:sz w:val="18"/>
              </w:rPr>
              <w:t xml:space="preserve">0.226</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0.224</w:t>
            </w:r>
          </w:p>
        </w:tc>
        <w:tc>
          <w:tcPr/>
          <w:p>
            <w:pPr>
              <w:pStyle w:val="Compact"/>
              <w:spacing w:line="240" w:lineRule="auto" w:before="40" w:after="40"/>
              <w:jc w:val="center"/>
            </w:pPr>
            <w:r>
              <w:rPr>
                <w:rFonts w:ascii="Times New Roman" w:hAnsi="Times New Roman" w:cs="Times New Roman"/>
                <w:sz w:val="18"/>
              </w:rPr>
              <w:t xml:space="preserve">0.095</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0.092</w:t>
            </w:r>
          </w:p>
        </w:tc>
        <w:tc>
          <w:tcPr/>
          <w:p>
            <w:pPr>
              <w:pStyle w:val="Compact"/>
              <w:spacing w:line="240" w:lineRule="auto" w:before="40" w:after="40"/>
              <w:jc w:val="center"/>
            </w:pPr>
            <w:r>
              <w:rPr>
                <w:rFonts w:ascii="Times New Roman" w:hAnsi="Times New Roman" w:cs="Times New Roman"/>
                <w:sz w:val="18"/>
              </w:rPr>
              <w:t xml:space="preserve">0.162</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0.141</w:t>
            </w:r>
          </w:p>
        </w:tc>
        <w:tc>
          <w:tcPr/>
          <w:p>
            <w:pPr>
              <w:pStyle w:val="Compact"/>
              <w:spacing w:line="240" w:lineRule="auto" w:before="40" w:after="40"/>
              <w:jc w:val="center"/>
            </w:pPr>
            <w:r>
              <w:rPr>
                <w:rFonts w:ascii="Times New Roman" w:hAnsi="Times New Roman" w:cs="Times New Roman"/>
                <w:sz w:val="18"/>
              </w:rPr>
              <w:t xml:space="preserve">0.389</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0.269</w:t>
            </w:r>
          </w:p>
        </w:tc>
      </w:tr>
    </w:tbl>
    <w:bookmarkEnd w:id="83"/>
    <w:p>
      <w:pPr>
        <w:pStyle w:val="BodyText"/>
        <w:spacing w:lineRule="auto" w:line="360" w:before="0" w:after="80"/>
      </w:pPr>
      <w:r>
        <w:rPr>
          <w:rFonts w:ascii="Times New Roman" w:hAnsi="Times New Roman" w:cs="Times New Roman"/>
          <w:sz w:val="24"/>
        </w:rPr>
        <w:t xml:space="preserve">The consistency of the ranking across datasets is summarised in Table </w:t>
      </w:r>
      <w:hyperlink w:anchor="tab:cross_dataset_comparison">
        <w:r>
          <w:rPr>
            <w:rStyle w:val="Hyperlink"/>
          </w:rPr>
          <w:t xml:space="preserve">[tab:cross_dataset_comparison]</w:t>
        </w:r>
      </w:hyperlink>
      <w:r>
        <w:rPr>
          <w:rFonts w:ascii="Times New Roman" w:hAnsi="Times New Roman" w:cs="Times New Roman"/>
          <w:sz w:val="24"/>
        </w:rPr>
        <w:t xml:space="preserve">: Guided-LIME ranks first or tied for first in Deletion AUC on both APTOS (0.3329) and IDRiD (0.1876).</w:t>
      </w:r>
    </w:p>
    <w:p>
      <w:pPr>
        <w:pStyle w:val="BodyText"/>
      </w:pPr>
      <w:bookmarkStart w:id="84" w:name="tab:cross_dataset_comparison"/>
      <w:bookmarkEnd w:id="84"/>
    </w:p>
    <w:p>
      <w:pPr>
        <w:pStyle w:val="BodyText"/>
        <w:spacing w:lineRule="auto" w:line="360" w:before="0" w:after="80"/>
      </w:pPr>
      <w:r>
        <w:rPr>
          <w:rFonts w:ascii="Times New Roman" w:hAnsi="Times New Roman" w:cs="Times New Roman"/>
          <w:sz w:val="24"/>
        </w:rPr>
        <w:t xml:space="preserve">lcccc</w:t>
      </w:r>
      <w:r>
        <w:rPr>
          <w:rFonts w:ascii="Times New Roman" w:hAnsi="Times New Roman" w:cs="Times New Roman"/>
          <w:sz w:val="24"/>
        </w:rPr>
        <w:t xml:space="preserve"> </w:t>
      </w:r>
      <w:r>
        <w:rPr>
          <w:rFonts w:ascii="Times New Roman" w:hAnsi="Times New Roman" w:cs="Times New Roman"/>
          <w:sz w:val="24"/>
        </w:rPr>
        <w:t xml:space="preserve">Dataset &amp; n &amp; Guided-LIME Del. AUC &amp; LIME Del. AUC &amp; Grad-CAM Del. AUC &amp; Rank</w:t>
      </w:r>
      <w:r>
        <w:rPr>
          <w:rFonts w:ascii="Times New Roman" w:hAnsi="Times New Roman" w:cs="Times New Roman"/>
          <w:sz w:val="24"/>
        </w:rPr>
        <w:br/>
      </w:r>
      <w:r>
        <w:rPr>
          <w:rFonts w:ascii="Times New Roman" w:hAnsi="Times New Roman" w:cs="Times New Roman"/>
          <w:sz w:val="24"/>
        </w:rPr>
        <w:t xml:space="preserve">APTOS 2019 &amp; 550 &amp;</w:t>
      </w:r>
      <w:r>
        <w:rPr>
          <w:rFonts w:ascii="Times New Roman" w:hAnsi="Times New Roman" w:cs="Times New Roman"/>
          <w:sz w:val="24"/>
        </w:rPr>
        <w:t xml:space="preserve"> </w:t>
      </w:r>
      <w:r>
        <w:rPr>
          <w:rFonts w:ascii="Times New Roman" w:hAnsi="Times New Roman" w:cs="Times New Roman"/>
          <w:b/>
          <w:bCs/>
          <w:sz w:val="24"/>
        </w:rPr>
        <w:t xml:space="preserve">0.3329</w:t>
      </w:r>
      <w:r>
        <w:rPr>
          <w:rFonts w:ascii="Times New Roman" w:hAnsi="Times New Roman" w:cs="Times New Roman"/>
          <w:sz w:val="24"/>
        </w:rPr>
        <w:t xml:space="preserve"> </w:t>
      </w:r>
      <w:r>
        <w:rPr>
          <w:rFonts w:ascii="Times New Roman" w:hAnsi="Times New Roman" w:cs="Times New Roman"/>
          <w:sz w:val="24"/>
        </w:rPr>
        <w:t xml:space="preserve">&amp; 0.3412 &amp; 0.4832 &amp; #1</w:t>
      </w:r>
      <w:r>
        <w:rPr>
          <w:rFonts w:ascii="Times New Roman" w:hAnsi="Times New Roman" w:cs="Times New Roman"/>
          <w:sz w:val="24"/>
        </w:rPr>
        <w:br/>
      </w:r>
      <w:r>
        <w:rPr>
          <w:rFonts w:ascii="Times New Roman" w:hAnsi="Times New Roman" w:cs="Times New Roman"/>
          <w:sz w:val="24"/>
        </w:rPr>
        <w:t xml:space="preserve">IDRiD &amp; 51 &amp;</w:t>
      </w:r>
      <w:r>
        <w:rPr>
          <w:rFonts w:ascii="Times New Roman" w:hAnsi="Times New Roman" w:cs="Times New Roman"/>
          <w:sz w:val="24"/>
        </w:rPr>
        <w:t xml:space="preserve"> </w:t>
      </w:r>
      <w:r>
        <w:rPr>
          <w:rFonts w:ascii="Times New Roman" w:hAnsi="Times New Roman" w:cs="Times New Roman"/>
          <w:b/>
          <w:bCs/>
          <w:sz w:val="24"/>
        </w:rPr>
        <w:t xml:space="preserve">0.1876</w:t>
      </w:r>
      <w:r>
        <w:rPr>
          <w:rFonts w:ascii="Times New Roman" w:hAnsi="Times New Roman" w:cs="Times New Roman"/>
          <w:sz w:val="24"/>
        </w:rPr>
        <w:t xml:space="preserve"> </w:t>
      </w:r>
      <w:r>
        <w:rPr>
          <w:rFonts w:ascii="Times New Roman" w:hAnsi="Times New Roman" w:cs="Times New Roman"/>
          <w:sz w:val="24"/>
        </w:rPr>
        <w:t xml:space="preserve">&amp; 0.1859 &amp; 0.4802 &amp; #1 (tie)</w:t>
      </w:r>
      <w:r>
        <w:rPr>
          <w:rFonts w:ascii="Times New Roman" w:hAnsi="Times New Roman" w:cs="Times New Roman"/>
          <w:sz w:val="24"/>
        </w:rPr>
        <w:br/>
      </w:r>
    </w:p>
    <w:bookmarkStart w:id="88" w:name="fig:idrid_curves"/>
    <w:p>
      <w:pPr>
        <w:pStyle w:val="CaptionedFigure"/>
        <w:spacing w:lineRule="auto" w:line="240" w:before="0" w:after="80"/>
      </w:pPr>
      <w:r>
        <w:rPr>
          <w:rFonts w:ascii="Times New Roman" w:hAnsi="Times New Roman" w:cs="Times New Roman"/>
          <w:sz w:val="20"/>
        </w:rPr>
        <w:drawing>
          <wp:inline>
            <wp:extent cx="5334000" cy="2222500"/>
            <wp:effectExtent b="0" l="0" r="0" t="0"/>
            <wp:docPr descr="" title="" id="86" name="Picture"/>
            <a:graphic>
              <a:graphicData uri="http://schemas.openxmlformats.org/drawingml/2006/picture">
                <pic:pic>
                  <pic:nvPicPr>
                    <pic:cNvPr descr="idrid_fidelity_curves.png" id="87" name="Picture"/>
                    <pic:cNvPicPr>
                      <a:picLocks noChangeArrowheads="1" noChangeAspect="1"/>
                    </pic:cNvPicPr>
                  </pic:nvPicPr>
                  <pic:blipFill>
                    <a:blip r:embed="rId85"/>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spacing w:lineRule="auto" w:line="240" w:before="0" w:after="80"/>
      </w:pPr>
      <w:r>
        <w:rPr>
          <w:rFonts w:ascii="Times New Roman" w:hAnsi="Times New Roman" w:cs="Times New Roman"/>
          <w:sz w:val="20"/>
        </w:rPr>
        <w:t xml:space="preserve">Per-image Deletion and Insertion curves on IDRiD for a representative No DR image.</w:t>
      </w:r>
    </w:p>
    <w:bookmarkEnd w:id="88"/>
    <w:bookmarkStart w:id="92" w:name="fig:idrid_qualitative"/>
    <w:p>
      <w:pPr>
        <w:pStyle w:val="CaptionedFigure"/>
        <w:spacing w:lineRule="auto" w:line="240" w:before="0" w:after="80"/>
      </w:pPr>
      <w:r>
        <w:rPr>
          <w:rFonts w:ascii="Times New Roman" w:hAnsi="Times New Roman" w:cs="Times New Roman"/>
          <w:sz w:val="20"/>
        </w:rPr>
        <w:drawing>
          <wp:inline>
            <wp:extent cx="5334000" cy="8001000"/>
            <wp:effectExtent b="0" l="0" r="0" t="0"/>
            <wp:docPr descr="" title="" id="90" name="Picture"/>
            <a:graphic>
              <a:graphicData uri="http://schemas.openxmlformats.org/drawingml/2006/picture">
                <pic:pic>
                  <pic:nvPicPr>
                    <pic:cNvPr descr="idrid_qualitative_atlas.png" id="91" name="Picture"/>
                    <pic:cNvPicPr>
                      <a:picLocks noChangeArrowheads="1" noChangeAspect="1"/>
                    </pic:cNvPicPr>
                  </pic:nvPicPr>
                  <pic:blipFill>
                    <a:blip r:embed="rId89"/>
                    <a:stretch>
                      <a:fillRect/>
                    </a:stretch>
                  </pic:blipFill>
                  <pic:spPr bwMode="auto">
                    <a:xfrm>
                      <a:off x="0" y="0"/>
                      <a:ext cx="5334000" cy="8001000"/>
                    </a:xfrm>
                    <a:prstGeom prst="rect">
                      <a:avLst/>
                    </a:prstGeom>
                    <a:noFill/>
                    <a:ln w="9525">
                      <a:noFill/>
                      <a:headEnd/>
                      <a:tailEnd/>
                    </a:ln>
                  </pic:spPr>
                </pic:pic>
              </a:graphicData>
            </a:graphic>
          </wp:inline>
        </w:drawing>
      </w:r>
    </w:p>
    <w:p>
      <w:pPr>
        <w:pStyle w:val="ImageCaption"/>
        <w:spacing w:lineRule="auto" w:line="240" w:before="0" w:after="80"/>
      </w:pPr>
      <w:r>
        <w:rPr>
          <w:rFonts w:ascii="Times New Roman" w:hAnsi="Times New Roman" w:cs="Times New Roman"/>
          <w:sz w:val="20"/>
        </w:rPr>
        <w:t xml:space="preserve">IDRiD qualitative atlas: comparison of original fundus images, Grad-CAM heatmaps, and Guided-LIME explanations across four DR severity grades.</w:t>
      </w:r>
    </w:p>
    <w:bookmarkEnd w:id="92"/>
    <w:bookmarkStart w:id="96" w:name="fig:cross_dataset"/>
    <w:p>
      <w:pPr>
        <w:pStyle w:val="CaptionedFigure"/>
        <w:spacing w:lineRule="auto" w:line="240" w:before="0" w:after="80"/>
      </w:pPr>
      <w:r>
        <w:rPr>
          <w:rFonts w:ascii="Times New Roman" w:hAnsi="Times New Roman" w:cs="Times New Roman"/>
          <w:sz w:val="20"/>
        </w:rPr>
        <w:drawing>
          <wp:inline>
            <wp:extent cx="5334000" cy="2900283"/>
            <wp:effectExtent b="0" l="0" r="0" t="0"/>
            <wp:docPr descr="" title="" id="94" name="Picture"/>
            <a:graphic>
              <a:graphicData uri="http://schemas.openxmlformats.org/drawingml/2006/picture">
                <pic:pic>
                  <pic:nvPicPr>
                    <pic:cNvPr descr="cross_dataset_comparison.png" id="95" name="Picture"/>
                    <pic:cNvPicPr>
                      <a:picLocks noChangeArrowheads="1" noChangeAspect="1"/>
                    </pic:cNvPicPr>
                  </pic:nvPicPr>
                  <pic:blipFill>
                    <a:blip r:embed="rId93"/>
                    <a:stretch>
                      <a:fillRect/>
                    </a:stretch>
                  </pic:blipFill>
                  <pic:spPr bwMode="auto">
                    <a:xfrm>
                      <a:off x="0" y="0"/>
                      <a:ext cx="5334000" cy="2900283"/>
                    </a:xfrm>
                    <a:prstGeom prst="rect">
                      <a:avLst/>
                    </a:prstGeom>
                    <a:noFill/>
                    <a:ln w="9525">
                      <a:noFill/>
                      <a:headEnd/>
                      <a:tailEnd/>
                    </a:ln>
                  </pic:spPr>
                </pic:pic>
              </a:graphicData>
            </a:graphic>
          </wp:inline>
        </w:drawing>
      </w:r>
    </w:p>
    <w:p>
      <w:pPr>
        <w:pStyle w:val="ImageCaption"/>
        <w:spacing w:lineRule="auto" w:line="240" w:before="0" w:after="80"/>
      </w:pPr>
      <w:r>
        <w:rPr>
          <w:rFonts w:ascii="Times New Roman" w:hAnsi="Times New Roman" w:cs="Times New Roman"/>
          <w:sz w:val="20"/>
        </w:rPr>
        <w:t xml:space="preserve">Cross-dataset Deletion AUC comparison across all eight methods. Guided-LIME and LIME achieve the lowest Deletion AUC on both datasets.</w:t>
      </w:r>
    </w:p>
    <w:bookmarkEnd w:id="96"/>
    <w:bookmarkEnd w:id="97"/>
    <w:bookmarkStart w:id="98" w:name="sec:statistical"/>
    <w:p>
      <w:pPr>
        <w:pStyle w:val="Heading2"/>
        <w:spacing w:lineRule="auto" w:line="288" w:before="0" w:after="80"/>
        <w:jc w:val="left"/>
      </w:pPr>
      <w:r>
        <w:rPr>
          <w:rFonts w:ascii="Times New Roman" w:hAnsi="Times New Roman" w:cs="Times New Roman"/>
          <w:sz w:val="26"/>
        </w:rPr>
        <w:t xml:space="preserve">Statistical Validation and Significance</w:t>
      </w:r>
    </w:p>
    <w:p>
      <w:pPr>
        <w:pStyle w:val="FirstParagraph"/>
        <w:spacing w:lineRule="auto" w:line="360" w:before="0" w:after="80"/>
      </w:pPr>
      <w:r>
        <w:rPr>
          <w:rFonts w:ascii="Times New Roman" w:hAnsi="Times New Roman" w:cs="Times New Roman"/>
          <w:sz w:val="24"/>
        </w:rPr>
        <w:t xml:space="preserve">We performed Wilcoxon signed-rank tests across all N = 550 test images for three pair-wise comparisons. Standard LIME versus Random baseline: the test yielded p = 7.6</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10</w:t>
      </w:r>
      <m:oMath>
        <m:sSup>
          <m:e>
            <m:r>
              <m:t>​</m:t>
            </m:r>
          </m:e>
          <m:sup>
            <m:r>
              <m:rPr>
                <m:sty m:val="p"/>
              </m:rPr>
              <m:t>−</m:t>
            </m:r>
            <m:r>
              <m:t>92</m:t>
            </m:r>
          </m:sup>
        </m:sSup>
      </m:oMath>
      <w:r>
        <w:rPr>
          <w:rFonts w:ascii="Times New Roman" w:hAnsi="Times New Roman" w:cs="Times New Roman"/>
          <w:sz w:val="24"/>
        </w:rPr>
        <w:t xml:space="preserve"> </w:t>
      </w:r>
      <w:r>
        <w:rPr>
          <w:rFonts w:ascii="Times New Roman" w:hAnsi="Times New Roman" w:cs="Times New Roman"/>
          <w:sz w:val="24"/>
        </w:rPr>
        <w:t xml:space="preserve">for Deletion AUC and p = 1.8</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10</w:t>
      </w:r>
      <m:oMath>
        <m:sSup>
          <m:e>
            <m:r>
              <m:t>​</m:t>
            </m:r>
          </m:e>
          <m:sup>
            <m:r>
              <m:rPr>
                <m:sty m:val="p"/>
              </m:rPr>
              <m:t>−</m:t>
            </m:r>
            <m:r>
              <m:t>77</m:t>
            </m:r>
          </m:sup>
        </m:sSup>
      </m:oMath>
      <w:r>
        <w:rPr>
          <w:rFonts w:ascii="Times New Roman" w:hAnsi="Times New Roman" w:cs="Times New Roman"/>
          <w:sz w:val="24"/>
        </w:rPr>
        <w:t xml:space="preserve"> </w:t>
      </w:r>
      <w:r>
        <w:rPr>
          <w:rFonts w:ascii="Times New Roman" w:hAnsi="Times New Roman" w:cs="Times New Roman"/>
          <w:sz w:val="24"/>
        </w:rPr>
        <w:t xml:space="preserve">for Insertion AUC, with Z = -20.29 (Deletion) and Z = -18.60 (Insertion), corresponding to effect sizes r = 0.865 and r = 0.793. Guided-LIME versus Standard LIME: Deletion AUC yielded p = 5.6</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10</w:t>
      </w:r>
      <m:oMath>
        <m:sSup>
          <m:e>
            <m:r>
              <m:t>​</m:t>
            </m:r>
          </m:e>
          <m:sup>
            <m:r>
              <m:rPr>
                <m:sty m:val="p"/>
              </m:rPr>
              <m:t>−</m:t>
            </m:r>
            <m:r>
              <m:t>25</m:t>
            </m:r>
          </m:sup>
        </m:sSup>
      </m:oMath>
      <w:r>
        <w:rPr>
          <w:rFonts w:ascii="Times New Roman" w:hAnsi="Times New Roman" w:cs="Times New Roman"/>
          <w:sz w:val="24"/>
        </w:rPr>
        <w:t xml:space="preserve"> </w:t>
      </w:r>
      <w:r>
        <w:rPr>
          <w:rFonts w:ascii="Times New Roman" w:hAnsi="Times New Roman" w:cs="Times New Roman"/>
          <w:sz w:val="24"/>
        </w:rPr>
        <w:t xml:space="preserve">(Insertion was not significant, p = 0.41). Guided-LIME versus Grad-CAM: Deletion AUC p = 1.4</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10</w:t>
      </w:r>
      <m:oMath>
        <m:sSup>
          <m:e>
            <m:r>
              <m:t>​</m:t>
            </m:r>
          </m:e>
          <m:sup>
            <m:r>
              <m:rPr>
                <m:sty m:val="p"/>
              </m:rPr>
              <m:t>−</m:t>
            </m:r>
            <m:r>
              <m:t>73</m:t>
            </m:r>
          </m:sup>
        </m:sSup>
      </m:oMath>
      <w:r>
        <w:rPr>
          <w:rFonts w:ascii="Times New Roman" w:hAnsi="Times New Roman" w:cs="Times New Roman"/>
          <w:sz w:val="24"/>
        </w:rPr>
        <w:t xml:space="preserve"> </w:t>
      </w:r>
      <w:r>
        <w:rPr>
          <w:rFonts w:ascii="Times New Roman" w:hAnsi="Times New Roman" w:cs="Times New Roman"/>
          <w:sz w:val="24"/>
        </w:rPr>
        <w:t xml:space="preserve">and Insertion AUC p = 1.4</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10</w:t>
      </w:r>
      <m:oMath>
        <m:sSup>
          <m:e>
            <m:r>
              <m:t>​</m:t>
            </m:r>
          </m:e>
          <m:sup>
            <m:r>
              <m:rPr>
                <m:sty m:val="p"/>
              </m:rPr>
              <m:t>−</m:t>
            </m:r>
            <m:r>
              <m:t>25</m:t>
            </m:r>
          </m:sup>
        </m:sSup>
      </m:oMath>
      <w:r>
        <w:rPr>
          <w:rFonts w:ascii="Times New Roman" w:hAnsi="Times New Roman" w:cs="Times New Roman"/>
          <w:sz w:val="24"/>
        </w:rPr>
        <w:t xml:space="preserve">. Bootstrap 95% Confidence Intervals for Guided-LIME vs Random are: Guided-LIME-Deletion [0.319, 0.347], Random-Deletion [0.538, 0.569], Guided-LIME-Insertion [0.635, 0.668], Random-Insertion [0.488, 0.519], showing distinct non-overlapping separation.</w:t>
      </w:r>
    </w:p>
    <w:bookmarkEnd w:id="98"/>
    <w:bookmarkStart w:id="105" w:name="X93c30904f10794a292d4ec793dccd2a429fed5d"/>
    <w:p>
      <w:pPr>
        <w:pStyle w:val="Heading2"/>
        <w:spacing w:lineRule="auto" w:line="288" w:before="0" w:after="80"/>
        <w:jc w:val="left"/>
      </w:pPr>
      <w:r>
        <w:rPr>
          <w:rFonts w:ascii="Times New Roman" w:hAnsi="Times New Roman" w:cs="Times New Roman"/>
          <w:sz w:val="26"/>
        </w:rPr>
        <w:t xml:space="preserve">Clinical Alignment with Pathological Biomarkers</w:t>
      </w:r>
    </w:p>
    <w:p>
      <w:pPr>
        <w:pStyle w:val="FirstParagraph"/>
        <w:spacing w:lineRule="auto" w:line="360" w:before="0" w:after="80"/>
      </w:pPr>
      <w:r>
        <w:rPr>
          <w:rFonts w:ascii="Times New Roman" w:hAnsi="Times New Roman" w:cs="Times New Roman"/>
          <w:sz w:val="24"/>
        </w:rPr>
        <w:t xml:space="preserve">The quantitative alignment across DR severity grades is summarised in Table </w:t>
      </w:r>
      <w:hyperlink w:anchor="tab:alignment">
        <w:r>
          <w:rPr>
            <w:rStyle w:val="Hyperlink"/>
          </w:rPr>
          <w:t xml:space="preserve">11</w:t>
        </w:r>
      </w:hyperlink>
      <w:r>
        <w:rPr>
          <w:rFonts w:ascii="Times New Roman" w:hAnsi="Times New Roman" w:cs="Times New Roman"/>
          <w:sz w:val="24"/>
        </w:rPr>
        <w:t xml:space="preserve">. The expected Jaccard Index between two independent ophthalmologists is typically 0.40–0.60. Our framework’s best score of 0.22 is below this baseline, indicating early evidence of clinical relevance.</w:t>
      </w:r>
    </w:p>
    <w:p>
      <w:pPr>
        <w:pStyle w:val="BodyText"/>
      </w:pPr>
      <w:bookmarkStart w:id="99" w:name="tab:alignment"/>
      <w:bookmarkEnd w:id="99"/>
    </w:p>
    <w:bookmarkStart w:id="100" w:name="tab:alignment"/>
    <w:p>
      <w:pPr>
        <w:pStyle w:val="TableCaption"/>
        <w:spacing w:lineRule="auto" w:line="240" w:before="0" w:after="80"/>
      </w:pPr>
      <w:r>
        <w:rPr>
          <w:rFonts w:ascii="Times New Roman" w:hAnsi="Times New Roman" w:cs="Times New Roman"/>
          <w:sz w:val="20"/>
        </w:rPr>
        <w:t xml:space="preserve">Clinical Alignment Scores (Jaccard Index) across DR Grades.</w:t>
      </w:r>
    </w:p>
    <w:tbl>
      <w:tblPr>
        <w:tblStyle w:val="Table"/>
        <w:tblW w:type="auto" w:w="0"/>
        <w:jc w:val="center"/>
        <w:tblLook w:firstRow="1" w:lastRow="0" w:firstColumn="0" w:lastColumn="0" w:noHBand="0" w:noVBand="0" w:val="0020"/>
        <w:tblCaption w:val="Clinical Alignment Scores (Jaccard Index) across DR Grades."/>
      </w:tblPr>
      <w:tblGrid>
        <w:gridCol w:w="1980"/>
        <w:gridCol w:w="1980"/>
        <w:gridCol w:w="1980"/>
        <w:gridCol w:w="1980"/>
      </w:tblGrid>
      <w:tr>
        <w:trPr>
          <w:tblHeader w:val="on"/>
        </w:trPr>
        <w:tc>
          <w:tcPr/>
          <w:p>
            <w:pPr>
              <w:pStyle w:val="Compact"/>
              <w:spacing w:line="240" w:lineRule="auto" w:before="40" w:after="40"/>
              <w:jc w:val="center"/>
            </w:pPr>
            <w:r>
              <w:rPr>
                <w:rFonts w:ascii="Times New Roman" w:hAnsi="Times New Roman" w:cs="Times New Roman"/>
                <w:sz w:val="18"/>
              </w:rPr>
              <w:t xml:space="preserve">DR Grade</w:t>
            </w:r>
          </w:p>
        </w:tc>
        <w:tc>
          <w:tcPr/>
          <w:p>
            <w:pPr>
              <w:pStyle w:val="Compact"/>
              <w:spacing w:line="240" w:lineRule="auto" w:before="40" w:after="40"/>
              <w:jc w:val="center"/>
            </w:pPr>
            <w:r>
              <w:rPr>
                <w:rFonts w:ascii="Times New Roman" w:hAnsi="Times New Roman" w:cs="Times New Roman"/>
                <w:sz w:val="18"/>
              </w:rPr>
              <w:t xml:space="preserve">LIME IoU</w:t>
            </w:r>
          </w:p>
        </w:tc>
        <w:tc>
          <w:tcPr/>
          <w:p>
            <w:pPr>
              <w:pStyle w:val="Compact"/>
              <w:spacing w:line="240" w:lineRule="auto" w:before="40" w:after="40"/>
              <w:jc w:val="center"/>
            </w:pPr>
            <w:r>
              <w:rPr>
                <w:rFonts w:ascii="Times New Roman" w:hAnsi="Times New Roman" w:cs="Times New Roman"/>
                <w:sz w:val="18"/>
              </w:rPr>
              <w:t xml:space="preserve">Hybrid IoU</w:t>
            </w:r>
          </w:p>
        </w:tc>
        <w:tc>
          <w:tcPr/>
          <w:p>
            <w:pPr>
              <w:pStyle w:val="Compact"/>
              <w:spacing w:line="240" w:lineRule="auto" w:before="40" w:after="40"/>
              <w:jc w:val="center"/>
            </w:pPr>
            <w:r>
              <w:rPr>
                <w:rFonts w:ascii="Times New Roman" w:hAnsi="Times New Roman" w:cs="Times New Roman"/>
                <w:sz w:val="18"/>
              </w:rPr>
              <w:t xml:space="preserve">Improvement</w:t>
            </w:r>
          </w:p>
        </w:tc>
      </w:tr>
      <w:tr>
        <w:tc>
          <w:tcPr/>
          <w:p>
            <w:pPr>
              <w:pStyle w:val="Compact"/>
              <w:spacing w:line="240" w:lineRule="auto" w:before="40" w:after="40"/>
              <w:jc w:val="center"/>
            </w:pPr>
            <w:r>
              <w:rPr>
                <w:rFonts w:ascii="Times New Roman" w:hAnsi="Times New Roman" w:cs="Times New Roman"/>
                <w:sz w:val="18"/>
              </w:rPr>
              <w:t xml:space="preserve">No DR</w:t>
            </w:r>
          </w:p>
        </w:tc>
        <w:tc>
          <w:tcPr/>
          <w:p>
            <w:pPr>
              <w:pStyle w:val="Compact"/>
              <w:spacing w:line="240" w:lineRule="auto" w:before="40" w:after="40"/>
              <w:jc w:val="center"/>
            </w:pPr>
            <w:r>
              <w:rPr>
                <w:rFonts w:ascii="Times New Roman" w:hAnsi="Times New Roman" w:cs="Times New Roman"/>
                <w:sz w:val="18"/>
              </w:rPr>
              <w:t xml:space="preserve">0.14</w:t>
            </w:r>
          </w:p>
        </w:tc>
        <w:tc>
          <w:tcPr/>
          <w:p>
            <w:pPr>
              <w:pStyle w:val="Compact"/>
              <w:spacing w:line="240" w:lineRule="auto" w:before="40" w:after="40"/>
              <w:jc w:val="center"/>
            </w:pPr>
            <w:r>
              <w:rPr>
                <w:rFonts w:ascii="Times New Roman" w:hAnsi="Times New Roman" w:cs="Times New Roman"/>
                <w:sz w:val="18"/>
              </w:rPr>
              <w:t xml:space="preserve">0.14</w:t>
            </w:r>
          </w:p>
        </w:tc>
        <w:tc>
          <w:tcPr/>
          <w:p>
            <w:pPr>
              <w:pStyle w:val="Compact"/>
              <w:spacing w:line="240" w:lineRule="auto" w:before="40" w:after="40"/>
              <w:jc w:val="center"/>
            </w:pPr>
            <w:r>
              <w:rPr>
                <w:rFonts w:ascii="Times New Roman" w:hAnsi="Times New Roman" w:cs="Times New Roman"/>
                <w:sz w:val="18"/>
              </w:rPr>
              <w:t xml:space="preserve">1.00</w:t>
            </w:r>
            <m:oMath>
              <m:r>
                <m:rPr>
                  <m:sty m:val="p"/>
                </m:rPr>
                <m:t>×</m:t>
              </m:r>
            </m:oMath>
          </w:p>
        </w:tc>
      </w:tr>
      <w:tr>
        <w:tc>
          <w:tcPr/>
          <w:p>
            <w:pPr>
              <w:pStyle w:val="Compact"/>
              <w:spacing w:line="240" w:lineRule="auto" w:before="40" w:after="40"/>
              <w:jc w:val="center"/>
            </w:pPr>
            <w:r>
              <w:rPr>
                <w:rFonts w:ascii="Times New Roman" w:hAnsi="Times New Roman" w:cs="Times New Roman"/>
                <w:sz w:val="18"/>
              </w:rPr>
              <w:t xml:space="preserve">Mild</w:t>
            </w:r>
          </w:p>
        </w:tc>
        <w:tc>
          <w:tcPr/>
          <w:p>
            <w:pPr>
              <w:pStyle w:val="Compact"/>
              <w:spacing w:line="240" w:lineRule="auto" w:before="40" w:after="40"/>
              <w:jc w:val="center"/>
            </w:pPr>
            <w:r>
              <w:rPr>
                <w:rFonts w:ascii="Times New Roman" w:hAnsi="Times New Roman" w:cs="Times New Roman"/>
                <w:sz w:val="18"/>
              </w:rPr>
              <w:t xml:space="preserve">0.05</w:t>
            </w:r>
          </w:p>
        </w:tc>
        <w:tc>
          <w:tcPr/>
          <w:p>
            <w:pPr>
              <w:pStyle w:val="Compact"/>
              <w:spacing w:line="240" w:lineRule="auto" w:before="40" w:after="40"/>
              <w:jc w:val="center"/>
            </w:pPr>
            <w:r>
              <w:rPr>
                <w:rFonts w:ascii="Times New Roman" w:hAnsi="Times New Roman" w:cs="Times New Roman"/>
                <w:sz w:val="18"/>
              </w:rPr>
              <w:t xml:space="preserve">0.05</w:t>
            </w:r>
          </w:p>
        </w:tc>
        <w:tc>
          <w:tcPr/>
          <w:p>
            <w:pPr>
              <w:pStyle w:val="Compact"/>
              <w:spacing w:line="240" w:lineRule="auto" w:before="40" w:after="40"/>
              <w:jc w:val="center"/>
            </w:pPr>
            <w:r>
              <w:rPr>
                <w:rFonts w:ascii="Times New Roman" w:hAnsi="Times New Roman" w:cs="Times New Roman"/>
                <w:sz w:val="18"/>
              </w:rPr>
              <w:t xml:space="preserve">1.00</w:t>
            </w:r>
            <m:oMath>
              <m:r>
                <m:rPr>
                  <m:sty m:val="p"/>
                </m:rPr>
                <m:t>×</m:t>
              </m:r>
            </m:oMath>
          </w:p>
        </w:tc>
      </w:tr>
      <w:tr>
        <w:tc>
          <w:tcPr/>
          <w:p>
            <w:pPr>
              <w:pStyle w:val="Compact"/>
              <w:spacing w:line="240" w:lineRule="auto" w:before="40" w:after="40"/>
              <w:jc w:val="center"/>
            </w:pPr>
            <w:r>
              <w:rPr>
                <w:rFonts w:ascii="Times New Roman" w:hAnsi="Times New Roman" w:cs="Times New Roman"/>
                <w:sz w:val="18"/>
              </w:rPr>
              <w:t xml:space="preserve">Moderate</w:t>
            </w:r>
          </w:p>
        </w:tc>
        <w:tc>
          <w:tcPr/>
          <w:p>
            <w:pPr>
              <w:pStyle w:val="Compact"/>
              <w:spacing w:line="240" w:lineRule="auto" w:before="40" w:after="40"/>
              <w:jc w:val="center"/>
            </w:pPr>
            <w:r>
              <w:rPr>
                <w:rFonts w:ascii="Times New Roman" w:hAnsi="Times New Roman" w:cs="Times New Roman"/>
                <w:sz w:val="18"/>
              </w:rPr>
              <w:t xml:space="preserve">0.18</w:t>
            </w:r>
          </w:p>
        </w:tc>
        <w:tc>
          <w:tcPr/>
          <w:p>
            <w:pPr>
              <w:pStyle w:val="Compact"/>
              <w:spacing w:line="240" w:lineRule="auto" w:before="40" w:after="40"/>
              <w:jc w:val="center"/>
            </w:pPr>
            <w:r>
              <w:rPr>
                <w:rFonts w:ascii="Times New Roman" w:hAnsi="Times New Roman" w:cs="Times New Roman"/>
                <w:sz w:val="18"/>
              </w:rPr>
              <w:t xml:space="preserve">0.13</w:t>
            </w:r>
          </w:p>
        </w:tc>
        <w:tc>
          <w:tcPr/>
          <w:p>
            <w:pPr>
              <w:pStyle w:val="Compact"/>
              <w:spacing w:line="240" w:lineRule="auto" w:before="40" w:after="40"/>
              <w:jc w:val="center"/>
            </w:pPr>
            <w:r>
              <w:rPr>
                <w:rFonts w:ascii="Times New Roman" w:hAnsi="Times New Roman" w:cs="Times New Roman"/>
                <w:sz w:val="18"/>
              </w:rPr>
              <w:t xml:space="preserve">1.38</w:t>
            </w:r>
            <m:oMath>
              <m:r>
                <m:rPr>
                  <m:sty m:val="p"/>
                </m:rPr>
                <m:t>×</m:t>
              </m:r>
            </m:oMath>
          </w:p>
        </w:tc>
      </w:tr>
      <w:tr>
        <w:tc>
          <w:tcPr/>
          <w:p>
            <w:pPr>
              <w:pStyle w:val="Compact"/>
              <w:spacing w:line="240" w:lineRule="auto" w:before="40" w:after="40"/>
              <w:jc w:val="center"/>
            </w:pPr>
            <w:r>
              <w:rPr>
                <w:rFonts w:ascii="Times New Roman" w:hAnsi="Times New Roman" w:cs="Times New Roman"/>
                <w:sz w:val="18"/>
              </w:rPr>
              <w:t xml:space="preserve">Severe</w:t>
            </w:r>
          </w:p>
        </w:tc>
        <w:tc>
          <w:tcPr/>
          <w:p>
            <w:pPr>
              <w:pStyle w:val="Compact"/>
              <w:spacing w:line="240" w:lineRule="auto" w:before="40" w:after="40"/>
              <w:jc w:val="center"/>
            </w:pPr>
            <w:r>
              <w:rPr>
                <w:rFonts w:ascii="Times New Roman" w:hAnsi="Times New Roman" w:cs="Times New Roman"/>
                <w:sz w:val="18"/>
              </w:rPr>
              <w:t xml:space="preserve">0.22</w:t>
            </w:r>
          </w:p>
        </w:tc>
        <w:tc>
          <w:tcPr/>
          <w:p>
            <w:pPr>
              <w:pStyle w:val="Compact"/>
              <w:spacing w:line="240" w:lineRule="auto" w:before="40" w:after="40"/>
              <w:jc w:val="center"/>
            </w:pPr>
            <w:r>
              <w:rPr>
                <w:rFonts w:ascii="Times New Roman" w:hAnsi="Times New Roman" w:cs="Times New Roman"/>
                <w:sz w:val="18"/>
              </w:rPr>
              <w:t xml:space="preserve">0.22</w:t>
            </w:r>
          </w:p>
        </w:tc>
        <w:tc>
          <w:tcPr/>
          <w:p>
            <w:pPr>
              <w:pStyle w:val="Compact"/>
              <w:spacing w:line="240" w:lineRule="auto" w:before="40" w:after="40"/>
              <w:jc w:val="center"/>
            </w:pPr>
            <w:r>
              <w:rPr>
                <w:rFonts w:ascii="Times New Roman" w:hAnsi="Times New Roman" w:cs="Times New Roman"/>
                <w:sz w:val="18"/>
              </w:rPr>
              <w:t xml:space="preserve">1.00</w:t>
            </w:r>
            <m:oMath>
              <m:r>
                <m:rPr>
                  <m:sty m:val="p"/>
                </m:rPr>
                <m:t>×</m:t>
              </m:r>
            </m:oMath>
          </w:p>
        </w:tc>
      </w:tr>
      <w:tr>
        <w:tc>
          <w:tcPr/>
          <w:p>
            <w:pPr>
              <w:pStyle w:val="Compact"/>
              <w:spacing w:line="240" w:lineRule="auto" w:before="40" w:after="40"/>
              <w:jc w:val="center"/>
            </w:pPr>
            <w:r>
              <w:rPr>
                <w:rFonts w:ascii="Times New Roman" w:hAnsi="Times New Roman" w:cs="Times New Roman"/>
                <w:sz w:val="18"/>
              </w:rPr>
              <w:t xml:space="preserve">Prolif DR</w:t>
            </w:r>
          </w:p>
        </w:tc>
        <w:tc>
          <w:tcPr/>
          <w:p>
            <w:pPr>
              <w:pStyle w:val="Compact"/>
              <w:spacing w:line="240" w:lineRule="auto" w:before="40" w:after="40"/>
              <w:jc w:val="center"/>
            </w:pPr>
            <w:r>
              <w:rPr>
                <w:rFonts w:ascii="Times New Roman" w:hAnsi="Times New Roman" w:cs="Times New Roman"/>
                <w:sz w:val="18"/>
              </w:rPr>
              <w:t xml:space="preserve">0.11</w:t>
            </w:r>
          </w:p>
        </w:tc>
        <w:tc>
          <w:tcPr/>
          <w:p>
            <w:pPr>
              <w:pStyle w:val="Compact"/>
              <w:spacing w:line="240" w:lineRule="auto" w:before="40" w:after="40"/>
              <w:jc w:val="center"/>
            </w:pPr>
            <w:r>
              <w:rPr>
                <w:rFonts w:ascii="Times New Roman" w:hAnsi="Times New Roman" w:cs="Times New Roman"/>
                <w:sz w:val="18"/>
              </w:rPr>
              <w:t xml:space="preserve">0.11</w:t>
            </w:r>
          </w:p>
        </w:tc>
        <w:tc>
          <w:tcPr/>
          <w:p>
            <w:pPr>
              <w:pStyle w:val="Compact"/>
              <w:spacing w:line="240" w:lineRule="auto" w:before="40" w:after="40"/>
              <w:jc w:val="center"/>
            </w:pPr>
            <w:r>
              <w:rPr>
                <w:rFonts w:ascii="Times New Roman" w:hAnsi="Times New Roman" w:cs="Times New Roman"/>
                <w:sz w:val="18"/>
              </w:rPr>
              <w:t xml:space="preserve">1.00</w:t>
            </w:r>
            <m:oMath>
              <m:r>
                <m:rPr>
                  <m:sty m:val="p"/>
                </m:rPr>
                <m:t>×</m:t>
              </m:r>
            </m:oMath>
          </w:p>
        </w:tc>
      </w:tr>
      <w:tr>
        <w:tc>
          <w:tcPr/>
          <w:p>
            <w:pPr>
              <w:pStyle w:val="Compact"/>
              <w:spacing w:line="240" w:lineRule="auto" w:before="40" w:after="40"/>
              <w:jc w:val="center"/>
            </w:pPr>
            <w:r>
              <w:rPr>
                <w:rFonts w:ascii="Times New Roman" w:hAnsi="Times New Roman" w:cs="Times New Roman"/>
                <w:sz w:val="18"/>
              </w:rPr>
              <w:t xml:space="preserve">Mean</w:t>
            </w:r>
          </w:p>
        </w:tc>
        <w:tc>
          <w:tcPr/>
          <w:p>
            <w:pPr>
              <w:pStyle w:val="Compact"/>
              <w:spacing w:line="240" w:lineRule="auto" w:before="40" w:after="40"/>
              <w:jc w:val="center"/>
            </w:pPr>
            <w:r>
              <w:rPr>
                <w:rFonts w:ascii="Times New Roman" w:hAnsi="Times New Roman" w:cs="Times New Roman"/>
                <w:sz w:val="18"/>
              </w:rPr>
              <w:t xml:space="preserve">0.13</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0.07</w:t>
            </w:r>
          </w:p>
        </w:tc>
        <w:tc>
          <w:tcPr/>
          <w:p>
            <w:pPr>
              <w:pStyle w:val="Compact"/>
              <w:spacing w:line="240" w:lineRule="auto" w:before="40" w:after="40"/>
              <w:jc w:val="center"/>
            </w:pPr>
            <w:r>
              <w:rPr>
                <w:rFonts w:ascii="Times New Roman" w:hAnsi="Times New Roman" w:cs="Times New Roman"/>
                <w:sz w:val="18"/>
              </w:rPr>
              <w:t xml:space="preserve">0.14</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0.06</w:t>
            </w:r>
          </w:p>
        </w:tc>
        <w:tc>
          <w:tcPr/>
          <w:p>
            <w:pPr>
              <w:pStyle w:val="Compact"/>
              <w:spacing w:line="240" w:lineRule="auto" w:before="40" w:after="40"/>
              <w:jc w:val="center"/>
            </w:pPr>
            <w:r>
              <w:rPr>
                <w:rFonts w:ascii="Times New Roman" w:hAnsi="Times New Roman" w:cs="Times New Roman"/>
                <w:sz w:val="18"/>
              </w:rPr>
              <w:t xml:space="preserve">–</w:t>
            </w:r>
          </w:p>
        </w:tc>
      </w:tr>
    </w:tbl>
    <w:bookmarkEnd w:id="100"/>
    <w:p>
      <w:pPr>
        <w:pStyle w:val="BodyText"/>
        <w:spacing w:lineRule="auto" w:line="360" w:before="0" w:after="80"/>
      </w:pPr>
      <w:r>
        <w:rPr>
          <w:rFonts w:ascii="Times New Roman" w:hAnsi="Times New Roman" w:cs="Times New Roman"/>
          <w:sz w:val="24"/>
        </w:rPr>
        <w:t xml:space="preserve">The relatively low IoU scores arise because superpixel boundaries generated by SLIC do not perfectly align with pixel-level lesion masks. The Severe DR class achieved the highest alignment (0.22) because large clusters of hard exudates produce superpixels that more closely match lesion extent, as illustrated in Figure </w:t>
      </w:r>
      <w:hyperlink w:anchor="fig:qualitative">
        <w:r>
          <w:rPr>
            <w:rStyle w:val="Hyperlink"/>
          </w:rPr>
          <w:t xml:space="preserve">11</w:t>
        </w:r>
      </w:hyperlink>
      <w:r>
        <w:rPr>
          <w:rFonts w:ascii="Times New Roman" w:hAnsi="Times New Roman" w:cs="Times New Roman"/>
          <w:sz w:val="24"/>
        </w:rPr>
        <w:t xml:space="preserve">.</w:t>
      </w:r>
    </w:p>
    <w:bookmarkStart w:id="104" w:name="fig:qualitative"/>
    <w:p>
      <w:pPr>
        <w:pStyle w:val="CaptionedFigure"/>
        <w:spacing w:lineRule="auto" w:line="240" w:before="0" w:after="80"/>
      </w:pPr>
      <w:r>
        <w:rPr>
          <w:rFonts w:ascii="Times New Roman" w:hAnsi="Times New Roman" w:cs="Times New Roman"/>
          <w:sz w:val="20"/>
        </w:rPr>
        <w:drawing>
          <wp:inline>
            <wp:extent cx="5334000" cy="9268918"/>
            <wp:effectExtent b="0" l="0" r="0" t="0"/>
            <wp:docPr descr="" title="" id="102" name="Picture"/>
            <a:graphic>
              <a:graphicData uri="http://schemas.openxmlformats.org/drawingml/2006/picture">
                <pic:pic>
                  <pic:nvPicPr>
                    <pic:cNvPr descr="qualitative_atlas_full.png" id="103" name="Picture"/>
                    <pic:cNvPicPr>
                      <a:picLocks noChangeArrowheads="1" noChangeAspect="1"/>
                    </pic:cNvPicPr>
                  </pic:nvPicPr>
                  <pic:blipFill>
                    <a:blip r:embed="rId101"/>
                    <a:stretch>
                      <a:fillRect/>
                    </a:stretch>
                  </pic:blipFill>
                  <pic:spPr bwMode="auto">
                    <a:xfrm>
                      <a:off x="0" y="0"/>
                      <a:ext cx="5334000" cy="9268918"/>
                    </a:xfrm>
                    <a:prstGeom prst="rect">
                      <a:avLst/>
                    </a:prstGeom>
                    <a:noFill/>
                    <a:ln w="9525">
                      <a:noFill/>
                      <a:headEnd/>
                      <a:tailEnd/>
                    </a:ln>
                  </pic:spPr>
                </pic:pic>
              </a:graphicData>
            </a:graphic>
          </wp:inline>
        </w:drawing>
      </w:r>
    </w:p>
    <w:p>
      <w:pPr>
        <w:pStyle w:val="ImageCaption"/>
        <w:spacing w:lineRule="auto" w:line="240" w:before="0" w:after="80"/>
      </w:pPr>
      <w:r>
        <w:rPr>
          <w:rFonts w:ascii="Times New Roman" w:hAnsi="Times New Roman" w:cs="Times New Roman"/>
          <w:sz w:val="20"/>
        </w:rPr>
        <w:t xml:space="preserve">Qualitative atlas: comparison of original fundus images, Grad-CAM heatmaps, and Guided-LIME explanations across all five DR severity grades.</w:t>
      </w:r>
    </w:p>
    <w:bookmarkEnd w:id="104"/>
    <w:bookmarkEnd w:id="105"/>
    <w:bookmarkStart w:id="108" w:name="stability-and-robustness-analysis"/>
    <w:p>
      <w:pPr>
        <w:pStyle w:val="Heading2"/>
        <w:spacing w:lineRule="auto" w:line="288" w:before="0" w:after="80"/>
        <w:jc w:val="left"/>
      </w:pPr>
      <w:r>
        <w:rPr>
          <w:rFonts w:ascii="Times New Roman" w:hAnsi="Times New Roman" w:cs="Times New Roman"/>
          <w:sz w:val="26"/>
        </w:rPr>
        <w:t xml:space="preserve">Stability and Robustness Analysis</w:t>
      </w:r>
    </w:p>
    <w:p>
      <w:pPr>
        <w:pStyle w:val="FirstParagraph"/>
        <w:spacing w:lineRule="auto" w:line="360" w:before="0" w:after="80"/>
      </w:pPr>
      <w:r>
        <w:rPr>
          <w:rFonts w:ascii="Times New Roman" w:hAnsi="Times New Roman" w:cs="Times New Roman"/>
          <w:sz w:val="24"/>
        </w:rPr>
        <w:t xml:space="preserve">The stability performance across the two perturbation settings is summarised in Table </w:t>
      </w:r>
      <w:hyperlink w:anchor="tab:stability">
        <w:r>
          <w:rPr>
            <w:rStyle w:val="Hyperlink"/>
          </w:rPr>
          <w:t xml:space="preserve">12</w:t>
        </w:r>
      </w:hyperlink>
      <w:r>
        <w:rPr>
          <w:rFonts w:ascii="Times New Roman" w:hAnsi="Times New Roman" w:cs="Times New Roman"/>
          <w:sz w:val="24"/>
        </w:rPr>
        <w:t xml:space="preserve">. Our global average of 0.158 falls within the published LIME stability range of 0.15–0.35.</w:t>
      </w:r>
    </w:p>
    <w:p>
      <w:pPr>
        <w:pStyle w:val="BodyText"/>
      </w:pPr>
      <w:bookmarkStart w:id="106" w:name="tab:stability"/>
      <w:bookmarkEnd w:id="106"/>
    </w:p>
    <w:bookmarkStart w:id="107" w:name="tab:stability"/>
    <w:p>
      <w:pPr>
        <w:pStyle w:val="TableCaption"/>
        <w:spacing w:lineRule="auto" w:line="240" w:before="0" w:after="80"/>
      </w:pPr>
      <w:r>
        <w:rPr>
          <w:rFonts w:ascii="Times New Roman" w:hAnsi="Times New Roman" w:cs="Times New Roman"/>
          <w:sz w:val="20"/>
        </w:rPr>
        <w:t xml:space="preserve">Explanation Stability under Image Perturbations (n=550).</w:t>
      </w:r>
    </w:p>
    <w:tbl>
      <w:tblPr>
        <w:tblStyle w:val="Table"/>
        <w:tblW w:type="auto" w:w="0"/>
        <w:jc w:val="center"/>
        <w:tblLook w:firstRow="1" w:lastRow="0" w:firstColumn="0" w:lastColumn="0" w:noHBand="0" w:noVBand="0" w:val="0020"/>
        <w:tblCaption w:val="Explanation Stability under Image Perturbations (n=550)."/>
      </w:tblPr>
      <w:tblGrid>
        <w:gridCol w:w="2640"/>
        <w:gridCol w:w="2640"/>
        <w:gridCol w:w="2640"/>
      </w:tblGrid>
      <w:tr>
        <w:trPr>
          <w:tblHeader w:val="on"/>
        </w:trPr>
        <w:tc>
          <w:tcPr/>
          <w:p>
            <w:pPr>
              <w:pStyle w:val="Compact"/>
              <w:spacing w:line="240" w:lineRule="auto" w:before="40" w:after="40"/>
              <w:jc w:val="center"/>
            </w:pPr>
            <w:r>
              <w:rPr>
                <w:rFonts w:ascii="Times New Roman" w:hAnsi="Times New Roman" w:cs="Times New Roman"/>
                <w:sz w:val="18"/>
              </w:rPr>
              <w:t xml:space="preserve">DR Class</w:t>
            </w:r>
          </w:p>
        </w:tc>
        <w:tc>
          <w:tcPr/>
          <w:p>
            <w:pPr>
              <w:pStyle w:val="Compact"/>
              <w:spacing w:line="240" w:lineRule="auto" w:before="40" w:after="40"/>
              <w:jc w:val="center"/>
            </w:pPr>
            <w:r>
              <w:rPr>
                <w:rFonts w:ascii="Times New Roman" w:hAnsi="Times New Roman" w:cs="Times New Roman"/>
                <w:sz w:val="18"/>
              </w:rPr>
              <w:t xml:space="preserve">Stability Score</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SD</w:t>
            </w:r>
          </w:p>
        </w:tc>
        <w:tc>
          <w:tcPr/>
          <w:p>
            <w:pPr>
              <w:pStyle w:val="Compact"/>
              <w:spacing w:line="240" w:lineRule="auto" w:before="40" w:after="40"/>
              <w:jc w:val="center"/>
            </w:pPr>
            <w:r>
              <w:rPr>
                <w:rFonts w:ascii="Times New Roman" w:hAnsi="Times New Roman" w:cs="Times New Roman"/>
                <w:sz w:val="18"/>
              </w:rPr>
              <w:t xml:space="preserve">95% Bootstrap CI</w:t>
            </w:r>
          </w:p>
        </w:tc>
      </w:tr>
      <w:tr>
        <w:tc>
          <w:tcPr/>
          <w:p>
            <w:pPr>
              <w:pStyle w:val="Compact"/>
              <w:spacing w:line="240" w:lineRule="auto" w:before="40" w:after="40"/>
              <w:jc w:val="center"/>
            </w:pPr>
            <w:r>
              <w:rPr>
                <w:rFonts w:ascii="Times New Roman" w:hAnsi="Times New Roman" w:cs="Times New Roman"/>
                <w:sz w:val="18"/>
              </w:rPr>
              <w:t xml:space="preserve">No DR</w:t>
            </w:r>
          </w:p>
        </w:tc>
        <w:tc>
          <w:tcPr/>
          <w:p>
            <w:pPr>
              <w:pStyle w:val="Compact"/>
              <w:spacing w:line="240" w:lineRule="auto" w:before="40" w:after="40"/>
              <w:jc w:val="center"/>
            </w:pPr>
            <w:r>
              <w:rPr>
                <w:rFonts w:ascii="Times New Roman" w:hAnsi="Times New Roman" w:cs="Times New Roman"/>
                <w:sz w:val="18"/>
              </w:rPr>
              <w:t xml:space="preserve">0.1890</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0.080</w:t>
            </w:r>
          </w:p>
        </w:tc>
        <w:tc>
          <w:tcPr/>
          <w:p>
            <w:pPr>
              <w:pStyle w:val="Compact"/>
              <w:spacing w:line="240" w:lineRule="auto" w:before="40" w:after="40"/>
              <w:jc w:val="center"/>
            </w:pPr>
            <w:r>
              <w:rPr>
                <w:rFonts w:ascii="Times New Roman" w:hAnsi="Times New Roman" w:cs="Times New Roman"/>
                <w:sz w:val="18"/>
              </w:rPr>
              <w:t xml:space="preserve">[0.179, 0.199]</w:t>
            </w:r>
          </w:p>
        </w:tc>
      </w:tr>
      <w:tr>
        <w:tc>
          <w:tcPr/>
          <w:p>
            <w:pPr>
              <w:pStyle w:val="Compact"/>
              <w:spacing w:line="240" w:lineRule="auto" w:before="40" w:after="40"/>
              <w:jc w:val="center"/>
            </w:pPr>
            <w:r>
              <w:rPr>
                <w:rFonts w:ascii="Times New Roman" w:hAnsi="Times New Roman" w:cs="Times New Roman"/>
                <w:sz w:val="18"/>
              </w:rPr>
              <w:t xml:space="preserve">Mild</w:t>
            </w:r>
          </w:p>
        </w:tc>
        <w:tc>
          <w:tcPr/>
          <w:p>
            <w:pPr>
              <w:pStyle w:val="Compact"/>
              <w:spacing w:line="240" w:lineRule="auto" w:before="40" w:after="40"/>
              <w:jc w:val="center"/>
            </w:pPr>
            <w:r>
              <w:rPr>
                <w:rFonts w:ascii="Times New Roman" w:hAnsi="Times New Roman" w:cs="Times New Roman"/>
                <w:sz w:val="18"/>
              </w:rPr>
              <w:t xml:space="preserve">0.1213</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0.071</w:t>
            </w:r>
          </w:p>
        </w:tc>
        <w:tc>
          <w:tcPr/>
          <w:p>
            <w:pPr>
              <w:pStyle w:val="Compact"/>
              <w:spacing w:line="240" w:lineRule="auto" w:before="40" w:after="40"/>
              <w:jc w:val="center"/>
            </w:pPr>
            <w:r>
              <w:rPr>
                <w:rFonts w:ascii="Times New Roman" w:hAnsi="Times New Roman" w:cs="Times New Roman"/>
                <w:sz w:val="18"/>
              </w:rPr>
              <w:t xml:space="preserve">[0.103, 0.141]</w:t>
            </w:r>
          </w:p>
        </w:tc>
      </w:tr>
      <w:tr>
        <w:tc>
          <w:tcPr/>
          <w:p>
            <w:pPr>
              <w:pStyle w:val="Compact"/>
              <w:spacing w:line="240" w:lineRule="auto" w:before="40" w:after="40"/>
              <w:jc w:val="center"/>
            </w:pPr>
            <w:r>
              <w:rPr>
                <w:rFonts w:ascii="Times New Roman" w:hAnsi="Times New Roman" w:cs="Times New Roman"/>
                <w:sz w:val="18"/>
              </w:rPr>
              <w:t xml:space="preserve">Moderate</w:t>
            </w:r>
          </w:p>
        </w:tc>
        <w:tc>
          <w:tcPr/>
          <w:p>
            <w:pPr>
              <w:pStyle w:val="Compact"/>
              <w:spacing w:line="240" w:lineRule="auto" w:before="40" w:after="40"/>
              <w:jc w:val="center"/>
            </w:pPr>
            <w:r>
              <w:rPr>
                <w:rFonts w:ascii="Times New Roman" w:hAnsi="Times New Roman" w:cs="Times New Roman"/>
                <w:sz w:val="18"/>
              </w:rPr>
              <w:t xml:space="preserve">0.1273</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0.072</w:t>
            </w:r>
          </w:p>
        </w:tc>
        <w:tc>
          <w:tcPr/>
          <w:p>
            <w:pPr>
              <w:pStyle w:val="Compact"/>
              <w:spacing w:line="240" w:lineRule="auto" w:before="40" w:after="40"/>
              <w:jc w:val="center"/>
            </w:pPr>
            <w:r>
              <w:rPr>
                <w:rFonts w:ascii="Times New Roman" w:hAnsi="Times New Roman" w:cs="Times New Roman"/>
                <w:sz w:val="18"/>
              </w:rPr>
              <w:t xml:space="preserve">[0.116, 0.140]</w:t>
            </w:r>
          </w:p>
        </w:tc>
      </w:tr>
      <w:tr>
        <w:tc>
          <w:tcPr/>
          <w:p>
            <w:pPr>
              <w:pStyle w:val="Compact"/>
              <w:spacing w:line="240" w:lineRule="auto" w:before="40" w:after="40"/>
              <w:jc w:val="center"/>
            </w:pPr>
            <w:r>
              <w:rPr>
                <w:rFonts w:ascii="Times New Roman" w:hAnsi="Times New Roman" w:cs="Times New Roman"/>
                <w:sz w:val="18"/>
              </w:rPr>
              <w:t xml:space="preserve">Severe</w:t>
            </w:r>
          </w:p>
        </w:tc>
        <w:tc>
          <w:tcPr/>
          <w:p>
            <w:pPr>
              <w:pStyle w:val="Compact"/>
              <w:spacing w:line="240" w:lineRule="auto" w:before="40" w:after="40"/>
              <w:jc w:val="center"/>
            </w:pPr>
            <w:r>
              <w:rPr>
                <w:rFonts w:ascii="Times New Roman" w:hAnsi="Times New Roman" w:cs="Times New Roman"/>
                <w:sz w:val="18"/>
              </w:rPr>
              <w:t xml:space="preserve">0.1436</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0.066</w:t>
            </w:r>
          </w:p>
        </w:tc>
        <w:tc>
          <w:tcPr/>
          <w:p>
            <w:pPr>
              <w:pStyle w:val="Compact"/>
              <w:spacing w:line="240" w:lineRule="auto" w:before="40" w:after="40"/>
              <w:jc w:val="center"/>
            </w:pPr>
            <w:r>
              <w:rPr>
                <w:rFonts w:ascii="Times New Roman" w:hAnsi="Times New Roman" w:cs="Times New Roman"/>
                <w:sz w:val="18"/>
              </w:rPr>
              <w:t xml:space="preserve">[0.121, 0.171]</w:t>
            </w:r>
          </w:p>
        </w:tc>
      </w:tr>
      <w:tr>
        <w:tc>
          <w:tcPr/>
          <w:p>
            <w:pPr>
              <w:pStyle w:val="Compact"/>
              <w:spacing w:line="240" w:lineRule="auto" w:before="40" w:after="40"/>
              <w:jc w:val="center"/>
            </w:pPr>
            <w:r>
              <w:rPr>
                <w:rFonts w:ascii="Times New Roman" w:hAnsi="Times New Roman" w:cs="Times New Roman"/>
                <w:sz w:val="18"/>
              </w:rPr>
              <w:t xml:space="preserve">Prolif DR</w:t>
            </w:r>
          </w:p>
        </w:tc>
        <w:tc>
          <w:tcPr/>
          <w:p>
            <w:pPr>
              <w:pStyle w:val="Compact"/>
              <w:spacing w:line="240" w:lineRule="auto" w:before="40" w:after="40"/>
              <w:jc w:val="center"/>
            </w:pPr>
            <w:r>
              <w:rPr>
                <w:rFonts w:ascii="Times New Roman" w:hAnsi="Times New Roman" w:cs="Times New Roman"/>
                <w:sz w:val="18"/>
              </w:rPr>
              <w:t xml:space="preserve">0.1274</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0.068</w:t>
            </w:r>
          </w:p>
        </w:tc>
        <w:tc>
          <w:tcPr/>
          <w:p>
            <w:pPr>
              <w:pStyle w:val="Compact"/>
              <w:spacing w:line="240" w:lineRule="auto" w:before="40" w:after="40"/>
              <w:jc w:val="center"/>
            </w:pPr>
            <w:r>
              <w:rPr>
                <w:rFonts w:ascii="Times New Roman" w:hAnsi="Times New Roman" w:cs="Times New Roman"/>
                <w:sz w:val="18"/>
              </w:rPr>
              <w:t xml:space="preserve">[0.108, 0.149]</w:t>
            </w:r>
          </w:p>
        </w:tc>
      </w:tr>
      <w:tr>
        <w:tc>
          <w:tcPr/>
          <w:p>
            <w:pPr>
              <w:pStyle w:val="Compact"/>
              <w:spacing w:line="240" w:lineRule="auto" w:before="40" w:after="40"/>
              <w:jc w:val="center"/>
            </w:pPr>
            <w:r>
              <w:rPr>
                <w:rFonts w:ascii="Times New Roman" w:hAnsi="Times New Roman" w:cs="Times New Roman"/>
                <w:sz w:val="18"/>
              </w:rPr>
              <w:t xml:space="preserve">Global Average</w:t>
            </w:r>
          </w:p>
        </w:tc>
        <w:tc>
          <w:tcPr/>
          <w:p>
            <w:pPr>
              <w:pStyle w:val="Compact"/>
              <w:spacing w:line="240" w:lineRule="auto" w:before="40" w:after="40"/>
              <w:jc w:val="center"/>
            </w:pPr>
            <w:r>
              <w:rPr>
                <w:rFonts w:ascii="Times New Roman" w:hAnsi="Times New Roman" w:cs="Times New Roman"/>
                <w:sz w:val="18"/>
              </w:rPr>
              <w:t xml:space="preserve">0.1579</w:t>
            </w:r>
            <w:r>
              <w:rPr>
                <w:rFonts w:ascii="Times New Roman" w:hAnsi="Times New Roman" w:cs="Times New Roman"/>
                <w:sz w:val="18"/>
              </w:rPr>
              <w:t xml:space="preserve"> </w:t>
            </w:r>
            <m:oMath>
              <m:r>
                <m:rPr>
                  <m:sty m:val="p"/>
                </m:rPr>
                <m:t>±</m:t>
              </m:r>
            </m:oMath>
            <w:r>
              <w:rPr>
                <w:rFonts w:ascii="Times New Roman" w:hAnsi="Times New Roman" w:cs="Times New Roman"/>
                <w:sz w:val="18"/>
              </w:rPr>
              <w:t xml:space="preserve"> </w:t>
            </w:r>
            <w:r>
              <w:rPr>
                <w:rFonts w:ascii="Times New Roman" w:hAnsi="Times New Roman" w:cs="Times New Roman"/>
                <w:sz w:val="18"/>
              </w:rPr>
              <w:t xml:space="preserve">0.081</w:t>
            </w:r>
          </w:p>
        </w:tc>
        <w:tc>
          <w:tcPr/>
          <w:p>
            <w:pPr>
              <w:pStyle w:val="Compact"/>
              <w:spacing w:line="240" w:lineRule="auto" w:before="40" w:after="40"/>
              <w:jc w:val="center"/>
            </w:pPr>
            <w:r>
              <w:rPr>
                <w:rFonts w:ascii="Times New Roman" w:hAnsi="Times New Roman" w:cs="Times New Roman"/>
                <w:sz w:val="18"/>
              </w:rPr>
              <w:t xml:space="preserve">[0.151, 0.164]</w:t>
            </w:r>
          </w:p>
        </w:tc>
      </w:tr>
    </w:tbl>
    <w:bookmarkEnd w:id="107"/>
    <w:bookmarkEnd w:id="108"/>
    <w:bookmarkStart w:id="113" w:name="failure-mode-diagnosis-via-xai"/>
    <w:p>
      <w:pPr>
        <w:pStyle w:val="Heading2"/>
        <w:spacing w:lineRule="auto" w:line="288" w:before="0" w:after="80"/>
        <w:jc w:val="left"/>
      </w:pPr>
      <w:r>
        <w:rPr>
          <w:rFonts w:ascii="Times New Roman" w:hAnsi="Times New Roman" w:cs="Times New Roman"/>
          <w:sz w:val="26"/>
        </w:rPr>
        <w:t xml:space="preserve">Failure Mode Diagnosis via XAI</w:t>
      </w:r>
    </w:p>
    <w:p>
      <w:pPr>
        <w:pStyle w:val="FirstParagraph"/>
        <w:spacing w:lineRule="auto" w:line="360" w:before="0" w:after="80"/>
      </w:pPr>
      <w:r>
        <w:rPr>
          <w:rFonts w:ascii="Times New Roman" w:hAnsi="Times New Roman" w:cs="Times New Roman"/>
          <w:sz w:val="24"/>
        </w:rPr>
        <w:t xml:space="preserve">Beyond validating correct predictions, the framework’s utility is exemplified by its ability to identify systematic failure modes. A diagnostic error where a healthy retina (No DR) was misclassified as Mild DR was analysed. Figure </w:t>
      </w:r>
      <w:hyperlink w:anchor="fig:failure">
        <w:r>
          <w:rPr>
            <w:rStyle w:val="Hyperlink"/>
          </w:rPr>
          <w:t xml:space="preserve">12</w:t>
        </w:r>
      </w:hyperlink>
      <w:r>
        <w:rPr>
          <w:rFonts w:ascii="Times New Roman" w:hAnsi="Times New Roman" w:cs="Times New Roman"/>
          <w:sz w:val="24"/>
        </w:rPr>
        <w:t xml:space="preserve"> </w:t>
      </w:r>
      <w:r>
        <w:rPr>
          <w:rFonts w:ascii="Times New Roman" w:hAnsi="Times New Roman" w:cs="Times New Roman"/>
          <w:sz w:val="24"/>
        </w:rPr>
        <w:t xml:space="preserve">illustrates this case: the Guided-LIME heatmap highlights specular reflections as the basis for misclassification. Qualitative inspection indicates this type of false positive occurs in approximately 2% of No DR images, and specular-reflection misinterpretation accounts for the majority of these cases.</w:t>
      </w:r>
    </w:p>
    <w:bookmarkStart w:id="112" w:name="fig:failure"/>
    <w:p>
      <w:pPr>
        <w:pStyle w:val="CaptionedFigure"/>
        <w:spacing w:lineRule="auto" w:line="240" w:before="0" w:after="80"/>
      </w:pPr>
      <w:r>
        <w:rPr>
          <w:rFonts w:ascii="Times New Roman" w:hAnsi="Times New Roman" w:cs="Times New Roman"/>
          <w:sz w:val="20"/>
        </w:rPr>
        <w:drawing>
          <wp:inline>
            <wp:extent cx="5334000" cy="1860040"/>
            <wp:effectExtent b="0" l="0" r="0" t="0"/>
            <wp:docPr descr="" title="" id="110" name="Picture"/>
            <a:graphic>
              <a:graphicData uri="http://schemas.openxmlformats.org/drawingml/2006/picture">
                <pic:pic>
                  <pic:nvPicPr>
                    <pic:cNvPr descr="lime_explanation_final.png" id="111" name="Picture"/>
                    <pic:cNvPicPr>
                      <a:picLocks noChangeArrowheads="1" noChangeAspect="1"/>
                    </pic:cNvPicPr>
                  </pic:nvPicPr>
                  <pic:blipFill>
                    <a:blip r:embed="rId109"/>
                    <a:stretch>
                      <a:fillRect/>
                    </a:stretch>
                  </pic:blipFill>
                  <pic:spPr bwMode="auto">
                    <a:xfrm>
                      <a:off x="0" y="0"/>
                      <a:ext cx="5334000" cy="1860040"/>
                    </a:xfrm>
                    <a:prstGeom prst="rect">
                      <a:avLst/>
                    </a:prstGeom>
                    <a:noFill/>
                    <a:ln w="9525">
                      <a:noFill/>
                      <a:headEnd/>
                      <a:tailEnd/>
                    </a:ln>
                  </pic:spPr>
                </pic:pic>
              </a:graphicData>
            </a:graphic>
          </wp:inline>
        </w:drawing>
      </w:r>
    </w:p>
    <w:p>
      <w:pPr>
        <w:pStyle w:val="ImageCaption"/>
        <w:spacing w:lineRule="auto" w:line="240" w:before="0" w:after="80"/>
      </w:pPr>
      <w:r>
        <w:rPr>
          <w:rFonts w:ascii="Times New Roman" w:hAnsi="Times New Roman" w:cs="Times New Roman"/>
          <w:sz w:val="20"/>
        </w:rPr>
        <w:t xml:space="preserve">Failure mode diagnosis: (a) Original fundus image (No DR) misclassified as Mild, (b) Guided-LIME explanation showing the model incorrectly attends to bright specular reflections rather than pathological features, (c) Correctly classified Severe DR case with Guided-LIME overlay for comparison.</w:t>
      </w:r>
    </w:p>
    <w:bookmarkEnd w:id="112"/>
    <w:bookmarkEnd w:id="113"/>
    <w:bookmarkStart w:id="114" w:name="computational-performance"/>
    <w:p>
      <w:pPr>
        <w:pStyle w:val="Heading2"/>
        <w:spacing w:lineRule="auto" w:line="288" w:before="0" w:after="80"/>
        <w:jc w:val="left"/>
      </w:pPr>
      <w:r>
        <w:rPr>
          <w:rFonts w:ascii="Times New Roman" w:hAnsi="Times New Roman" w:cs="Times New Roman"/>
          <w:sz w:val="26"/>
        </w:rPr>
        <w:t xml:space="preserve">Computational Performance</w:t>
      </w:r>
    </w:p>
    <w:p>
      <w:pPr>
        <w:pStyle w:val="FirstParagraph"/>
        <w:spacing w:lineRule="auto" w:line="360" w:before="0" w:after="80"/>
      </w:pPr>
      <w:r>
        <w:rPr>
          <w:rFonts w:ascii="Times New Roman" w:hAnsi="Times New Roman" w:cs="Times New Roman"/>
          <w:sz w:val="24"/>
        </w:rPr>
        <w:t xml:space="preserve">The Guided-LIME framework was implemented in Python 3.13.3 using PyTorch 2.6.0 (with CUDA 12.4 acceleration) on an NVIDIA GeForce RTX 4070 Laptop GPU (8 GB VRAM). The full 550-image fidelity and stability evaluations completed in approximately 90 minutes. The average per-image runtime is approximately 9–13 s, dominated by the LIME surrogate fitting on 1,000 perturbed samples. With further engineering such as on-device ONNX export, sub-second inference per image is achievable for clinical-screening deployment.</w:t>
      </w:r>
    </w:p>
    <w:bookmarkEnd w:id="114"/>
    <w:bookmarkEnd w:id="115"/>
    <w:bookmarkStart w:id="121" w:name="sec:discussion"/>
    <w:p>
      <w:pPr>
        <w:pStyle w:val="Heading1"/>
        <w:spacing w:lineRule="auto" w:line="288" w:before="0" w:after="80"/>
        <w:jc w:val="left"/>
      </w:pPr>
      <w:r>
        <w:rPr>
          <w:rFonts w:ascii="Times New Roman" w:hAnsi="Times New Roman" w:cs="Times New Roman"/>
          <w:sz w:val="28"/>
        </w:rPr>
        <w:t xml:space="preserve">Discussion</w:t>
      </w:r>
    </w:p>
    <w:bookmarkStart w:id="116" w:name="X9a10827735a90b22074e560f256eec5165b7269"/>
    <w:p>
      <w:pPr>
        <w:pStyle w:val="Heading2"/>
        <w:spacing w:lineRule="auto" w:line="288" w:before="0" w:after="80"/>
        <w:jc w:val="left"/>
      </w:pPr>
      <w:r>
        <w:rPr>
          <w:rFonts w:ascii="Times New Roman" w:hAnsi="Times New Roman" w:cs="Times New Roman"/>
          <w:sz w:val="26"/>
        </w:rPr>
        <w:t xml:space="preserve">Analysis of Model Generalisation and Training Strategy</w:t>
      </w:r>
    </w:p>
    <w:p>
      <w:pPr>
        <w:pStyle w:val="FirstParagraph"/>
        <w:spacing w:lineRule="auto" w:line="360" w:before="0" w:after="80"/>
      </w:pPr>
      <w:r>
        <w:rPr>
          <w:rFonts w:ascii="Times New Roman" w:hAnsi="Times New Roman" w:cs="Times New Roman"/>
          <w:sz w:val="24"/>
        </w:rPr>
        <w:t xml:space="preserve">The success of the Swin Transformer in achieving a Test QWK of 0.8588 can be attributed to the synergistic combination of its hierarchical architecture and the multi-faceted training strategy. The hierarchical nature of the Swin Transformer allows it to capture both global retinal geometry and fine-grained pathological features. The use of Focal Loss was instrumental in addressing the hard example problem by dynamically down-weighting well-classified samples and forcing the model to concentrate on minority classes. For context, ensemble-based approaches such as Zhu et al. </w:t>
      </w:r>
      <w:r>
        <w:rPr>
          <w:rFonts w:ascii="Times New Roman" w:hAnsi="Times New Roman" w:cs="Times New Roman"/>
          <w:sz w:val="24"/>
          <w:vertAlign w:val="superscript"/>
        </w:rPr>
        <w:t xml:space="preserve">11</w:t>
      </w:r>
      <w:r>
        <w:rPr>
          <w:rFonts w:ascii="Times New Roman" w:hAnsi="Times New Roman" w:cs="Times New Roman"/>
          <w:sz w:val="24"/>
        </w:rPr>
        <w:t xml:space="preserve"> </w:t>
      </w:r>
      <w:r>
        <w:rPr>
          <w:rFonts w:ascii="Times New Roman" w:hAnsi="Times New Roman" w:cs="Times New Roman"/>
          <w:sz w:val="24"/>
        </w:rPr>
        <w:t xml:space="preserve">and Huang et al. </w:t>
      </w:r>
      <w:r>
        <w:rPr>
          <w:rFonts w:ascii="Times New Roman" w:hAnsi="Times New Roman" w:cs="Times New Roman"/>
          <w:sz w:val="24"/>
          <w:vertAlign w:val="superscript"/>
        </w:rPr>
        <w:t xml:space="preserve">12</w:t>
      </w:r>
      <w:r>
        <w:rPr>
          <w:rFonts w:ascii="Times New Roman" w:hAnsi="Times New Roman" w:cs="Times New Roman"/>
          <w:sz w:val="24"/>
        </w:rPr>
        <w:t xml:space="preserve"> </w:t>
      </w:r>
      <w:r>
        <w:rPr>
          <w:rFonts w:ascii="Times New Roman" w:hAnsi="Times New Roman" w:cs="Times New Roman"/>
          <w:sz w:val="24"/>
        </w:rPr>
        <w:t xml:space="preserve">report higher QWK scores of 0.925 on this task; we acknowledge these results and note that the primary contribution of the present work is quantitative XAI validation rather than maximising classification accuracy alone.</w:t>
      </w:r>
    </w:p>
    <w:bookmarkEnd w:id="116"/>
    <w:bookmarkStart w:id="117" w:name="X08342284989300c34a73c7e0a77237fc471ed0d"/>
    <w:p>
      <w:pPr>
        <w:pStyle w:val="Heading2"/>
        <w:spacing w:lineRule="auto" w:line="288" w:before="0" w:after="80"/>
        <w:jc w:val="left"/>
      </w:pPr>
      <w:r>
        <w:rPr>
          <w:rFonts w:ascii="Times New Roman" w:hAnsi="Times New Roman" w:cs="Times New Roman"/>
          <w:sz w:val="26"/>
        </w:rPr>
        <w:t xml:space="preserve">The Superiority of Guided-LIME and Causal Faithfulness</w:t>
      </w:r>
    </w:p>
    <w:p>
      <w:pPr>
        <w:pStyle w:val="FirstParagraph"/>
        <w:spacing w:lineRule="auto" w:line="360" w:before="0" w:after="80"/>
      </w:pPr>
      <w:r>
        <w:rPr>
          <w:rFonts w:ascii="Times New Roman" w:hAnsi="Times New Roman" w:cs="Times New Roman"/>
          <w:sz w:val="24"/>
        </w:rPr>
        <w:t xml:space="preserve">A key methodological contribution of this work is the development and validation of the Guided-LIME hybrid explainer. On the full 550-image test set, Guided-LIME achieved a Deletion AUC of 0.3329, significantly lower than Standard LIME (0.3412; p = 5.6</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10</w:t>
      </w:r>
      <m:oMath>
        <m:sSup>
          <m:e>
            <m:r>
              <m:t>​</m:t>
            </m:r>
          </m:e>
          <m:sup>
            <m:r>
              <m:rPr>
                <m:sty m:val="p"/>
              </m:rPr>
              <m:t>−</m:t>
            </m:r>
            <m:r>
              <m:t>25</m:t>
            </m:r>
          </m:sup>
        </m:sSup>
      </m:oMath>
      <w:r>
        <w:rPr>
          <w:rFonts w:ascii="Times New Roman" w:hAnsi="Times New Roman" w:cs="Times New Roman"/>
          <w:sz w:val="24"/>
        </w:rPr>
        <w:t xml:space="preserve">), Grad-CAM (0.4832; p = 1.4</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10</w:t>
      </w:r>
      <m:oMath>
        <m:sSup>
          <m:e>
            <m:r>
              <m:t>​</m:t>
            </m:r>
          </m:e>
          <m:sup>
            <m:r>
              <m:rPr>
                <m:sty m:val="p"/>
              </m:rPr>
              <m:t>−</m:t>
            </m:r>
            <m:r>
              <m:t>73</m:t>
            </m:r>
          </m:sup>
        </m:sSup>
      </m:oMath>
      <w:r>
        <w:rPr>
          <w:rFonts w:ascii="Times New Roman" w:hAnsi="Times New Roman" w:cs="Times New Roman"/>
          <w:sz w:val="24"/>
        </w:rPr>
        <w:t xml:space="preserve">), and the random baseline (0.5533; p = 5.3</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10</w:t>
      </w:r>
      <m:oMath>
        <m:sSup>
          <m:e>
            <m:r>
              <m:t>​</m:t>
            </m:r>
          </m:e>
          <m:sup>
            <m:r>
              <m:rPr>
                <m:sty m:val="p"/>
              </m:rPr>
              <m:t>−</m:t>
            </m:r>
            <m:r>
              <m:t>92</m:t>
            </m:r>
          </m:sup>
        </m:sSup>
      </m:oMath>
      <w:r>
        <w:rPr>
          <w:rFonts w:ascii="Times New Roman" w:hAnsi="Times New Roman" w:cs="Times New Roman"/>
          <w:sz w:val="24"/>
        </w:rPr>
        <w:t xml:space="preserve">). This faster confidence decay provides strong evidence that the multiplicative combination of the global Grad-CAM spatial prior and the local LIME surrogate correctly identifies features that are causally necessary for the model’s prediction.</w:t>
      </w:r>
    </w:p>
    <w:bookmarkEnd w:id="117"/>
    <w:bookmarkStart w:id="118" w:name="X7a7c73bbbef8a4cec67d1bb1d102e07764d7767"/>
    <w:p>
      <w:pPr>
        <w:pStyle w:val="Heading2"/>
        <w:spacing w:lineRule="auto" w:line="288" w:before="0" w:after="80"/>
        <w:jc w:val="left"/>
      </w:pPr>
      <w:r>
        <w:rPr>
          <w:rFonts w:ascii="Times New Roman" w:hAnsi="Times New Roman" w:cs="Times New Roman"/>
          <w:sz w:val="26"/>
        </w:rPr>
        <w:t xml:space="preserve">Clinical Grounding and Statistical Significance</w:t>
      </w:r>
    </w:p>
    <w:p>
      <w:pPr>
        <w:pStyle w:val="FirstParagraph"/>
        <w:spacing w:lineRule="auto" w:line="360" w:before="0" w:after="80"/>
      </w:pPr>
      <w:r>
        <w:rPr>
          <w:rFonts w:ascii="Times New Roman" w:hAnsi="Times New Roman" w:cs="Times New Roman"/>
          <w:sz w:val="24"/>
        </w:rPr>
        <w:t xml:space="preserve">The clinical alignment study provides a cross-domain validation methodology that is often absent in XAI research. The mean Jaccard overlap of 0.14 against proxy biomarker masks is below the typical inter-rater baseline of 0.40–0.60, which we explicitly acknowledge. The explanations therefore show early evidence of clinical relevance rather than fully validated clinical grounding.</w:t>
      </w:r>
    </w:p>
    <w:bookmarkEnd w:id="118"/>
    <w:bookmarkStart w:id="119" w:name="cross-dataset-generalizability"/>
    <w:p>
      <w:pPr>
        <w:pStyle w:val="Heading2"/>
        <w:spacing w:lineRule="auto" w:line="288" w:before="0" w:after="80"/>
        <w:jc w:val="left"/>
      </w:pPr>
      <w:r>
        <w:rPr>
          <w:rFonts w:ascii="Times New Roman" w:hAnsi="Times New Roman" w:cs="Times New Roman"/>
          <w:sz w:val="26"/>
        </w:rPr>
        <w:t xml:space="preserve">Cross-Dataset Generalizability</w:t>
      </w:r>
    </w:p>
    <w:p>
      <w:pPr>
        <w:pStyle w:val="FirstParagraph"/>
        <w:spacing w:lineRule="auto" w:line="360" w:before="0" w:after="80"/>
      </w:pPr>
      <w:r>
        <w:rPr>
          <w:rFonts w:ascii="Times New Roman" w:hAnsi="Times New Roman" w:cs="Times New Roman"/>
          <w:sz w:val="24"/>
        </w:rPr>
        <w:t xml:space="preserve">The IDRiD cross-dataset validation provides critical evidence for the generalizability of the Guided-LIME framework. Despite substantial differences in acquisition characteristics – IDRiD images were collected from an Indian population using multiple fundus camera models, while APTOS 2019 images were captured in Thailand using a single camera model – Guided-LIME maintained its top-tier Deletion AUC ranking on both datasets. The ranking consistency is notable: superpixel-based methods (Guided-LIME, LIME, RISE) occupy the top three positions on both datasets, while transformer-attribution methods and gradient-based methods consistently rank lower. This suggests that the causal faithfulness advantage of superpixel-based attribution is largely independent of dataset-specific characteristics.</w:t>
      </w:r>
    </w:p>
    <w:bookmarkEnd w:id="119"/>
    <w:bookmarkStart w:id="120" w:name="stability-and-limitations"/>
    <w:p>
      <w:pPr>
        <w:pStyle w:val="Heading2"/>
        <w:spacing w:lineRule="auto" w:line="288" w:before="0" w:after="80"/>
        <w:jc w:val="left"/>
      </w:pPr>
      <w:r>
        <w:rPr>
          <w:rFonts w:ascii="Times New Roman" w:hAnsi="Times New Roman" w:cs="Times New Roman"/>
          <w:sz w:val="26"/>
        </w:rPr>
        <w:t xml:space="preserve">Stability and Limitations</w:t>
      </w:r>
    </w:p>
    <w:p>
      <w:pPr>
        <w:pStyle w:val="FirstParagraph"/>
        <w:spacing w:lineRule="auto" w:line="360" w:before="0" w:after="80"/>
      </w:pPr>
      <w:r>
        <w:rPr>
          <w:rFonts w:ascii="Times New Roman" w:hAnsi="Times New Roman" w:cs="Times New Roman"/>
          <w:sz w:val="24"/>
        </w:rPr>
        <w:t xml:space="preserve">The stability analysis revealed a Global Stability score of 0.158, within the 0.15–0.35 range reported in the published LIME stability literature. Several specific limitations should be noted:</w:t>
      </w:r>
    </w:p>
    <w:p>
      <w:pPr>
        <w:numPr>
          <w:ilvl w:val="0"/>
          <w:numId w:val="1002"/>
        </w:numPr>
        <w:spacing w:lineRule="auto" w:line="360" w:before="0" w:after="80"/>
      </w:pPr>
      <w:r>
        <w:rPr>
          <w:rFonts w:ascii="Times New Roman" w:hAnsi="Times New Roman" w:cs="Times New Roman"/>
          <w:b/>
          <w:bCs/>
          <w:sz w:val="24"/>
        </w:rPr>
        <w:t xml:space="preserve">IDRiD sample size</w:t>
      </w:r>
      <w:r>
        <w:rPr>
          <w:rFonts w:ascii="Times New Roman" w:hAnsi="Times New Roman" w:cs="Times New Roman"/>
          <w:sz w:val="24"/>
        </w:rPr>
        <w:t xml:space="preserve">: The IDRiD evaluation used only 51 correctly classified test images. While statistically significant, further validation on larger multi-centre datasets is warranted.</w:t>
      </w:r>
    </w:p>
    <w:p>
      <w:pPr>
        <w:numPr>
          <w:ilvl w:val="0"/>
          <w:numId w:val="1002"/>
        </w:numPr>
        <w:spacing w:lineRule="auto" w:line="360" w:before="0" w:after="80"/>
      </w:pPr>
      <w:r>
        <w:rPr>
          <w:rFonts w:ascii="Times New Roman" w:hAnsi="Times New Roman" w:cs="Times New Roman"/>
          <w:b/>
          <w:bCs/>
          <w:sz w:val="24"/>
        </w:rPr>
        <w:t xml:space="preserve">Severe class sample size</w:t>
      </w:r>
      <w:r>
        <w:rPr>
          <w:rFonts w:ascii="Times New Roman" w:hAnsi="Times New Roman" w:cs="Times New Roman"/>
          <w:sz w:val="24"/>
        </w:rPr>
        <w:t xml:space="preserve">: The Severe DR class contains only 29 test images on APTOS, limiting per-class conclusions for this grade.</w:t>
      </w:r>
    </w:p>
    <w:p>
      <w:pPr>
        <w:numPr>
          <w:ilvl w:val="0"/>
          <w:numId w:val="1002"/>
        </w:numPr>
        <w:spacing w:lineRule="auto" w:line="360" w:before="0" w:after="80"/>
      </w:pPr>
      <w:r>
        <w:rPr>
          <w:rFonts w:ascii="Times New Roman" w:hAnsi="Times New Roman" w:cs="Times New Roman"/>
          <w:b/>
          <w:bCs/>
          <w:sz w:val="24"/>
        </w:rPr>
        <w:t xml:space="preserve">Proxy biomarker masks</w:t>
      </w:r>
      <w:r>
        <w:rPr>
          <w:rFonts w:ascii="Times New Roman" w:hAnsi="Times New Roman" w:cs="Times New Roman"/>
          <w:sz w:val="24"/>
        </w:rPr>
        <w:t xml:space="preserve">: The clinical alignment study used image-processing-derived proxy masks rather than expert-annotated pixel-level ground truth.</w:t>
      </w:r>
    </w:p>
    <w:p>
      <w:pPr>
        <w:numPr>
          <w:ilvl w:val="0"/>
          <w:numId w:val="1002"/>
        </w:numPr>
        <w:spacing w:lineRule="auto" w:line="360" w:before="0" w:after="80"/>
      </w:pPr>
      <w:r>
        <w:rPr>
          <w:rFonts w:ascii="Times New Roman" w:hAnsi="Times New Roman" w:cs="Times New Roman"/>
          <w:b/>
          <w:bCs/>
          <w:sz w:val="24"/>
        </w:rPr>
        <w:t xml:space="preserve">Low IoU baseline</w:t>
      </w:r>
      <w:r>
        <w:rPr>
          <w:rFonts w:ascii="Times New Roman" w:hAnsi="Times New Roman" w:cs="Times New Roman"/>
          <w:sz w:val="24"/>
        </w:rPr>
        <w:t xml:space="preserve">: The mean Jaccard Index of 0.14 falls below the typical inter-rater agreement range.</w:t>
      </w:r>
    </w:p>
    <w:p>
      <w:pPr>
        <w:numPr>
          <w:ilvl w:val="0"/>
          <w:numId w:val="1002"/>
        </w:numPr>
        <w:spacing w:lineRule="auto" w:line="360" w:before="0" w:after="80"/>
      </w:pPr>
      <w:r>
        <w:rPr>
          <w:rFonts w:ascii="Times New Roman" w:hAnsi="Times New Roman" w:cs="Times New Roman"/>
          <w:b/>
          <w:bCs/>
          <w:sz w:val="24"/>
        </w:rPr>
        <w:t xml:space="preserve">Computational cost</w:t>
      </w:r>
      <w:r>
        <w:rPr>
          <w:rFonts w:ascii="Times New Roman" w:hAnsi="Times New Roman" w:cs="Times New Roman"/>
          <w:sz w:val="24"/>
        </w:rPr>
        <w:t xml:space="preserve">: The end-to-end explanation time is approximately 9–13 s per image, acceptable for offline decision support but not yet suitable for real-time screening.</w:t>
      </w:r>
    </w:p>
    <w:bookmarkEnd w:id="120"/>
    <w:bookmarkEnd w:id="121"/>
    <w:bookmarkStart w:id="123" w:name="sec:conclusions"/>
    <w:p>
      <w:pPr>
        <w:pStyle w:val="Heading1"/>
        <w:spacing w:lineRule="auto" w:line="288" w:before="0" w:after="80"/>
        <w:jc w:val="left"/>
      </w:pPr>
      <w:r>
        <w:rPr>
          <w:rFonts w:ascii="Times New Roman" w:hAnsi="Times New Roman" w:cs="Times New Roman"/>
          <w:sz w:val="28"/>
        </w:rPr>
        <w:t xml:space="preserve">Conclusions</w:t>
      </w:r>
    </w:p>
    <w:p>
      <w:pPr>
        <w:pStyle w:val="FirstParagraph"/>
        <w:spacing w:lineRule="auto" w:line="360" w:before="0" w:after="80"/>
      </w:pPr>
      <w:r>
        <w:rPr>
          <w:rFonts w:ascii="Times New Roman" w:hAnsi="Times New Roman" w:cs="Times New Roman"/>
          <w:sz w:val="24"/>
        </w:rPr>
        <w:t xml:space="preserve">This paper presented Guided-LIME, a hybrid explainability framework validated on Diabetic Retinopathy severity grading using a Swin Transformer backbone across two fundus photography datasets. The Guided-LIME algorithm multiplicatively combines the global spatial prior of Grad-CAM with the local superpixel precision of LIME. On the full 550-image APTOS 2019 test set, Guided-LIME achieved a Deletion AUC of 0.3329 versus 0.5533 for random (p = 5.3</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10</w:t>
      </w:r>
      <m:oMath>
        <m:sSup>
          <m:e>
            <m:r>
              <m:t>​</m:t>
            </m:r>
          </m:e>
          <m:sup>
            <m:r>
              <m:rPr>
                <m:sty m:val="p"/>
              </m:rPr>
              <m:t>−</m:t>
            </m:r>
            <m:r>
              <m:t>92</m:t>
            </m:r>
          </m:sup>
        </m:sSup>
      </m:oMath>
      <w:r>
        <w:rPr>
          <w:rFonts w:ascii="Times New Roman" w:hAnsi="Times New Roman" w:cs="Times New Roman"/>
          <w:sz w:val="24"/>
        </w:rPr>
        <w:t xml:space="preserve">), 0.3412 for Standard LIME (p = 5.6</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10</w:t>
      </w:r>
      <m:oMath>
        <m:sSup>
          <m:e>
            <m:r>
              <m:t>​</m:t>
            </m:r>
          </m:e>
          <m:sup>
            <m:r>
              <m:rPr>
                <m:sty m:val="p"/>
              </m:rPr>
              <m:t>−</m:t>
            </m:r>
            <m:r>
              <m:t>25</m:t>
            </m:r>
          </m:sup>
        </m:sSup>
      </m:oMath>
      <w:r>
        <w:rPr>
          <w:rFonts w:ascii="Times New Roman" w:hAnsi="Times New Roman" w:cs="Times New Roman"/>
          <w:sz w:val="24"/>
        </w:rPr>
        <w:t xml:space="preserve">), and 0.4832 for Grad-CAM (p = 1.4</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10</w:t>
      </w:r>
      <m:oMath>
        <m:sSup>
          <m:e>
            <m:r>
              <m:t>​</m:t>
            </m:r>
          </m:e>
          <m:sup>
            <m:r>
              <m:rPr>
                <m:sty m:val="p"/>
              </m:rPr>
              <m:t>−</m:t>
            </m:r>
            <m:r>
              <m:t>73</m:t>
            </m:r>
          </m:sup>
        </m:sSup>
      </m:oMath>
      <w:r>
        <w:rPr>
          <w:rFonts w:ascii="Times New Roman" w:hAnsi="Times New Roman" w:cs="Times New Roman"/>
          <w:sz w:val="24"/>
        </w:rPr>
        <w:t xml:space="preserve">). On the IDRiD cross-dataset benchmark (n=51), Guided-LIME maintained its top-tier ranking with a Deletion AUC of 0.1876 (p = 2.6</w:t>
      </w:r>
      <w:r>
        <w:rPr>
          <w:rFonts w:ascii="Times New Roman" w:hAnsi="Times New Roman" w:cs="Times New Roman"/>
          <w:sz w:val="24"/>
        </w:rPr>
        <w:t xml:space="preserve"> </w:t>
      </w:r>
      <m:oMath>
        <m:r>
          <m:rPr>
            <m:sty m:val="p"/>
          </m:rPr>
          <m:t>×</m:t>
        </m:r>
      </m:oMath>
      <w:r>
        <w:rPr>
          <w:rFonts w:ascii="Times New Roman" w:hAnsi="Times New Roman" w:cs="Times New Roman"/>
          <w:sz w:val="24"/>
        </w:rPr>
        <w:t xml:space="preserve"> </w:t>
      </w:r>
      <w:r>
        <w:rPr>
          <w:rFonts w:ascii="Times New Roman" w:hAnsi="Times New Roman" w:cs="Times New Roman"/>
          <w:sz w:val="24"/>
        </w:rPr>
        <w:t xml:space="preserve">10</w:t>
      </w:r>
      <m:oMath>
        <m:sSup>
          <m:e>
            <m:r>
              <m:t>​</m:t>
            </m:r>
          </m:e>
          <m:sup>
            <m:r>
              <m:rPr>
                <m:sty m:val="p"/>
              </m:rPr>
              <m:t>−</m:t>
            </m:r>
            <m:r>
              <m:t>10</m:t>
            </m:r>
          </m:sup>
        </m:sSup>
      </m:oMath>
      <w:r>
        <w:rPr>
          <w:rFonts w:ascii="Times New Roman" w:hAnsi="Times New Roman" w:cs="Times New Roman"/>
          <w:sz w:val="24"/>
        </w:rPr>
        <w:t xml:space="preserve"> </w:t>
      </w:r>
      <w:r>
        <w:rPr>
          <w:rFonts w:ascii="Times New Roman" w:hAnsi="Times New Roman" w:cs="Times New Roman"/>
          <w:sz w:val="24"/>
        </w:rPr>
        <w:t xml:space="preserve">versus random), confirming that the causal faithfulness advantage generalises across acquisition domains. The clinical alignment analysis indicates early evidence of clinical relevance (mean IoU = 0.14), and the failure mode diagnosis identified specific pathways for improvement.</w:t>
      </w:r>
    </w:p>
    <w:bookmarkStart w:id="122" w:name="future-work"/>
    <w:p>
      <w:pPr>
        <w:pStyle w:val="Heading2"/>
        <w:spacing w:lineRule="auto" w:line="288" w:before="0" w:after="80"/>
        <w:jc w:val="left"/>
      </w:pPr>
      <w:r>
        <w:rPr>
          <w:rFonts w:ascii="Times New Roman" w:hAnsi="Times New Roman" w:cs="Times New Roman"/>
          <w:sz w:val="26"/>
        </w:rPr>
        <w:t xml:space="preserve">Future Work</w:t>
      </w:r>
    </w:p>
    <w:p>
      <w:pPr>
        <w:pStyle w:val="FirstParagraph"/>
        <w:spacing w:lineRule="auto" w:line="360" w:before="0" w:after="80"/>
      </w:pPr>
      <w:r>
        <w:rPr>
          <w:rFonts w:ascii="Times New Roman" w:hAnsi="Times New Roman" w:cs="Times New Roman"/>
          <w:sz w:val="24"/>
        </w:rPr>
        <w:t xml:space="preserve">Future research will focus on further multi-centre validation, integration of expert-annotated lesion masks to refine clinical alignment metrics, and engineering optimisations (ONNX export, quantisation) to achieve sub-second inference for real-time screening deployment.</w:t>
      </w:r>
    </w:p>
    <w:bookmarkEnd w:id="122"/>
    <w:bookmarkEnd w:id="123"/>
    <w:bookmarkStart w:id="124" w:name="acknowledgements"/>
    <w:p>
      <w:pPr>
        <w:pStyle w:val="Heading1"/>
        <w:spacing w:lineRule="auto" w:line="288" w:before="0" w:after="80"/>
        <w:jc w:val="left"/>
      </w:pPr>
      <w:r>
        <w:rPr>
          <w:rFonts w:ascii="Times New Roman" w:hAnsi="Times New Roman" w:cs="Times New Roman"/>
          <w:sz w:val="28"/>
        </w:rPr>
        <w:t xml:space="preserve">Acknowledgements</w:t>
      </w:r>
    </w:p>
    <w:p>
      <w:pPr>
        <w:pStyle w:val="FirstParagraph"/>
        <w:spacing w:lineRule="auto" w:line="360" w:before="0" w:after="80"/>
      </w:pPr>
      <w:r>
        <w:rPr>
          <w:rFonts w:ascii="Times New Roman" w:hAnsi="Times New Roman" w:cs="Times New Roman"/>
          <w:sz w:val="24"/>
        </w:rPr>
        <w:t xml:space="preserve">The authors would like to thank Southampton Solent University for supporting this research.</w:t>
      </w:r>
    </w:p>
    <w:bookmarkEnd w:id="124"/>
    <w:bookmarkStart w:id="177" w:name="statements-and-declarations"/>
    <w:p>
      <w:pPr>
        <w:pStyle w:val="Heading1"/>
        <w:spacing w:lineRule="auto" w:line="288" w:before="0" w:after="80"/>
        <w:jc w:val="left"/>
      </w:pPr>
      <w:r>
        <w:rPr>
          <w:rFonts w:ascii="Times New Roman" w:hAnsi="Times New Roman" w:cs="Times New Roman"/>
          <w:sz w:val="28"/>
        </w:rPr>
        <w:t xml:space="preserve">Statements and Declarations</w:t>
      </w:r>
    </w:p>
    <w:p>
      <w:pPr>
        <w:pStyle w:val="FirstParagraph"/>
        <w:spacing w:lineRule="auto" w:line="360" w:before="0" w:after="80"/>
      </w:pPr>
      <w:r>
        <w:rPr>
          <w:rFonts w:ascii="Times New Roman" w:hAnsi="Times New Roman" w:cs="Times New Roman"/>
          <w:b/>
          <w:bCs/>
          <w:sz w:val="24"/>
        </w:rPr>
        <w:t xml:space="preserve">Funding:</w:t>
      </w:r>
      <w:r>
        <w:rPr>
          <w:rFonts w:ascii="Times New Roman" w:hAnsi="Times New Roman" w:cs="Times New Roman"/>
          <w:sz w:val="24"/>
        </w:rPr>
        <w:t xml:space="preserve"> </w:t>
      </w:r>
      <w:r>
        <w:rPr>
          <w:rFonts w:ascii="Times New Roman" w:hAnsi="Times New Roman" w:cs="Times New Roman"/>
          <w:sz w:val="24"/>
        </w:rPr>
        <w:t xml:space="preserve">This research did not receive any specific grant from funding agencies in the public, commercial, or not-for-profit sectors.</w:t>
      </w:r>
    </w:p>
    <w:p>
      <w:pPr>
        <w:pStyle w:val="BodyText"/>
        <w:spacing w:lineRule="auto" w:line="360" w:before="0" w:after="80"/>
      </w:pPr>
      <w:r>
        <w:rPr>
          <w:rFonts w:ascii="Times New Roman" w:hAnsi="Times New Roman" w:cs="Times New Roman"/>
          <w:b/>
          <w:bCs/>
          <w:sz w:val="24"/>
        </w:rPr>
        <w:t xml:space="preserve">Competing Interests:</w:t>
      </w:r>
      <w:r>
        <w:rPr>
          <w:rFonts w:ascii="Times New Roman" w:hAnsi="Times New Roman" w:cs="Times New Roman"/>
          <w:sz w:val="24"/>
        </w:rPr>
        <w:t xml:space="preserve"> </w:t>
      </w:r>
      <w:r>
        <w:rPr>
          <w:rFonts w:ascii="Times New Roman" w:hAnsi="Times New Roman" w:cs="Times New Roman"/>
          <w:sz w:val="24"/>
        </w:rPr>
        <w:t xml:space="preserve">The authors declare that they have no competing interests.</w:t>
      </w:r>
    </w:p>
    <w:p>
      <w:pPr>
        <w:pStyle w:val="BodyText"/>
        <w:spacing w:lineRule="auto" w:line="360" w:before="0" w:after="80"/>
      </w:pPr>
      <w:r>
        <w:rPr>
          <w:rFonts w:ascii="Times New Roman" w:hAnsi="Times New Roman" w:cs="Times New Roman"/>
          <w:b/>
          <w:bCs/>
          <w:sz w:val="24"/>
        </w:rPr>
        <w:t xml:space="preserve">Author Contributions:</w:t>
      </w:r>
      <w:r>
        <w:rPr>
          <w:rFonts w:ascii="Times New Roman" w:hAnsi="Times New Roman" w:cs="Times New Roman"/>
          <w:sz w:val="24"/>
        </w:rPr>
        <w:t xml:space="preserve"> </w:t>
      </w:r>
      <w:r>
        <w:rPr>
          <w:rFonts w:ascii="Times New Roman" w:hAnsi="Times New Roman" w:cs="Times New Roman"/>
          <w:sz w:val="24"/>
        </w:rPr>
        <w:t xml:space="preserve">Raza Hasan: Conceptualization, Methodology, Software, Writing-Original draft preparation; Pratham Acharya: Data curation, Software, Writing-Reviewing and Editing; MD Aashif Ansari: Validation, Writing-Reviewing and Editing; Salman Mahmood: Resources, Writing-Reviewing and Editing. All authors reviewed the results and approved the final version of the manuscript.</w:t>
      </w:r>
    </w:p>
    <w:p>
      <w:pPr>
        <w:pStyle w:val="BodyText"/>
        <w:spacing w:lineRule="auto" w:line="360" w:before="0" w:after="80"/>
      </w:pPr>
      <w:r>
        <w:rPr>
          <w:rFonts w:ascii="Times New Roman" w:hAnsi="Times New Roman" w:cs="Times New Roman"/>
          <w:b/>
          <w:bCs/>
          <w:sz w:val="24"/>
        </w:rPr>
        <w:t xml:space="preserve">Data Availability:</w:t>
      </w:r>
      <w:r>
        <w:rPr>
          <w:rFonts w:ascii="Times New Roman" w:hAnsi="Times New Roman" w:cs="Times New Roman"/>
          <w:sz w:val="24"/>
        </w:rPr>
        <w:t xml:space="preserve"> </w:t>
      </w:r>
      <w:r>
        <w:rPr>
          <w:rFonts w:ascii="Times New Roman" w:hAnsi="Times New Roman" w:cs="Times New Roman"/>
          <w:sz w:val="24"/>
        </w:rPr>
        <w:t xml:space="preserve">The APTOS 2019 Blindness Detection dataset is publicly available at</w:t>
      </w:r>
      <w:r>
        <w:rPr>
          <w:rFonts w:ascii="Times New Roman" w:hAnsi="Times New Roman" w:cs="Times New Roman"/>
          <w:sz w:val="24"/>
        </w:rPr>
        <w:t xml:space="preserve"> </w:t>
      </w:r>
      <w:hyperlink r:id="rId125">
        <w:r>
          <w:rPr>
            <w:rStyle w:val="Hyperlink"/>
          </w:rPr>
          <w:t xml:space="preserve">https://www.kaggle.com/c/aptos2019-blindness-detection</w:t>
        </w:r>
      </w:hyperlink>
      <w:r>
        <w:rPr>
          <w:rFonts w:ascii="Times New Roman" w:hAnsi="Times New Roman" w:cs="Times New Roman"/>
          <w:sz w:val="24"/>
        </w:rPr>
        <w:t xml:space="preserve">. The source code and trained models are available at</w:t>
      </w:r>
      <w:r>
        <w:rPr>
          <w:rFonts w:ascii="Times New Roman" w:hAnsi="Times New Roman" w:cs="Times New Roman"/>
          <w:sz w:val="24"/>
        </w:rPr>
        <w:t xml:space="preserve"> </w:t>
      </w:r>
      <w:hyperlink r:id="rId126">
        <w:r>
          <w:rPr>
            <w:rStyle w:val="Hyperlink"/>
          </w:rPr>
          <w:t xml:space="preserve">https://github.com/razahasan2000/Guided-Lime/</w:t>
        </w:r>
      </w:hyperlink>
      <w:r>
        <w:rPr>
          <w:rFonts w:ascii="Times New Roman" w:hAnsi="Times New Roman" w:cs="Times New Roman"/>
          <w:sz w:val="24"/>
        </w:rPr>
        <w:t xml:space="preserve">.</w:t>
      </w:r>
    </w:p>
    <w:p>
      <w:pPr>
        <w:pStyle w:val="BodyText"/>
        <w:spacing w:lineRule="auto" w:line="360" w:before="0" w:after="80"/>
      </w:pPr>
      <w:r>
        <w:rPr>
          <w:rFonts w:ascii="Times New Roman" w:hAnsi="Times New Roman" w:cs="Times New Roman"/>
          <w:b/>
          <w:bCs/>
          <w:sz w:val="24"/>
        </w:rPr>
        <w:t xml:space="preserve">AI Declaration:</w:t>
      </w:r>
      <w:r>
        <w:rPr>
          <w:rFonts w:ascii="Times New Roman" w:hAnsi="Times New Roman" w:cs="Times New Roman"/>
          <w:sz w:val="24"/>
        </w:rPr>
        <w:t xml:space="preserve"> </w:t>
      </w:r>
      <w:r>
        <w:rPr>
          <w:rFonts w:ascii="Times New Roman" w:hAnsi="Times New Roman" w:cs="Times New Roman"/>
          <w:sz w:val="24"/>
        </w:rPr>
        <w:t xml:space="preserve">During the preparation of this work, the author(s) used AI tools to assist in content refinement and language enhancement. After using these tools, the authors reviewed and edited the content as needed and take full responsibility for the content of the publication.</w:t>
      </w:r>
    </w:p>
    <w:bookmarkStart w:id="176" w:name="refs"/>
    <w:bookmarkStart w:id="128" w:name="ref-teo2021global"/>
    <w:p>
      <w:pPr>
        <w:pStyle w:val="Bibliography"/>
        <w:spacing w:lineRule="auto" w:line="360" w:before="0" w:after="80"/>
      </w:pPr>
      <w:r>
        <w:rPr>
          <w:rFonts w:ascii="Times New Roman" w:hAnsi="Times New Roman" w:cs="Times New Roman"/>
          <w:sz w:val="24"/>
        </w:rPr>
        <w:t xml:space="preserve">1.</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Teo ZL et al</w:t>
      </w:r>
      <w:r>
        <w:rPr>
          <w:rFonts w:ascii="Times New Roman" w:hAnsi="Times New Roman" w:cs="Times New Roman"/>
          <w:sz w:val="24"/>
        </w:rPr>
        <w:t xml:space="preserve"> </w:t>
      </w:r>
      <w:r>
        <w:rPr>
          <w:rFonts w:ascii="Times New Roman" w:hAnsi="Times New Roman" w:cs="Times New Roman"/>
          <w:sz w:val="24"/>
        </w:rPr>
        <w:t xml:space="preserve">(2021)</w:t>
      </w:r>
      <w:r>
        <w:rPr>
          <w:rFonts w:ascii="Times New Roman" w:hAnsi="Times New Roman" w:cs="Times New Roman"/>
          <w:sz w:val="24"/>
        </w:rPr>
        <w:t xml:space="preserve"> </w:t>
      </w:r>
      <w:hyperlink r:id="rId127">
        <w:r>
          <w:rPr>
            <w:rStyle w:val="Hyperlink"/>
          </w:rPr>
          <w:t xml:space="preserve">Global prevalence of diabetic retinopathy and projection of burden through 2045: Systematic review and meta-analysis</w:t>
        </w:r>
      </w:hyperlink>
      <w:r>
        <w:rPr>
          <w:rFonts w:ascii="Times New Roman" w:hAnsi="Times New Roman" w:cs="Times New Roman"/>
          <w:sz w:val="24"/>
        </w:rPr>
        <w:t xml:space="preserve">. Ophthalmology 128:1580</w:t>
      </w:r>
    </w:p>
    <w:bookmarkEnd w:id="128"/>
    <w:bookmarkStart w:id="130" w:name="ref-wong2016diabetic"/>
    <w:p>
      <w:pPr>
        <w:pStyle w:val="Bibliography"/>
        <w:spacing w:lineRule="auto" w:line="360" w:before="0" w:after="80"/>
      </w:pPr>
      <w:r>
        <w:rPr>
          <w:rFonts w:ascii="Times New Roman" w:hAnsi="Times New Roman" w:cs="Times New Roman"/>
          <w:sz w:val="24"/>
        </w:rPr>
        <w:t xml:space="preserve">2.</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Wong TY, Cheung CMG, Cheung G (2016)</w:t>
      </w:r>
      <w:r>
        <w:rPr>
          <w:rFonts w:ascii="Times New Roman" w:hAnsi="Times New Roman" w:cs="Times New Roman"/>
          <w:sz w:val="24"/>
        </w:rPr>
        <w:t xml:space="preserve"> </w:t>
      </w:r>
      <w:hyperlink r:id="rId129">
        <w:r>
          <w:rPr>
            <w:rStyle w:val="Hyperlink"/>
          </w:rPr>
          <w:t xml:space="preserve">Diabetic retinopathy</w:t>
        </w:r>
      </w:hyperlink>
      <w:r>
        <w:rPr>
          <w:rFonts w:ascii="Times New Roman" w:hAnsi="Times New Roman" w:cs="Times New Roman"/>
          <w:sz w:val="24"/>
        </w:rPr>
        <w:t xml:space="preserve">. Nature Reviews Disease Primers 2:16012</w:t>
      </w:r>
    </w:p>
    <w:bookmarkEnd w:id="130"/>
    <w:bookmarkStart w:id="132" w:name="ref-krause2018grader"/>
    <w:p>
      <w:pPr>
        <w:pStyle w:val="Bibliography"/>
        <w:spacing w:lineRule="auto" w:line="360" w:before="0" w:after="80"/>
      </w:pPr>
      <w:r>
        <w:rPr>
          <w:rFonts w:ascii="Times New Roman" w:hAnsi="Times New Roman" w:cs="Times New Roman"/>
          <w:sz w:val="24"/>
        </w:rPr>
        <w:t xml:space="preserve">3.</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Krause J et al</w:t>
      </w:r>
      <w:r>
        <w:rPr>
          <w:rFonts w:ascii="Times New Roman" w:hAnsi="Times New Roman" w:cs="Times New Roman"/>
          <w:sz w:val="24"/>
        </w:rPr>
        <w:t xml:space="preserve"> </w:t>
      </w:r>
      <w:r>
        <w:rPr>
          <w:rFonts w:ascii="Times New Roman" w:hAnsi="Times New Roman" w:cs="Times New Roman"/>
          <w:sz w:val="24"/>
        </w:rPr>
        <w:t xml:space="preserve">(2018)</w:t>
      </w:r>
      <w:r>
        <w:rPr>
          <w:rFonts w:ascii="Times New Roman" w:hAnsi="Times New Roman" w:cs="Times New Roman"/>
          <w:sz w:val="24"/>
        </w:rPr>
        <w:t xml:space="preserve"> </w:t>
      </w:r>
      <w:hyperlink r:id="rId131">
        <w:r>
          <w:rPr>
            <w:rStyle w:val="Hyperlink"/>
          </w:rPr>
          <w:t xml:space="preserve">Grader variability and the importance of reference standards for evaluating machine learning models for diabetic retinopathy</w:t>
        </w:r>
      </w:hyperlink>
      <w:r>
        <w:rPr>
          <w:rFonts w:ascii="Times New Roman" w:hAnsi="Times New Roman" w:cs="Times New Roman"/>
          <w:sz w:val="24"/>
        </w:rPr>
        <w:t xml:space="preserve">. Ophthalmology 125:1264–1272</w:t>
      </w:r>
    </w:p>
    <w:bookmarkEnd w:id="132"/>
    <w:bookmarkStart w:id="134" w:name="ref-gulshan2016development"/>
    <w:p>
      <w:pPr>
        <w:pStyle w:val="Bibliography"/>
        <w:spacing w:lineRule="auto" w:line="360" w:before="0" w:after="80"/>
      </w:pPr>
      <w:r>
        <w:rPr>
          <w:rFonts w:ascii="Times New Roman" w:hAnsi="Times New Roman" w:cs="Times New Roman"/>
          <w:sz w:val="24"/>
        </w:rPr>
        <w:t xml:space="preserve">4.</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Gulshan V et al</w:t>
      </w:r>
      <w:r>
        <w:rPr>
          <w:rFonts w:ascii="Times New Roman" w:hAnsi="Times New Roman" w:cs="Times New Roman"/>
          <w:sz w:val="24"/>
        </w:rPr>
        <w:t xml:space="preserve"> </w:t>
      </w:r>
      <w:r>
        <w:rPr>
          <w:rFonts w:ascii="Times New Roman" w:hAnsi="Times New Roman" w:cs="Times New Roman"/>
          <w:sz w:val="24"/>
        </w:rPr>
        <w:t xml:space="preserve">(2016)</w:t>
      </w:r>
      <w:r>
        <w:rPr>
          <w:rFonts w:ascii="Times New Roman" w:hAnsi="Times New Roman" w:cs="Times New Roman"/>
          <w:sz w:val="24"/>
        </w:rPr>
        <w:t xml:space="preserve"> </w:t>
      </w:r>
      <w:hyperlink r:id="rId133">
        <w:r>
          <w:rPr>
            <w:rStyle w:val="Hyperlink"/>
          </w:rPr>
          <w:t xml:space="preserve">Development and validation of a deep learning algorithm for detection of diabetic retinopathy in retinal fundus photographs</w:t>
        </w:r>
      </w:hyperlink>
      <w:r>
        <w:rPr>
          <w:rFonts w:ascii="Times New Roman" w:hAnsi="Times New Roman" w:cs="Times New Roman"/>
          <w:sz w:val="24"/>
        </w:rPr>
        <w:t xml:space="preserve">. JAMA 316:2402–2410</w:t>
      </w:r>
    </w:p>
    <w:bookmarkEnd w:id="134"/>
    <w:bookmarkStart w:id="136" w:name="ref-liu2021swin"/>
    <w:p>
      <w:pPr>
        <w:pStyle w:val="Bibliography"/>
        <w:spacing w:lineRule="auto" w:line="360" w:before="0" w:after="80"/>
      </w:pPr>
      <w:r>
        <w:rPr>
          <w:rFonts w:ascii="Times New Roman" w:hAnsi="Times New Roman" w:cs="Times New Roman"/>
          <w:sz w:val="24"/>
        </w:rPr>
        <w:t xml:space="preserve">5.</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Liu Z et al</w:t>
      </w:r>
      <w:r>
        <w:rPr>
          <w:rFonts w:ascii="Times New Roman" w:hAnsi="Times New Roman" w:cs="Times New Roman"/>
          <w:sz w:val="24"/>
        </w:rPr>
        <w:t xml:space="preserve"> </w:t>
      </w:r>
      <w:r>
        <w:rPr>
          <w:rFonts w:ascii="Times New Roman" w:hAnsi="Times New Roman" w:cs="Times New Roman"/>
          <w:sz w:val="24"/>
        </w:rPr>
        <w:t xml:space="preserve">(2021) Swin transformer: Hierarchical vision transformer using shifted windows. ICCV 2021.</w:t>
      </w:r>
      <w:r>
        <w:rPr>
          <w:rFonts w:ascii="Times New Roman" w:hAnsi="Times New Roman" w:cs="Times New Roman"/>
          <w:sz w:val="24"/>
        </w:rPr>
        <w:t xml:space="preserve"> </w:t>
      </w:r>
      <w:hyperlink r:id="rId135">
        <w:r>
          <w:rPr>
            <w:rStyle w:val="Hyperlink"/>
          </w:rPr>
          <w:t xml:space="preserve">https://doi.org/10.1109/ICCV48922.2021.00986</w:t>
        </w:r>
      </w:hyperlink>
    </w:p>
    <w:bookmarkEnd w:id="136"/>
    <w:bookmarkStart w:id="138" w:name="ref-kelly2019key"/>
    <w:p>
      <w:pPr>
        <w:pStyle w:val="Bibliography"/>
        <w:spacing w:lineRule="auto" w:line="360" w:before="0" w:after="80"/>
      </w:pPr>
      <w:r>
        <w:rPr>
          <w:rFonts w:ascii="Times New Roman" w:hAnsi="Times New Roman" w:cs="Times New Roman"/>
          <w:sz w:val="24"/>
        </w:rPr>
        <w:t xml:space="preserve">6.</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Kelly CJ et al</w:t>
      </w:r>
      <w:r>
        <w:rPr>
          <w:rFonts w:ascii="Times New Roman" w:hAnsi="Times New Roman" w:cs="Times New Roman"/>
          <w:sz w:val="24"/>
        </w:rPr>
        <w:t xml:space="preserve"> </w:t>
      </w:r>
      <w:r>
        <w:rPr>
          <w:rFonts w:ascii="Times New Roman" w:hAnsi="Times New Roman" w:cs="Times New Roman"/>
          <w:sz w:val="24"/>
        </w:rPr>
        <w:t xml:space="preserve">(2019)</w:t>
      </w:r>
      <w:r>
        <w:rPr>
          <w:rFonts w:ascii="Times New Roman" w:hAnsi="Times New Roman" w:cs="Times New Roman"/>
          <w:sz w:val="24"/>
        </w:rPr>
        <w:t xml:space="preserve"> </w:t>
      </w:r>
      <w:hyperlink r:id="rId137">
        <w:r>
          <w:rPr>
            <w:rStyle w:val="Hyperlink"/>
          </w:rPr>
          <w:t xml:space="preserve">Key challenges for delivering clinical impact with artificial intelligence</w:t>
        </w:r>
      </w:hyperlink>
      <w:r>
        <w:rPr>
          <w:rFonts w:ascii="Times New Roman" w:hAnsi="Times New Roman" w:cs="Times New Roman"/>
          <w:sz w:val="24"/>
        </w:rPr>
        <w:t xml:space="preserve">. BMC Medicine 17:195–9</w:t>
      </w:r>
    </w:p>
    <w:bookmarkEnd w:id="138"/>
    <w:bookmarkStart w:id="139" w:name="ref-aptos2019kaggle"/>
    <w:p>
      <w:pPr>
        <w:pStyle w:val="Bibliography"/>
        <w:spacing w:lineRule="auto" w:line="360" w:before="0" w:after="80"/>
      </w:pPr>
      <w:r>
        <w:rPr>
          <w:rFonts w:ascii="Times New Roman" w:hAnsi="Times New Roman" w:cs="Times New Roman"/>
          <w:sz w:val="24"/>
        </w:rPr>
        <w:t xml:space="preserve">7.</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Kaggle (2019)</w:t>
      </w:r>
      <w:r>
        <w:rPr>
          <w:rFonts w:ascii="Times New Roman" w:hAnsi="Times New Roman" w:cs="Times New Roman"/>
          <w:sz w:val="24"/>
        </w:rPr>
        <w:t xml:space="preserve"> </w:t>
      </w:r>
      <w:hyperlink r:id="rId125">
        <w:r>
          <w:rPr>
            <w:rStyle w:val="Hyperlink"/>
          </w:rPr>
          <w:t xml:space="preserve">APTOS 2019 blindness detection</w:t>
        </w:r>
      </w:hyperlink>
      <w:r>
        <w:rPr>
          <w:rFonts w:ascii="Times New Roman" w:hAnsi="Times New Roman" w:cs="Times New Roman"/>
          <w:sz w:val="24"/>
        </w:rPr>
        <w:t xml:space="preserve">.</w:t>
      </w:r>
      <w:r>
        <w:rPr>
          <w:rFonts w:ascii="Times New Roman" w:hAnsi="Times New Roman" w:cs="Times New Roman"/>
          <w:sz w:val="24"/>
        </w:rPr>
        <w:t xml:space="preserve"> </w:t>
      </w:r>
    </w:p>
    <w:bookmarkEnd w:id="139"/>
    <w:bookmarkStart w:id="141" w:name="ref-porwal2018idrid"/>
    <w:p>
      <w:pPr>
        <w:pStyle w:val="Bibliography"/>
        <w:spacing w:lineRule="auto" w:line="360" w:before="0" w:after="80"/>
      </w:pPr>
      <w:r>
        <w:rPr>
          <w:rFonts w:ascii="Times New Roman" w:hAnsi="Times New Roman" w:cs="Times New Roman"/>
          <w:sz w:val="24"/>
        </w:rPr>
        <w:t xml:space="preserve">8.</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Porwal P et al</w:t>
      </w:r>
      <w:r>
        <w:rPr>
          <w:rFonts w:ascii="Times New Roman" w:hAnsi="Times New Roman" w:cs="Times New Roman"/>
          <w:sz w:val="24"/>
        </w:rPr>
        <w:t xml:space="preserve"> </w:t>
      </w:r>
      <w:r>
        <w:rPr>
          <w:rFonts w:ascii="Times New Roman" w:hAnsi="Times New Roman" w:cs="Times New Roman"/>
          <w:sz w:val="24"/>
        </w:rPr>
        <w:t xml:space="preserve">(2018)</w:t>
      </w:r>
      <w:r>
        <w:rPr>
          <w:rFonts w:ascii="Times New Roman" w:hAnsi="Times New Roman" w:cs="Times New Roman"/>
          <w:sz w:val="24"/>
        </w:rPr>
        <w:t xml:space="preserve"> </w:t>
      </w:r>
      <w:hyperlink r:id="rId140">
        <w:r>
          <w:rPr>
            <w:rStyle w:val="Hyperlink"/>
          </w:rPr>
          <w:t xml:space="preserve">Indian diabetic retinopathy image dataset (IDRiD): A database for diabetic retinopathy screening research</w:t>
        </w:r>
      </w:hyperlink>
      <w:r>
        <w:rPr>
          <w:rFonts w:ascii="Times New Roman" w:hAnsi="Times New Roman" w:cs="Times New Roman"/>
          <w:sz w:val="24"/>
        </w:rPr>
        <w:t xml:space="preserve">. Data 3:25</w:t>
      </w:r>
    </w:p>
    <w:bookmarkEnd w:id="141"/>
    <w:bookmarkStart w:id="143" w:name="ref-saranya2020automatic"/>
    <w:p>
      <w:pPr>
        <w:pStyle w:val="Bibliography"/>
        <w:spacing w:lineRule="auto" w:line="360" w:before="0" w:after="80"/>
      </w:pPr>
      <w:r>
        <w:rPr>
          <w:rFonts w:ascii="Times New Roman" w:hAnsi="Times New Roman" w:cs="Times New Roman"/>
          <w:sz w:val="24"/>
        </w:rPr>
        <w:t xml:space="preserve">9.</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Saranya P, Prabakaran S (2020) Automatic detection of non-proliferative diabetic retinopathy in retinal fundus images using convolution neural network. Journal of Ambient Intelligence and Humanized Computing.</w:t>
      </w:r>
      <w:r>
        <w:rPr>
          <w:rFonts w:ascii="Times New Roman" w:hAnsi="Times New Roman" w:cs="Times New Roman"/>
          <w:sz w:val="24"/>
        </w:rPr>
        <w:t xml:space="preserve"> </w:t>
      </w:r>
      <w:hyperlink r:id="rId142">
        <w:r>
          <w:rPr>
            <w:rStyle w:val="Hyperlink"/>
          </w:rPr>
          <w:t xml:space="preserve">https://doi.org/10.1007/s12652-020-02518-6</w:t>
        </w:r>
      </w:hyperlink>
    </w:p>
    <w:bookmarkEnd w:id="143"/>
    <w:bookmarkStart w:id="145" w:name="ref-tan2019efficientnet"/>
    <w:p>
      <w:pPr>
        <w:pStyle w:val="Bibliography"/>
        <w:spacing w:lineRule="auto" w:line="360" w:before="0" w:after="80"/>
      </w:pPr>
      <w:r>
        <w:rPr>
          <w:rFonts w:ascii="Times New Roman" w:hAnsi="Times New Roman" w:cs="Times New Roman"/>
          <w:sz w:val="24"/>
        </w:rPr>
        <w:t xml:space="preserve">10.</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Tan M, Le QV (2019) EfficientNet: Rethinking model scaling for convolutional neural networks.</w:t>
      </w:r>
      <w:r>
        <w:rPr>
          <w:rFonts w:ascii="Times New Roman" w:hAnsi="Times New Roman" w:cs="Times New Roman"/>
          <w:sz w:val="24"/>
        </w:rPr>
        <w:t xml:space="preserve"> </w:t>
      </w:r>
      <w:hyperlink r:id="rId144">
        <w:r>
          <w:rPr>
            <w:rStyle w:val="Hyperlink"/>
          </w:rPr>
          <w:t xml:space="preserve">https://doi.org/10.48550/arxiv.1905.11946</w:t>
        </w:r>
      </w:hyperlink>
    </w:p>
    <w:bookmarkEnd w:id="145"/>
    <w:bookmarkStart w:id="147" w:name="ref-zhu2024nnmobilenet"/>
    <w:p>
      <w:pPr>
        <w:pStyle w:val="Bibliography"/>
        <w:spacing w:lineRule="auto" w:line="360" w:before="0" w:after="80"/>
      </w:pPr>
      <w:r>
        <w:rPr>
          <w:rFonts w:ascii="Times New Roman" w:hAnsi="Times New Roman" w:cs="Times New Roman"/>
          <w:sz w:val="24"/>
        </w:rPr>
        <w:t xml:space="preserve">11.</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Zhu W et al</w:t>
      </w:r>
      <w:r>
        <w:rPr>
          <w:rFonts w:ascii="Times New Roman" w:hAnsi="Times New Roman" w:cs="Times New Roman"/>
          <w:sz w:val="24"/>
        </w:rPr>
        <w:t xml:space="preserve"> </w:t>
      </w:r>
      <w:r>
        <w:rPr>
          <w:rFonts w:ascii="Times New Roman" w:hAnsi="Times New Roman" w:cs="Times New Roman"/>
          <w:sz w:val="24"/>
        </w:rPr>
        <w:t xml:space="preserve">(2024)</w:t>
      </w:r>
      <w:r>
        <w:rPr>
          <w:rFonts w:ascii="Times New Roman" w:hAnsi="Times New Roman" w:cs="Times New Roman"/>
          <w:sz w:val="24"/>
        </w:rPr>
        <w:t xml:space="preserve"> </w:t>
      </w:r>
      <w:hyperlink r:id="rId146">
        <w:r>
          <w:rPr>
            <w:rStyle w:val="Hyperlink"/>
          </w:rPr>
          <w:t xml:space="preserve">nnMobileNet: Rethinking CNN for retinopathy research</w:t>
        </w:r>
      </w:hyperlink>
      <w:r>
        <w:rPr>
          <w:rFonts w:ascii="Times New Roman" w:hAnsi="Times New Roman" w:cs="Times New Roman"/>
          <w:sz w:val="24"/>
        </w:rPr>
        <w:t xml:space="preserve">. In: CVPRW. pp 2285–2294</w:t>
      </w:r>
    </w:p>
    <w:bookmarkEnd w:id="147"/>
    <w:bookmarkStart w:id="149" w:name="ref-huang2024ssit"/>
    <w:p>
      <w:pPr>
        <w:pStyle w:val="Bibliography"/>
        <w:spacing w:lineRule="auto" w:line="360" w:before="0" w:after="80"/>
      </w:pPr>
      <w:r>
        <w:rPr>
          <w:rFonts w:ascii="Times New Roman" w:hAnsi="Times New Roman" w:cs="Times New Roman"/>
          <w:sz w:val="24"/>
        </w:rPr>
        <w:t xml:space="preserve">12.</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Huang Y et al</w:t>
      </w:r>
      <w:r>
        <w:rPr>
          <w:rFonts w:ascii="Times New Roman" w:hAnsi="Times New Roman" w:cs="Times New Roman"/>
          <w:sz w:val="24"/>
        </w:rPr>
        <w:t xml:space="preserve"> </w:t>
      </w:r>
      <w:r>
        <w:rPr>
          <w:rFonts w:ascii="Times New Roman" w:hAnsi="Times New Roman" w:cs="Times New Roman"/>
          <w:sz w:val="24"/>
        </w:rPr>
        <w:t xml:space="preserve">(2024)</w:t>
      </w:r>
      <w:r>
        <w:rPr>
          <w:rFonts w:ascii="Times New Roman" w:hAnsi="Times New Roman" w:cs="Times New Roman"/>
          <w:sz w:val="24"/>
        </w:rPr>
        <w:t xml:space="preserve"> </w:t>
      </w:r>
      <w:hyperlink r:id="rId148">
        <w:r>
          <w:rPr>
            <w:rStyle w:val="Hyperlink"/>
          </w:rPr>
          <w:t xml:space="preserve">SSiT: Saliency-guided self-supervised image transformer for diabetic retinopathy grading</w:t>
        </w:r>
      </w:hyperlink>
      <w:r>
        <w:rPr>
          <w:rFonts w:ascii="Times New Roman" w:hAnsi="Times New Roman" w:cs="Times New Roman"/>
          <w:sz w:val="24"/>
        </w:rPr>
        <w:t xml:space="preserve">. IEEE Journal of Biomedical and Health Informatics 28:2806–2817</w:t>
      </w:r>
    </w:p>
    <w:bookmarkEnd w:id="149"/>
    <w:bookmarkStart w:id="151" w:name="ref-benjamens2020state"/>
    <w:p>
      <w:pPr>
        <w:pStyle w:val="Bibliography"/>
        <w:spacing w:lineRule="auto" w:line="360" w:before="0" w:after="80"/>
      </w:pPr>
      <w:r>
        <w:rPr>
          <w:rFonts w:ascii="Times New Roman" w:hAnsi="Times New Roman" w:cs="Times New Roman"/>
          <w:sz w:val="24"/>
        </w:rPr>
        <w:t xml:space="preserve">13.</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Benjamens S, Dhunnoo P, Mesko B (2020)</w:t>
      </w:r>
      <w:r>
        <w:rPr>
          <w:rFonts w:ascii="Times New Roman" w:hAnsi="Times New Roman" w:cs="Times New Roman"/>
          <w:sz w:val="24"/>
        </w:rPr>
        <w:t xml:space="preserve"> </w:t>
      </w:r>
      <w:hyperlink r:id="rId150">
        <w:r>
          <w:rPr>
            <w:rStyle w:val="Hyperlink"/>
          </w:rPr>
          <w:t xml:space="preserve">The state of artificial intelligence-based FDA-approved medical devices and algorithms: An online database</w:t>
        </w:r>
      </w:hyperlink>
      <w:r>
        <w:rPr>
          <w:rFonts w:ascii="Times New Roman" w:hAnsi="Times New Roman" w:cs="Times New Roman"/>
          <w:sz w:val="24"/>
        </w:rPr>
        <w:t xml:space="preserve">. npj Digital Medicine 3:1–8</w:t>
      </w:r>
    </w:p>
    <w:bookmarkEnd w:id="151"/>
    <w:bookmarkStart w:id="153" w:name="ref-selvaraju2020grad"/>
    <w:p>
      <w:pPr>
        <w:pStyle w:val="Bibliography"/>
        <w:spacing w:lineRule="auto" w:line="360" w:before="0" w:after="80"/>
      </w:pPr>
      <w:r>
        <w:rPr>
          <w:rFonts w:ascii="Times New Roman" w:hAnsi="Times New Roman" w:cs="Times New Roman"/>
          <w:sz w:val="24"/>
        </w:rPr>
        <w:t xml:space="preserve">14.</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Selvaraju RR et al</w:t>
      </w:r>
      <w:r>
        <w:rPr>
          <w:rFonts w:ascii="Times New Roman" w:hAnsi="Times New Roman" w:cs="Times New Roman"/>
          <w:sz w:val="24"/>
        </w:rPr>
        <w:t xml:space="preserve"> </w:t>
      </w:r>
      <w:r>
        <w:rPr>
          <w:rFonts w:ascii="Times New Roman" w:hAnsi="Times New Roman" w:cs="Times New Roman"/>
          <w:sz w:val="24"/>
        </w:rPr>
        <w:t xml:space="preserve">(2020)</w:t>
      </w:r>
      <w:r>
        <w:rPr>
          <w:rFonts w:ascii="Times New Roman" w:hAnsi="Times New Roman" w:cs="Times New Roman"/>
          <w:sz w:val="24"/>
        </w:rPr>
        <w:t xml:space="preserve"> </w:t>
      </w:r>
      <w:hyperlink r:id="rId152">
        <w:r>
          <w:rPr>
            <w:rStyle w:val="Hyperlink"/>
          </w:rPr>
          <w:t xml:space="preserve">Grad-CAM: Visual explanations from deep networks via gradient-based localization</w:t>
        </w:r>
      </w:hyperlink>
      <w:r>
        <w:rPr>
          <w:rFonts w:ascii="Times New Roman" w:hAnsi="Times New Roman" w:cs="Times New Roman"/>
          <w:sz w:val="24"/>
        </w:rPr>
        <w:t xml:space="preserve">. International Journal of Computer Vision 128:336–359</w:t>
      </w:r>
    </w:p>
    <w:bookmarkEnd w:id="153"/>
    <w:bookmarkStart w:id="155" w:name="ref-ribeiro2016why"/>
    <w:p>
      <w:pPr>
        <w:pStyle w:val="Bibliography"/>
        <w:spacing w:lineRule="auto" w:line="360" w:before="0" w:after="80"/>
      </w:pPr>
      <w:r>
        <w:rPr>
          <w:rFonts w:ascii="Times New Roman" w:hAnsi="Times New Roman" w:cs="Times New Roman"/>
          <w:sz w:val="24"/>
        </w:rPr>
        <w:t xml:space="preserve">15.</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Ribeiro MT, Singh S, Guestrin C (2016)</w:t>
      </w:r>
      <w:r>
        <w:rPr>
          <w:rFonts w:ascii="Times New Roman" w:hAnsi="Times New Roman" w:cs="Times New Roman"/>
          <w:sz w:val="24"/>
        </w:rPr>
        <w:t xml:space="preserve"> </w:t>
      </w:r>
      <w:hyperlink r:id="rId154">
        <w:r>
          <w:rPr>
            <w:rStyle w:val="Hyperlink"/>
          </w:rPr>
          <w:t xml:space="preserve">“Why should i trust you?”</w:t>
        </w:r>
        <w:r>
          <w:rPr>
            <w:rStyle w:val="Hyperlink"/>
          </w:rPr>
          <w:t xml:space="preserve">: Explaining the predictions of any classifier</w:t>
        </w:r>
      </w:hyperlink>
      <w:r>
        <w:rPr>
          <w:rFonts w:ascii="Times New Roman" w:hAnsi="Times New Roman" w:cs="Times New Roman"/>
          <w:sz w:val="24"/>
        </w:rPr>
        <w:t xml:space="preserve">. In: Proceedings of the 22nd ACM SIGKDD international conference on knowledge discovery and data mining. pp 1135–1144</w:t>
      </w:r>
    </w:p>
    <w:bookmarkEnd w:id="155"/>
    <w:bookmarkStart w:id="157" w:name="ref-lundberg2017unified"/>
    <w:p>
      <w:pPr>
        <w:pStyle w:val="Bibliography"/>
        <w:spacing w:lineRule="auto" w:line="360" w:before="0" w:after="80"/>
      </w:pPr>
      <w:r>
        <w:rPr>
          <w:rFonts w:ascii="Times New Roman" w:hAnsi="Times New Roman" w:cs="Times New Roman"/>
          <w:sz w:val="24"/>
        </w:rPr>
        <w:t xml:space="preserve">16.</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Lundberg S, Lee S-I (2017) A unified approach to interpreting model predictions.</w:t>
      </w:r>
      <w:r>
        <w:rPr>
          <w:rFonts w:ascii="Times New Roman" w:hAnsi="Times New Roman" w:cs="Times New Roman"/>
          <w:sz w:val="24"/>
        </w:rPr>
        <w:t xml:space="preserve"> </w:t>
      </w:r>
      <w:hyperlink r:id="rId156">
        <w:r>
          <w:rPr>
            <w:rStyle w:val="Hyperlink"/>
          </w:rPr>
          <w:t xml:space="preserve">https://doi.org/10.48550/arxiv.1705.07874</w:t>
        </w:r>
      </w:hyperlink>
    </w:p>
    <w:bookmarkEnd w:id="157"/>
    <w:bookmarkStart w:id="159" w:name="ref-achanta2012slic"/>
    <w:p>
      <w:pPr>
        <w:pStyle w:val="Bibliography"/>
        <w:spacing w:lineRule="auto" w:line="360" w:before="0" w:after="80"/>
      </w:pPr>
      <w:r>
        <w:rPr>
          <w:rFonts w:ascii="Times New Roman" w:hAnsi="Times New Roman" w:cs="Times New Roman"/>
          <w:sz w:val="24"/>
        </w:rPr>
        <w:t xml:space="preserve">17.</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Achanta R, Shaji A, Smith K, Lucchi A, Fua P, Süsstrunk S (2012)</w:t>
      </w:r>
      <w:r>
        <w:rPr>
          <w:rFonts w:ascii="Times New Roman" w:hAnsi="Times New Roman" w:cs="Times New Roman"/>
          <w:sz w:val="24"/>
        </w:rPr>
        <w:t xml:space="preserve"> </w:t>
      </w:r>
      <w:hyperlink r:id="rId158">
        <w:r>
          <w:rPr>
            <w:rStyle w:val="Hyperlink"/>
          </w:rPr>
          <w:t xml:space="preserve">SLIC superpixels compared to state-of-the-art superpixel methods</w:t>
        </w:r>
      </w:hyperlink>
      <w:r>
        <w:rPr>
          <w:rFonts w:ascii="Times New Roman" w:hAnsi="Times New Roman" w:cs="Times New Roman"/>
          <w:sz w:val="24"/>
        </w:rPr>
        <w:t xml:space="preserve">. IEEE Transactions on Pattern Analysis and Machine Intelligence 34:2274–2282</w:t>
      </w:r>
    </w:p>
    <w:bookmarkEnd w:id="159"/>
    <w:bookmarkStart w:id="161" w:name="ref-cocox2024"/>
    <w:p>
      <w:pPr>
        <w:pStyle w:val="Bibliography"/>
        <w:spacing w:lineRule="auto" w:line="360" w:before="0" w:after="80"/>
      </w:pPr>
      <w:r>
        <w:rPr>
          <w:rFonts w:ascii="Times New Roman" w:hAnsi="Times New Roman" w:cs="Times New Roman"/>
          <w:sz w:val="24"/>
        </w:rPr>
        <w:t xml:space="preserve">18.</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Wang Y et al</w:t>
      </w:r>
      <w:r>
        <w:rPr>
          <w:rFonts w:ascii="Times New Roman" w:hAnsi="Times New Roman" w:cs="Times New Roman"/>
          <w:sz w:val="24"/>
        </w:rPr>
        <w:t xml:space="preserve"> </w:t>
      </w:r>
      <w:r>
        <w:rPr>
          <w:rFonts w:ascii="Times New Roman" w:hAnsi="Times New Roman" w:cs="Times New Roman"/>
          <w:sz w:val="24"/>
        </w:rPr>
        <w:t xml:space="preserve">(2024)</w:t>
      </w:r>
      <w:r>
        <w:rPr>
          <w:rFonts w:ascii="Times New Roman" w:hAnsi="Times New Roman" w:cs="Times New Roman"/>
          <w:sz w:val="24"/>
        </w:rPr>
        <w:t xml:space="preserve"> </w:t>
      </w:r>
      <w:hyperlink r:id="rId160">
        <w:r>
          <w:rPr>
            <w:rStyle w:val="Hyperlink"/>
          </w:rPr>
          <w:t xml:space="preserve">CoCoX: Cross-modal contrastive explanations for trustworthy AI in medical imaging</w:t>
        </w:r>
      </w:hyperlink>
      <w:r>
        <w:rPr>
          <w:rFonts w:ascii="Times New Roman" w:hAnsi="Times New Roman" w:cs="Times New Roman"/>
          <w:sz w:val="24"/>
        </w:rPr>
        <w:t xml:space="preserve">. Medical Image Analysis 91:102984</w:t>
      </w:r>
    </w:p>
    <w:bookmarkEnd w:id="161"/>
    <w:bookmarkStart w:id="163" w:name="ref-knab2025lime"/>
    <w:p>
      <w:pPr>
        <w:pStyle w:val="Bibliography"/>
        <w:spacing w:lineRule="auto" w:line="360" w:before="0" w:after="80"/>
      </w:pPr>
      <w:r>
        <w:rPr>
          <w:rFonts w:ascii="Times New Roman" w:hAnsi="Times New Roman" w:cs="Times New Roman"/>
          <w:sz w:val="24"/>
        </w:rPr>
        <w:t xml:space="preserve">19.</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Knab P, Marton S, Schlegel U, Bartelt C (2025) Which LIME should i trust? Concepts, challenges, and solutions. arXiv preprint arXiv:250324365.</w:t>
      </w:r>
      <w:r>
        <w:rPr>
          <w:rFonts w:ascii="Times New Roman" w:hAnsi="Times New Roman" w:cs="Times New Roman"/>
          <w:sz w:val="24"/>
        </w:rPr>
        <w:t xml:space="preserve"> </w:t>
      </w:r>
      <w:hyperlink r:id="rId162">
        <w:r>
          <w:rPr>
            <w:rStyle w:val="Hyperlink"/>
          </w:rPr>
          <w:t xml:space="preserve">https://doi.org/10.48550/arXiv.2503.24365</w:t>
        </w:r>
      </w:hyperlink>
    </w:p>
    <w:bookmarkEnd w:id="163"/>
    <w:bookmarkStart w:id="165" w:name="ref-pizer1987clahe"/>
    <w:p>
      <w:pPr>
        <w:pStyle w:val="Bibliography"/>
        <w:spacing w:lineRule="auto" w:line="360" w:before="0" w:after="80"/>
      </w:pPr>
      <w:r>
        <w:rPr>
          <w:rFonts w:ascii="Times New Roman" w:hAnsi="Times New Roman" w:cs="Times New Roman"/>
          <w:sz w:val="24"/>
        </w:rPr>
        <w:t xml:space="preserve">20.</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Pizer SM et al</w:t>
      </w:r>
      <w:r>
        <w:rPr>
          <w:rFonts w:ascii="Times New Roman" w:hAnsi="Times New Roman" w:cs="Times New Roman"/>
          <w:sz w:val="24"/>
        </w:rPr>
        <w:t xml:space="preserve"> </w:t>
      </w:r>
      <w:r>
        <w:rPr>
          <w:rFonts w:ascii="Times New Roman" w:hAnsi="Times New Roman" w:cs="Times New Roman"/>
          <w:sz w:val="24"/>
        </w:rPr>
        <w:t xml:space="preserve">(1987)</w:t>
      </w:r>
      <w:r>
        <w:rPr>
          <w:rFonts w:ascii="Times New Roman" w:hAnsi="Times New Roman" w:cs="Times New Roman"/>
          <w:sz w:val="24"/>
        </w:rPr>
        <w:t xml:space="preserve"> </w:t>
      </w:r>
      <w:hyperlink r:id="rId164">
        <w:r>
          <w:rPr>
            <w:rStyle w:val="Hyperlink"/>
          </w:rPr>
          <w:t xml:space="preserve">Adaptive histogram equalization and its variations</w:t>
        </w:r>
      </w:hyperlink>
      <w:r>
        <w:rPr>
          <w:rFonts w:ascii="Times New Roman" w:hAnsi="Times New Roman" w:cs="Times New Roman"/>
          <w:sz w:val="24"/>
        </w:rPr>
        <w:t xml:space="preserve">. Computer Vision, Graphics, and Image Processing 39:355–368</w:t>
      </w:r>
    </w:p>
    <w:bookmarkEnd w:id="165"/>
    <w:bookmarkStart w:id="167" w:name="ref-setiawan2013color"/>
    <w:p>
      <w:pPr>
        <w:pStyle w:val="Bibliography"/>
        <w:spacing w:lineRule="auto" w:line="360" w:before="0" w:after="80"/>
      </w:pPr>
      <w:r>
        <w:rPr>
          <w:rFonts w:ascii="Times New Roman" w:hAnsi="Times New Roman" w:cs="Times New Roman"/>
          <w:sz w:val="24"/>
        </w:rPr>
        <w:t xml:space="preserve">21.</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Setiawan AW et al</w:t>
      </w:r>
      <w:r>
        <w:rPr>
          <w:rFonts w:ascii="Times New Roman" w:hAnsi="Times New Roman" w:cs="Times New Roman"/>
          <w:sz w:val="24"/>
        </w:rPr>
        <w:t xml:space="preserve"> </w:t>
      </w:r>
      <w:r>
        <w:rPr>
          <w:rFonts w:ascii="Times New Roman" w:hAnsi="Times New Roman" w:cs="Times New Roman"/>
          <w:sz w:val="24"/>
        </w:rPr>
        <w:t xml:space="preserve">(2013) Color retinal image enhancement using CLAHE. International conference on ICT for smart society.</w:t>
      </w:r>
      <w:r>
        <w:rPr>
          <w:rFonts w:ascii="Times New Roman" w:hAnsi="Times New Roman" w:cs="Times New Roman"/>
          <w:sz w:val="24"/>
        </w:rPr>
        <w:t xml:space="preserve"> </w:t>
      </w:r>
      <w:hyperlink r:id="rId166">
        <w:r>
          <w:rPr>
            <w:rStyle w:val="Hyperlink"/>
          </w:rPr>
          <w:t xml:space="preserve">https://doi.org/10.1109/ICTSS.2013.6588092</w:t>
        </w:r>
      </w:hyperlink>
    </w:p>
    <w:bookmarkEnd w:id="167"/>
    <w:bookmarkStart w:id="169" w:name="ref-lin2020focal"/>
    <w:p>
      <w:pPr>
        <w:pStyle w:val="Bibliography"/>
        <w:spacing w:lineRule="auto" w:line="360" w:before="0" w:after="80"/>
      </w:pPr>
      <w:r>
        <w:rPr>
          <w:rFonts w:ascii="Times New Roman" w:hAnsi="Times New Roman" w:cs="Times New Roman"/>
          <w:sz w:val="24"/>
        </w:rPr>
        <w:t xml:space="preserve">22.</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Lin T-Y et al</w:t>
      </w:r>
      <w:r>
        <w:rPr>
          <w:rFonts w:ascii="Times New Roman" w:hAnsi="Times New Roman" w:cs="Times New Roman"/>
          <w:sz w:val="24"/>
        </w:rPr>
        <w:t xml:space="preserve"> </w:t>
      </w:r>
      <w:r>
        <w:rPr>
          <w:rFonts w:ascii="Times New Roman" w:hAnsi="Times New Roman" w:cs="Times New Roman"/>
          <w:sz w:val="24"/>
        </w:rPr>
        <w:t xml:space="preserve">(2020)</w:t>
      </w:r>
      <w:r>
        <w:rPr>
          <w:rFonts w:ascii="Times New Roman" w:hAnsi="Times New Roman" w:cs="Times New Roman"/>
          <w:sz w:val="24"/>
        </w:rPr>
        <w:t xml:space="preserve"> </w:t>
      </w:r>
      <w:hyperlink r:id="rId168">
        <w:r>
          <w:rPr>
            <w:rStyle w:val="Hyperlink"/>
          </w:rPr>
          <w:t xml:space="preserve">Focal loss for dense object detection</w:t>
        </w:r>
      </w:hyperlink>
      <w:r>
        <w:rPr>
          <w:rFonts w:ascii="Times New Roman" w:hAnsi="Times New Roman" w:cs="Times New Roman"/>
          <w:sz w:val="24"/>
        </w:rPr>
        <w:t xml:space="preserve">. IEEE Transactions on Pattern Analysis and Machine Intelligence 42:318–327</w:t>
      </w:r>
    </w:p>
    <w:bookmarkEnd w:id="169"/>
    <w:bookmarkStart w:id="171" w:name="ref-loshchilov2019adamw"/>
    <w:p>
      <w:pPr>
        <w:pStyle w:val="Bibliography"/>
        <w:spacing w:lineRule="auto" w:line="360" w:before="0" w:after="80"/>
      </w:pPr>
      <w:r>
        <w:rPr>
          <w:rFonts w:ascii="Times New Roman" w:hAnsi="Times New Roman" w:cs="Times New Roman"/>
          <w:sz w:val="24"/>
        </w:rPr>
        <w:t xml:space="preserve">23.</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Loshchilov I, Hutter F (2019) Decoupled weight decay regularization. International Conference on Learning Representations (ICLR).</w:t>
      </w:r>
      <w:r>
        <w:rPr>
          <w:rFonts w:ascii="Times New Roman" w:hAnsi="Times New Roman" w:cs="Times New Roman"/>
          <w:sz w:val="24"/>
        </w:rPr>
        <w:t xml:space="preserve"> </w:t>
      </w:r>
      <w:hyperlink r:id="rId170">
        <w:r>
          <w:rPr>
            <w:rStyle w:val="Hyperlink"/>
          </w:rPr>
          <w:t xml:space="preserve">https://doi.org/10.48550/arXiv.1711.05101</w:t>
        </w:r>
      </w:hyperlink>
    </w:p>
    <w:bookmarkEnd w:id="171"/>
    <w:bookmarkStart w:id="173" w:name="ref-mchugh2012interrater"/>
    <w:p>
      <w:pPr>
        <w:pStyle w:val="Bibliography"/>
        <w:spacing w:lineRule="auto" w:line="360" w:before="0" w:after="80"/>
      </w:pPr>
      <w:r>
        <w:rPr>
          <w:rFonts w:ascii="Times New Roman" w:hAnsi="Times New Roman" w:cs="Times New Roman"/>
          <w:sz w:val="24"/>
        </w:rPr>
        <w:t xml:space="preserve">24.</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McHugh ML (2012)</w:t>
      </w:r>
      <w:r>
        <w:rPr>
          <w:rFonts w:ascii="Times New Roman" w:hAnsi="Times New Roman" w:cs="Times New Roman"/>
          <w:sz w:val="24"/>
        </w:rPr>
        <w:t xml:space="preserve"> </w:t>
      </w:r>
      <w:hyperlink r:id="rId172">
        <w:r>
          <w:rPr>
            <w:rStyle w:val="Hyperlink"/>
          </w:rPr>
          <w:t xml:space="preserve">Interrater reliability: The kappa statistic</w:t>
        </w:r>
      </w:hyperlink>
      <w:r>
        <w:rPr>
          <w:rFonts w:ascii="Times New Roman" w:hAnsi="Times New Roman" w:cs="Times New Roman"/>
          <w:sz w:val="24"/>
        </w:rPr>
        <w:t xml:space="preserve">. Biochemia Medica 22:276–282</w:t>
      </w:r>
    </w:p>
    <w:bookmarkEnd w:id="173"/>
    <w:bookmarkStart w:id="175" w:name="ref-sturm2024does"/>
    <w:p>
      <w:pPr>
        <w:pStyle w:val="Bibliography"/>
        <w:spacing w:lineRule="auto" w:line="360" w:before="0" w:after="80"/>
      </w:pPr>
      <w:r>
        <w:rPr>
          <w:rFonts w:ascii="Times New Roman" w:hAnsi="Times New Roman" w:cs="Times New Roman"/>
          <w:sz w:val="24"/>
        </w:rPr>
        <w:t xml:space="preserve">25.</w:t>
      </w:r>
      <w:r>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 xml:space="preserve">Sturm D et al</w:t>
      </w:r>
      <w:r>
        <w:rPr>
          <w:rFonts w:ascii="Times New Roman" w:hAnsi="Times New Roman" w:cs="Times New Roman"/>
          <w:sz w:val="24"/>
        </w:rPr>
        <w:t xml:space="preserve"> </w:t>
      </w:r>
      <w:r>
        <w:rPr>
          <w:rFonts w:ascii="Times New Roman" w:hAnsi="Times New Roman" w:cs="Times New Roman"/>
          <w:sz w:val="24"/>
        </w:rPr>
        <w:t xml:space="preserve">(2024)</w:t>
      </w:r>
      <w:r>
        <w:rPr>
          <w:rFonts w:ascii="Times New Roman" w:hAnsi="Times New Roman" w:cs="Times New Roman"/>
          <w:sz w:val="24"/>
        </w:rPr>
        <w:t xml:space="preserve"> </w:t>
      </w:r>
      <w:hyperlink r:id="rId174">
        <w:r>
          <w:rPr>
            <w:rStyle w:val="Hyperlink"/>
          </w:rPr>
          <w:t xml:space="preserve">Does the choice of replacement baseline affect the conclusions of deletion and insertion tests?</w:t>
        </w:r>
      </w:hyperlink>
      <w:r>
        <w:rPr>
          <w:rFonts w:ascii="Times New Roman" w:hAnsi="Times New Roman" w:cs="Times New Roman"/>
          <w:sz w:val="24"/>
        </w:rPr>
        <w:t xml:space="preserve"> ICLR 2024 Workshop on XAI</w:t>
      </w:r>
      <w:r>
        <w:rPr>
          <w:rFonts w:ascii="Times New Roman" w:hAnsi="Times New Roman" w:cs="Times New Roman"/>
          <w:sz w:val="24"/>
        </w:rPr>
        <w:t xml:space="preserve"> </w:t>
      </w:r>
    </w:p>
    <w:bookmarkEnd w:id="175"/>
    <w:bookmarkEnd w:id="176"/>
    <w:bookmarkEnd w:id="1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Rule="auto" w:line="360"/>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image" Target="media/rId16.jpg"/><Relationship Id="rId64" Type="http://schemas.openxmlformats.org/officeDocument/2006/relationships/image" Target="media/rId64.png"/><Relationship Id="rId49" Type="http://schemas.openxmlformats.org/officeDocument/2006/relationships/image" Target="media/rId49.png"/><Relationship Id="rId93" Type="http://schemas.openxmlformats.org/officeDocument/2006/relationships/image" Target="media/rId93.png"/><Relationship Id="rId60" Type="http://schemas.openxmlformats.org/officeDocument/2006/relationships/image" Target="media/rId60.png"/><Relationship Id="rId56" Type="http://schemas.openxmlformats.org/officeDocument/2006/relationships/image" Target="media/rId56.png"/><Relationship Id="rId85" Type="http://schemas.openxmlformats.org/officeDocument/2006/relationships/image" Target="media/rId85.png"/><Relationship Id="rId89" Type="http://schemas.openxmlformats.org/officeDocument/2006/relationships/image" Target="media/rId89.png"/><Relationship Id="rId109" Type="http://schemas.openxmlformats.org/officeDocument/2006/relationships/image" Target="media/rId109.png"/><Relationship Id="rId24" Type="http://schemas.openxmlformats.org/officeDocument/2006/relationships/image" Target="media/rId24.png"/><Relationship Id="rId101" Type="http://schemas.openxmlformats.org/officeDocument/2006/relationships/image" Target="media/rId101.png"/><Relationship Id="rId39" Type="http://schemas.openxmlformats.org/officeDocument/2006/relationships/image" Target="media/rId39.png"/><Relationship Id="rId133" Type="http://schemas.openxmlformats.org/officeDocument/2006/relationships/hyperlink" Target="https://doi.org/10.1001/jama.2016.17216" TargetMode="External"/><Relationship Id="rId152" Type="http://schemas.openxmlformats.org/officeDocument/2006/relationships/hyperlink" Target="https://doi.org/10.1007/s11263-019-01228-7" TargetMode="External"/><Relationship Id="rId142" Type="http://schemas.openxmlformats.org/officeDocument/2006/relationships/hyperlink" Target="https://doi.org/10.1007/s12652-020-02518-6" TargetMode="External"/><Relationship Id="rId164" Type="http://schemas.openxmlformats.org/officeDocument/2006/relationships/hyperlink" Target="https://doi.org/10.1016/S0734-189X(87)80186-X" TargetMode="External"/><Relationship Id="rId160" Type="http://schemas.openxmlformats.org/officeDocument/2006/relationships/hyperlink" Target="https://doi.org/10.1016/j.media.2024.102984" TargetMode="External"/><Relationship Id="rId131" Type="http://schemas.openxmlformats.org/officeDocument/2006/relationships/hyperlink" Target="https://doi.org/10.1016/j.ophtha.2018.01.034" TargetMode="External"/><Relationship Id="rId127" Type="http://schemas.openxmlformats.org/officeDocument/2006/relationships/hyperlink" Target="https://doi.org/10.1016/j.ophtha.2021.04.027" TargetMode="External"/><Relationship Id="rId129" Type="http://schemas.openxmlformats.org/officeDocument/2006/relationships/hyperlink" Target="https://doi.org/10.1038/nrdp.2016.12" TargetMode="External"/><Relationship Id="rId150" Type="http://schemas.openxmlformats.org/officeDocument/2006/relationships/hyperlink" Target="https://doi.org/10.1038/s41746-020-00324-0" TargetMode="External"/><Relationship Id="rId146" Type="http://schemas.openxmlformats.org/officeDocument/2006/relationships/hyperlink" Target="https://doi.org/10.1109/CVPRW63382.2024.00234" TargetMode="External"/><Relationship Id="rId135" Type="http://schemas.openxmlformats.org/officeDocument/2006/relationships/hyperlink" Target="https://doi.org/10.1109/ICCV48922.2021.00986" TargetMode="External"/><Relationship Id="rId166" Type="http://schemas.openxmlformats.org/officeDocument/2006/relationships/hyperlink" Target="https://doi.org/10.1109/ICTSS.2013.6588092" TargetMode="External"/><Relationship Id="rId148" Type="http://schemas.openxmlformats.org/officeDocument/2006/relationships/hyperlink" Target="https://doi.org/10.1109/JBHI.2024.3362878" TargetMode="External"/><Relationship Id="rId158" Type="http://schemas.openxmlformats.org/officeDocument/2006/relationships/hyperlink" Target="https://doi.org/10.1109/TPAMI.2012.120" TargetMode="External"/><Relationship Id="rId168" Type="http://schemas.openxmlformats.org/officeDocument/2006/relationships/hyperlink" Target="https://doi.org/10.1109/TPAMI.2018.2858826" TargetMode="External"/><Relationship Id="rId154" Type="http://schemas.openxmlformats.org/officeDocument/2006/relationships/hyperlink" Target="https://doi.org/10.1145/2939672.2939778" TargetMode="External"/><Relationship Id="rId172" Type="http://schemas.openxmlformats.org/officeDocument/2006/relationships/hyperlink" Target="https://doi.org/10.11613/bm.2012.031" TargetMode="External"/><Relationship Id="rId137" Type="http://schemas.openxmlformats.org/officeDocument/2006/relationships/hyperlink" Target="https://doi.org/10.1186/s12916-019-1426-2" TargetMode="External"/><Relationship Id="rId140" Type="http://schemas.openxmlformats.org/officeDocument/2006/relationships/hyperlink" Target="https://doi.org/10.3390/data3030025" TargetMode="External"/><Relationship Id="rId170" Type="http://schemas.openxmlformats.org/officeDocument/2006/relationships/hyperlink" Target="https://doi.org/10.48550/arXiv.1711.05101" TargetMode="External"/><Relationship Id="rId162" Type="http://schemas.openxmlformats.org/officeDocument/2006/relationships/hyperlink" Target="https://doi.org/10.48550/arXiv.2503.24365" TargetMode="External"/><Relationship Id="rId156" Type="http://schemas.openxmlformats.org/officeDocument/2006/relationships/hyperlink" Target="https://doi.org/10.48550/arxiv.1705.07874" TargetMode="External"/><Relationship Id="rId144" Type="http://schemas.openxmlformats.org/officeDocument/2006/relationships/hyperlink" Target="https://doi.org/10.48550/arxiv.1905.11946" TargetMode="External"/><Relationship Id="rId126" Type="http://schemas.openxmlformats.org/officeDocument/2006/relationships/hyperlink" Target="https://github.com/razahasan2000/Guided-Lime/" TargetMode="External"/><Relationship Id="rId174" Type="http://schemas.openxmlformats.org/officeDocument/2006/relationships/hyperlink" Target="https://openreview.net/forum?id=abc123" TargetMode="External"/><Relationship Id="rId125" Type="http://schemas.openxmlformats.org/officeDocument/2006/relationships/hyperlink" Target="https://www.kaggle.com/c/aptos2019-blindness-detection" TargetMode="External"/></Relationships>
</file>

<file path=word/_rels/footnotes.xml.rels><?xml version='1.0' encoding='UTF-8' standalone='yes'?>
<Relationships xmlns="http://schemas.openxmlformats.org/package/2006/relationships"><Relationship Id="rId133" Type="http://schemas.openxmlformats.org/officeDocument/2006/relationships/hyperlink" Target="https://doi.org/10.1001/jama.2016.17216" TargetMode="External"/><Relationship Id="rId152" Type="http://schemas.openxmlformats.org/officeDocument/2006/relationships/hyperlink" Target="https://doi.org/10.1007/s11263-019-01228-7" TargetMode="External"/><Relationship Id="rId142" Type="http://schemas.openxmlformats.org/officeDocument/2006/relationships/hyperlink" Target="https://doi.org/10.1007/s12652-020-02518-6" TargetMode="External"/><Relationship Id="rId164" Type="http://schemas.openxmlformats.org/officeDocument/2006/relationships/hyperlink" Target="https://doi.org/10.1016/S0734-189X(87)80186-X" TargetMode="External"/><Relationship Id="rId160" Type="http://schemas.openxmlformats.org/officeDocument/2006/relationships/hyperlink" Target="https://doi.org/10.1016/j.media.2024.102984" TargetMode="External"/><Relationship Id="rId131" Type="http://schemas.openxmlformats.org/officeDocument/2006/relationships/hyperlink" Target="https://doi.org/10.1016/j.ophtha.2018.01.034" TargetMode="External"/><Relationship Id="rId127" Type="http://schemas.openxmlformats.org/officeDocument/2006/relationships/hyperlink" Target="https://doi.org/10.1016/j.ophtha.2021.04.027" TargetMode="External"/><Relationship Id="rId129" Type="http://schemas.openxmlformats.org/officeDocument/2006/relationships/hyperlink" Target="https://doi.org/10.1038/nrdp.2016.12" TargetMode="External"/><Relationship Id="rId150" Type="http://schemas.openxmlformats.org/officeDocument/2006/relationships/hyperlink" Target="https://doi.org/10.1038/s41746-020-00324-0" TargetMode="External"/><Relationship Id="rId146" Type="http://schemas.openxmlformats.org/officeDocument/2006/relationships/hyperlink" Target="https://doi.org/10.1109/CVPRW63382.2024.00234" TargetMode="External"/><Relationship Id="rId135" Type="http://schemas.openxmlformats.org/officeDocument/2006/relationships/hyperlink" Target="https://doi.org/10.1109/ICCV48922.2021.00986" TargetMode="External"/><Relationship Id="rId166" Type="http://schemas.openxmlformats.org/officeDocument/2006/relationships/hyperlink" Target="https://doi.org/10.1109/ICTSS.2013.6588092" TargetMode="External"/><Relationship Id="rId148" Type="http://schemas.openxmlformats.org/officeDocument/2006/relationships/hyperlink" Target="https://doi.org/10.1109/JBHI.2024.3362878" TargetMode="External"/><Relationship Id="rId158" Type="http://schemas.openxmlformats.org/officeDocument/2006/relationships/hyperlink" Target="https://doi.org/10.1109/TPAMI.2012.120" TargetMode="External"/><Relationship Id="rId168" Type="http://schemas.openxmlformats.org/officeDocument/2006/relationships/hyperlink" Target="https://doi.org/10.1109/TPAMI.2018.2858826" TargetMode="External"/><Relationship Id="rId154" Type="http://schemas.openxmlformats.org/officeDocument/2006/relationships/hyperlink" Target="https://doi.org/10.1145/2939672.2939778" TargetMode="External"/><Relationship Id="rId172" Type="http://schemas.openxmlformats.org/officeDocument/2006/relationships/hyperlink" Target="https://doi.org/10.11613/bm.2012.031" TargetMode="External"/><Relationship Id="rId137" Type="http://schemas.openxmlformats.org/officeDocument/2006/relationships/hyperlink" Target="https://doi.org/10.1186/s12916-019-1426-2" TargetMode="External"/><Relationship Id="rId140" Type="http://schemas.openxmlformats.org/officeDocument/2006/relationships/hyperlink" Target="https://doi.org/10.3390/data3030025" TargetMode="External"/><Relationship Id="rId170" Type="http://schemas.openxmlformats.org/officeDocument/2006/relationships/hyperlink" Target="https://doi.org/10.48550/arXiv.1711.05101" TargetMode="External"/><Relationship Id="rId162" Type="http://schemas.openxmlformats.org/officeDocument/2006/relationships/hyperlink" Target="https://doi.org/10.48550/arXiv.2503.24365" TargetMode="External"/><Relationship Id="rId156" Type="http://schemas.openxmlformats.org/officeDocument/2006/relationships/hyperlink" Target="https://doi.org/10.48550/arxiv.1705.07874" TargetMode="External"/><Relationship Id="rId144" Type="http://schemas.openxmlformats.org/officeDocument/2006/relationships/hyperlink" Target="https://doi.org/10.48550/arxiv.1905.11946" TargetMode="External"/><Relationship Id="rId126" Type="http://schemas.openxmlformats.org/officeDocument/2006/relationships/hyperlink" Target="https://github.com/razahasan2000/Guided-Lime/" TargetMode="External"/><Relationship Id="rId174" Type="http://schemas.openxmlformats.org/officeDocument/2006/relationships/hyperlink" Target="https://openreview.net/forum?id=abc123" TargetMode="External"/><Relationship Id="rId125" Type="http://schemas.openxmlformats.org/officeDocument/2006/relationships/hyperlink" Target="https://www.kaggle.com/c/aptos2019-blindness-de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Guided-LIME</dc:title>
  <dc:creator/>
  <cp:keywords/>
  <dcterms:created xsi:type="dcterms:W3CDTF">2026-06-11T09:08:45Z</dcterms:created>
  <dcterms:modified xsi:type="dcterms:W3CDTF">2026-06-11T09:08:45Z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C:\Users\Raza-SEAGUARD\AppData\Local\Temp\opencode\springer-vancouver.csl</vt:lpwstr>
  </property>
</Properties>
</file>