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C4D98" w14:textId="145D319F" w:rsidR="00AB0B93" w:rsidRDefault="00F73078" w:rsidP="00620D38">
      <w:pPr>
        <w:pStyle w:val="Heading2"/>
      </w:pPr>
      <w:r>
        <w:t>Analysis</w:t>
      </w:r>
    </w:p>
    <w:p w14:paraId="56456D7D" w14:textId="4B906F0B" w:rsidR="00F73078" w:rsidRDefault="00F73078">
      <w:r w:rsidRPr="00F73078">
        <w:t>To investigate the effect of opioid drug prescription regulations on volume of opioids prescribed and drug overdose deaths, we employed two methodologies. First, we compared</w:t>
      </w:r>
      <w:r>
        <w:t xml:space="preserve"> the metrics </w:t>
      </w:r>
      <w:r w:rsidRPr="00F73078">
        <w:t xml:space="preserve">before and after the regulations </w:t>
      </w:r>
      <w:r>
        <w:t xml:space="preserve">went into effect </w:t>
      </w:r>
      <w:r w:rsidRPr="00F73078">
        <w:t xml:space="preserve">in each state. Next, we performed difference-in-difference analyses to account for nation-wide factors that might have influenced </w:t>
      </w:r>
      <w:r>
        <w:t xml:space="preserve">the values of the metrics so that we can more accurately quantify the effect of the regulation </w:t>
      </w:r>
      <w:r w:rsidR="00620D38">
        <w:t>changes.</w:t>
      </w:r>
    </w:p>
    <w:p w14:paraId="7F00D23B" w14:textId="33623C8B" w:rsidR="00620D38" w:rsidRDefault="00620D38" w:rsidP="00620D38">
      <w:pPr>
        <w:pStyle w:val="Heading3"/>
      </w:pPr>
      <w:r>
        <w:t>Pre-Post Comparison</w:t>
      </w:r>
    </w:p>
    <w:p w14:paraId="5AB9620F" w14:textId="03945D80" w:rsidR="00620D38" w:rsidRDefault="00AB7428" w:rsidP="00620D38">
      <w:r>
        <w:t>We first performed a pre</w:t>
      </w:r>
      <w:r w:rsidR="00FE3F7E">
        <w:t xml:space="preserve"> vs post analysis to compare the volume of opioids shipped and the number of drug overdose deaths before and after the policy regulations took effect. </w:t>
      </w:r>
      <w:r w:rsidR="002C3B3C">
        <w:t>Since we did not have access to data on opioid prescriptions, we used opioid shipment as a proxy for opioid prescriptions.</w:t>
      </w:r>
    </w:p>
    <w:p w14:paraId="6DD3B0BE" w14:textId="2766002D" w:rsidR="004C42CE" w:rsidRDefault="004C42CE" w:rsidP="004C42CE">
      <w:pPr>
        <w:pStyle w:val="Heading4"/>
      </w:pPr>
      <w:r>
        <w:t>Time Period</w:t>
      </w:r>
    </w:p>
    <w:p w14:paraId="13C8ADF6" w14:textId="77777777" w:rsidR="007E7B48" w:rsidRDefault="00525F92" w:rsidP="00F87791">
      <w:r>
        <w:t>The pre-period of each analysis includes all years</w:t>
      </w:r>
      <w:r w:rsidR="00F87791">
        <w:t xml:space="preserve"> before the regulation took effect</w:t>
      </w:r>
      <w:r>
        <w:t xml:space="preserve"> in the state</w:t>
      </w:r>
      <w:r w:rsidR="00F87791">
        <w:t>. The year that the regulation took effect and onwards are the post-period. Each of the three states we investigated implemented regulations in different years.</w:t>
      </w:r>
      <w:r w:rsidR="007E7B48">
        <w:t xml:space="preserve"> In addition, t</w:t>
      </w:r>
      <w:r w:rsidR="00F87791">
        <w:t xml:space="preserve">he opioid shipment and drug overdose death data sets we used cover different time periods. </w:t>
      </w:r>
      <w:r w:rsidR="007E7B48">
        <w:t xml:space="preserve">As such, the pre- and post-periods for each analysis is different. </w:t>
      </w:r>
    </w:p>
    <w:p w14:paraId="2E7DDFF3" w14:textId="20E2AF8E" w:rsidR="00521430" w:rsidRDefault="00F87791" w:rsidP="00F87791">
      <w:r>
        <w:t xml:space="preserve">We have laid out the pre- and post-periods for each analysis below to clarify the </w:t>
      </w:r>
      <w:r w:rsidR="007E7B48">
        <w:t>time periods</w:t>
      </w:r>
      <w:r>
        <w:t xml:space="preserve"> of each analysis.</w:t>
      </w:r>
    </w:p>
    <w:p w14:paraId="7D685469" w14:textId="77777777" w:rsidR="005E3F39" w:rsidRPr="001336B9" w:rsidRDefault="005E3F39" w:rsidP="005E3F39">
      <w:pPr>
        <w:rPr>
          <w:sz w:val="18"/>
          <w:szCs w:val="18"/>
        </w:rPr>
      </w:pPr>
      <w:r w:rsidRPr="001336B9">
        <w:rPr>
          <w:sz w:val="18"/>
          <w:szCs w:val="18"/>
        </w:rPr>
        <w:t xml:space="preserve">| State      </w:t>
      </w:r>
      <w:r w:rsidRPr="001336B9">
        <w:rPr>
          <w:sz w:val="18"/>
          <w:szCs w:val="18"/>
        </w:rPr>
        <w:tab/>
        <w:t xml:space="preserve">| Analysis              </w:t>
      </w:r>
      <w:r w:rsidRPr="001336B9">
        <w:rPr>
          <w:sz w:val="18"/>
          <w:szCs w:val="18"/>
        </w:rPr>
        <w:tab/>
        <w:t xml:space="preserve">| Regulation Date </w:t>
      </w:r>
      <w:r w:rsidRPr="001336B9">
        <w:rPr>
          <w:sz w:val="18"/>
          <w:szCs w:val="18"/>
        </w:rPr>
        <w:tab/>
        <w:t xml:space="preserve">| Pre-Period  </w:t>
      </w:r>
      <w:r w:rsidRPr="001336B9">
        <w:rPr>
          <w:sz w:val="18"/>
          <w:szCs w:val="18"/>
        </w:rPr>
        <w:tab/>
        <w:t xml:space="preserve">| Post-Period </w:t>
      </w:r>
      <w:r w:rsidRPr="001336B9">
        <w:rPr>
          <w:sz w:val="18"/>
          <w:szCs w:val="18"/>
        </w:rPr>
        <w:tab/>
        <w:t>|</w:t>
      </w:r>
    </w:p>
    <w:p w14:paraId="267B3AF4" w14:textId="77777777" w:rsidR="005E3F39" w:rsidRPr="001336B9" w:rsidRDefault="005E3F39" w:rsidP="005E3F39">
      <w:pPr>
        <w:rPr>
          <w:sz w:val="18"/>
          <w:szCs w:val="18"/>
        </w:rPr>
      </w:pPr>
      <w:r w:rsidRPr="001336B9">
        <w:rPr>
          <w:sz w:val="18"/>
          <w:szCs w:val="18"/>
        </w:rPr>
        <w:t>|------------</w:t>
      </w:r>
      <w:r w:rsidRPr="001336B9">
        <w:rPr>
          <w:sz w:val="18"/>
          <w:szCs w:val="18"/>
        </w:rPr>
        <w:tab/>
        <w:t>|-----------------------</w:t>
      </w:r>
      <w:r w:rsidRPr="001336B9">
        <w:rPr>
          <w:sz w:val="18"/>
          <w:szCs w:val="18"/>
        </w:rPr>
        <w:tab/>
        <w:t>|-----------------</w:t>
      </w:r>
      <w:r w:rsidRPr="001336B9">
        <w:rPr>
          <w:sz w:val="18"/>
          <w:szCs w:val="18"/>
        </w:rPr>
        <w:tab/>
        <w:t>|-------------</w:t>
      </w:r>
      <w:r w:rsidRPr="001336B9">
        <w:rPr>
          <w:sz w:val="18"/>
          <w:szCs w:val="18"/>
        </w:rPr>
        <w:tab/>
        <w:t>|-------------</w:t>
      </w:r>
      <w:r w:rsidRPr="001336B9">
        <w:rPr>
          <w:sz w:val="18"/>
          <w:szCs w:val="18"/>
        </w:rPr>
        <w:tab/>
        <w:t>|</w:t>
      </w:r>
    </w:p>
    <w:p w14:paraId="60917163" w14:textId="77777777" w:rsidR="005E3F39" w:rsidRPr="001336B9" w:rsidRDefault="005E3F39" w:rsidP="005E3F39">
      <w:pPr>
        <w:rPr>
          <w:sz w:val="18"/>
          <w:szCs w:val="18"/>
        </w:rPr>
      </w:pPr>
      <w:r w:rsidRPr="001336B9">
        <w:rPr>
          <w:sz w:val="18"/>
          <w:szCs w:val="18"/>
        </w:rPr>
        <w:t xml:space="preserve">| Florida    </w:t>
      </w:r>
      <w:r w:rsidRPr="001336B9">
        <w:rPr>
          <w:sz w:val="18"/>
          <w:szCs w:val="18"/>
        </w:rPr>
        <w:tab/>
        <w:t xml:space="preserve">| Opioid Shipment       </w:t>
      </w:r>
      <w:r w:rsidRPr="001336B9">
        <w:rPr>
          <w:sz w:val="18"/>
          <w:szCs w:val="18"/>
        </w:rPr>
        <w:tab/>
        <w:t xml:space="preserve">| February, 2010  </w:t>
      </w:r>
      <w:r w:rsidRPr="001336B9">
        <w:rPr>
          <w:sz w:val="18"/>
          <w:szCs w:val="18"/>
        </w:rPr>
        <w:tab/>
        <w:t xml:space="preserve">| 2006 - 2009 </w:t>
      </w:r>
      <w:r w:rsidRPr="001336B9">
        <w:rPr>
          <w:sz w:val="18"/>
          <w:szCs w:val="18"/>
        </w:rPr>
        <w:tab/>
        <w:t xml:space="preserve">| 2010 - 2012 </w:t>
      </w:r>
      <w:r w:rsidRPr="001336B9">
        <w:rPr>
          <w:sz w:val="18"/>
          <w:szCs w:val="18"/>
        </w:rPr>
        <w:tab/>
        <w:t>|</w:t>
      </w:r>
    </w:p>
    <w:p w14:paraId="46B7DF7F" w14:textId="77777777" w:rsidR="005E3F39" w:rsidRPr="001336B9" w:rsidRDefault="005E3F39" w:rsidP="005E3F39">
      <w:pPr>
        <w:rPr>
          <w:sz w:val="18"/>
          <w:szCs w:val="18"/>
        </w:rPr>
      </w:pPr>
      <w:r w:rsidRPr="001336B9">
        <w:rPr>
          <w:sz w:val="18"/>
          <w:szCs w:val="18"/>
        </w:rPr>
        <w:t xml:space="preserve">| Florida    </w:t>
      </w:r>
      <w:r w:rsidRPr="001336B9">
        <w:rPr>
          <w:sz w:val="18"/>
          <w:szCs w:val="18"/>
        </w:rPr>
        <w:tab/>
        <w:t xml:space="preserve">| Opioid Overdose Death </w:t>
      </w:r>
      <w:r w:rsidRPr="001336B9">
        <w:rPr>
          <w:sz w:val="18"/>
          <w:szCs w:val="18"/>
        </w:rPr>
        <w:tab/>
        <w:t xml:space="preserve">| February, 2010  </w:t>
      </w:r>
      <w:r w:rsidRPr="001336B9">
        <w:rPr>
          <w:sz w:val="18"/>
          <w:szCs w:val="18"/>
        </w:rPr>
        <w:tab/>
        <w:t xml:space="preserve">| 2003 - 2009 </w:t>
      </w:r>
      <w:r w:rsidRPr="001336B9">
        <w:rPr>
          <w:sz w:val="18"/>
          <w:szCs w:val="18"/>
        </w:rPr>
        <w:tab/>
        <w:t xml:space="preserve">| 2010 - 2015 </w:t>
      </w:r>
      <w:r w:rsidRPr="001336B9">
        <w:rPr>
          <w:sz w:val="18"/>
          <w:szCs w:val="18"/>
        </w:rPr>
        <w:tab/>
        <w:t>|</w:t>
      </w:r>
    </w:p>
    <w:p w14:paraId="1705E0A2" w14:textId="77777777" w:rsidR="005E3F39" w:rsidRPr="001336B9" w:rsidRDefault="005E3F39" w:rsidP="005E3F39">
      <w:pPr>
        <w:rPr>
          <w:sz w:val="18"/>
          <w:szCs w:val="18"/>
        </w:rPr>
      </w:pPr>
      <w:r w:rsidRPr="001336B9">
        <w:rPr>
          <w:sz w:val="18"/>
          <w:szCs w:val="18"/>
        </w:rPr>
        <w:t xml:space="preserve">| Texas      </w:t>
      </w:r>
      <w:r w:rsidRPr="001336B9">
        <w:rPr>
          <w:sz w:val="18"/>
          <w:szCs w:val="18"/>
        </w:rPr>
        <w:tab/>
        <w:t xml:space="preserve">| Opioid Overdose Death </w:t>
      </w:r>
      <w:r w:rsidRPr="001336B9">
        <w:rPr>
          <w:sz w:val="18"/>
          <w:szCs w:val="18"/>
        </w:rPr>
        <w:tab/>
        <w:t xml:space="preserve">| January, 2007   </w:t>
      </w:r>
      <w:r w:rsidRPr="001336B9">
        <w:rPr>
          <w:sz w:val="18"/>
          <w:szCs w:val="18"/>
        </w:rPr>
        <w:tab/>
        <w:t xml:space="preserve">| 2003 - 2006 </w:t>
      </w:r>
      <w:r w:rsidRPr="001336B9">
        <w:rPr>
          <w:sz w:val="18"/>
          <w:szCs w:val="18"/>
        </w:rPr>
        <w:tab/>
        <w:t xml:space="preserve">| 2007 - 2015 </w:t>
      </w:r>
      <w:r w:rsidRPr="001336B9">
        <w:rPr>
          <w:sz w:val="18"/>
          <w:szCs w:val="18"/>
        </w:rPr>
        <w:tab/>
        <w:t>|</w:t>
      </w:r>
    </w:p>
    <w:p w14:paraId="060703D3" w14:textId="578763FE" w:rsidR="005E3F39" w:rsidRPr="001336B9" w:rsidRDefault="005E3F39" w:rsidP="005E3F39">
      <w:pPr>
        <w:rPr>
          <w:sz w:val="18"/>
          <w:szCs w:val="18"/>
        </w:rPr>
      </w:pPr>
      <w:r w:rsidRPr="001336B9">
        <w:rPr>
          <w:sz w:val="18"/>
          <w:szCs w:val="18"/>
        </w:rPr>
        <w:t xml:space="preserve">| Washington </w:t>
      </w:r>
      <w:r w:rsidRPr="001336B9">
        <w:rPr>
          <w:sz w:val="18"/>
          <w:szCs w:val="18"/>
        </w:rPr>
        <w:tab/>
        <w:t xml:space="preserve">| Opioid Overdose Death </w:t>
      </w:r>
      <w:r w:rsidRPr="001336B9">
        <w:rPr>
          <w:sz w:val="18"/>
          <w:szCs w:val="18"/>
        </w:rPr>
        <w:tab/>
        <w:t xml:space="preserve">| January, 2012   </w:t>
      </w:r>
      <w:r w:rsidRPr="001336B9">
        <w:rPr>
          <w:sz w:val="18"/>
          <w:szCs w:val="18"/>
        </w:rPr>
        <w:tab/>
        <w:t xml:space="preserve">| 2003 - 2011 </w:t>
      </w:r>
      <w:r w:rsidRPr="001336B9">
        <w:rPr>
          <w:sz w:val="18"/>
          <w:szCs w:val="18"/>
        </w:rPr>
        <w:tab/>
        <w:t xml:space="preserve">| 2012 - 2015 </w:t>
      </w:r>
      <w:r w:rsidRPr="001336B9">
        <w:rPr>
          <w:sz w:val="18"/>
          <w:szCs w:val="18"/>
        </w:rPr>
        <w:tab/>
        <w:t>|</w:t>
      </w:r>
    </w:p>
    <w:p w14:paraId="3E7758B1" w14:textId="56CB1520" w:rsidR="007E7B48" w:rsidRDefault="007E7B48" w:rsidP="00620D38">
      <w:pPr>
        <w:pStyle w:val="Heading3"/>
      </w:pPr>
    </w:p>
    <w:p w14:paraId="47F64F75" w14:textId="1293087F" w:rsidR="007E7B48" w:rsidRDefault="007E7B48" w:rsidP="007E7B48">
      <w:pPr>
        <w:pStyle w:val="Heading4"/>
      </w:pPr>
      <w:r>
        <w:t>Methodology</w:t>
      </w:r>
    </w:p>
    <w:p w14:paraId="20EA47A4" w14:textId="40100D8D" w:rsidR="007E7B48" w:rsidRDefault="0024061F" w:rsidP="00CF33A8">
      <w:r>
        <w:t>For each analysis, w</w:t>
      </w:r>
      <w:r w:rsidR="00CF33A8">
        <w:t xml:space="preserve">e created an indicator variable that would mark whether each observation was from the pre-period or the post-period. </w:t>
      </w:r>
      <w:r>
        <w:t xml:space="preserve">We then ran linear regressions for the pre-period and the post-period separately, using year as the independent variable and the metric of interest of the analysis (shipment or overdose death) as the dependent variable. </w:t>
      </w:r>
      <w:r w:rsidR="00061DB3">
        <w:t>We also calculated the 95% confidence interval for each regression.</w:t>
      </w:r>
    </w:p>
    <w:p w14:paraId="75A8579F" w14:textId="77777777" w:rsidR="00566102" w:rsidRDefault="00061DB3" w:rsidP="00F47DD0">
      <w:r>
        <w:t>To visualize the effect of regulation, we plotted the regression line</w:t>
      </w:r>
      <w:r w:rsidR="00566102">
        <w:t xml:space="preserve"> and the confidence band </w:t>
      </w:r>
      <w:r>
        <w:t xml:space="preserve">of the pre-period and </w:t>
      </w:r>
      <w:r w:rsidR="00566102">
        <w:t xml:space="preserve">those of </w:t>
      </w:r>
      <w:r>
        <w:t>the post-period on the same plot</w:t>
      </w:r>
      <w:r w:rsidR="00566102">
        <w:t xml:space="preserve">. In each plot, the </w:t>
      </w:r>
      <w:r>
        <w:t xml:space="preserve">x-axis </w:t>
      </w:r>
      <w:r w:rsidR="00566102">
        <w:t>represents year and the y</w:t>
      </w:r>
      <w:r>
        <w:t>-axis</w:t>
      </w:r>
      <w:r w:rsidR="00566102">
        <w:t xml:space="preserve"> represents the metric of interest</w:t>
      </w:r>
      <w:r>
        <w:t xml:space="preserve">. </w:t>
      </w:r>
    </w:p>
    <w:p w14:paraId="67A5BFF6" w14:textId="56D859B5" w:rsidR="00F47DD0" w:rsidRPr="00F47DD0" w:rsidRDefault="00566102" w:rsidP="00F47DD0">
      <w:r>
        <w:t xml:space="preserve">Opioid shipment and overdose death had been increasing the Florida, Texas, and Washington before the regulations took effect. As such, if opioid regulations did have a positive effect on opioid prescriptions or overdose death, we’d expect the post-period regression line to have a smaller slope than the pre-period </w:t>
      </w:r>
      <w:r>
        <w:lastRenderedPageBreak/>
        <w:t>regression line.</w:t>
      </w:r>
      <w:r w:rsidR="00602765">
        <w:t xml:space="preserve"> If the slopes</w:t>
      </w:r>
      <w:r w:rsidR="00AD5A9A">
        <w:t xml:space="preserve"> in the post-period and the pre-period are similar, then the regulations likely did not have a meaningful impact.</w:t>
      </w:r>
      <w:r w:rsidR="00602765">
        <w:t xml:space="preserve"> </w:t>
      </w:r>
    </w:p>
    <w:p w14:paraId="221111F4" w14:textId="04602FDE" w:rsidR="00620D38" w:rsidRDefault="00620D38" w:rsidP="00620D38">
      <w:pPr>
        <w:pStyle w:val="Heading3"/>
      </w:pPr>
      <w:r>
        <w:t>Difference-in-Difference</w:t>
      </w:r>
    </w:p>
    <w:p w14:paraId="0BA39A9C" w14:textId="584DB960" w:rsidR="002174FF" w:rsidRDefault="00DE0572" w:rsidP="00554F5A">
      <w:r>
        <w:t xml:space="preserve">The pre-post comparison </w:t>
      </w:r>
      <w:r w:rsidR="00770BAD">
        <w:t xml:space="preserve">method </w:t>
      </w:r>
      <w:r>
        <w:t>described above is a</w:t>
      </w:r>
      <w:r w:rsidR="00F5524D">
        <w:t>n</w:t>
      </w:r>
      <w:r>
        <w:t xml:space="preserve"> easy and straightforward way to </w:t>
      </w:r>
      <w:r w:rsidR="00770BAD">
        <w:t>visualize the effect of regulation of opioid.</w:t>
      </w:r>
      <w:r w:rsidR="00521ADF">
        <w:t xml:space="preserve"> However,</w:t>
      </w:r>
      <w:r w:rsidR="009D1F3F">
        <w:t xml:space="preserve"> it is difficult to </w:t>
      </w:r>
      <w:r w:rsidR="006A5D72">
        <w:t>attribute the changes of pre- vs post-period slopes to the regulations because the method does not account for potential confounders.</w:t>
      </w:r>
    </w:p>
    <w:p w14:paraId="49905F3F" w14:textId="7214A59C" w:rsidR="00D54D67" w:rsidRDefault="002174FF" w:rsidP="00554F5A">
      <w:r>
        <w:t xml:space="preserve">To overcome this limitation, we next </w:t>
      </w:r>
      <w:r w:rsidR="00047896">
        <w:t>performed</w:t>
      </w:r>
      <w:r>
        <w:t xml:space="preserve"> a difference-in-difference </w:t>
      </w:r>
      <w:r w:rsidR="00047896">
        <w:t>analysis</w:t>
      </w:r>
      <w:r w:rsidR="00464191">
        <w:t>, in which we c</w:t>
      </w:r>
      <w:r w:rsidR="00312240">
        <w:t>ompare</w:t>
      </w:r>
      <w:r w:rsidR="0073780B">
        <w:t>d</w:t>
      </w:r>
      <w:r w:rsidR="00312240">
        <w:t xml:space="preserve"> the </w:t>
      </w:r>
      <w:r w:rsidR="00464191">
        <w:t>counties in Flo</w:t>
      </w:r>
      <w:r w:rsidR="00312240">
        <w:t xml:space="preserve">rida, Texas, and Washington </w:t>
      </w:r>
      <w:r w:rsidR="00D54D67">
        <w:t>to similar counties</w:t>
      </w:r>
      <w:r w:rsidR="00047896">
        <w:t xml:space="preserve"> in other states</w:t>
      </w:r>
      <w:r w:rsidR="00D54D67">
        <w:t xml:space="preserve">. </w:t>
      </w:r>
      <w:r w:rsidR="0020363A">
        <w:t xml:space="preserve">This method assumes that </w:t>
      </w:r>
      <w:r w:rsidR="00047896">
        <w:t>counties in Florida, Texas, and Washington would behave in comparable ways to similar counties in other states</w:t>
      </w:r>
      <w:r w:rsidR="00E60BD2">
        <w:t xml:space="preserve">. </w:t>
      </w:r>
      <w:r w:rsidR="00047896">
        <w:t xml:space="preserve">Therefore, the similar counties could provide insights to what would have happened in Florida, Texas, and Washington had the regulations not taken place. </w:t>
      </w:r>
      <w:r w:rsidR="00D54D67">
        <w:t xml:space="preserve">To make things easier, we’ll refer to counties in </w:t>
      </w:r>
      <w:r w:rsidR="00EA69C1">
        <w:t xml:space="preserve">each of </w:t>
      </w:r>
      <w:r w:rsidR="00D54D67">
        <w:t>Florida, Texas, and Washington as a “test group”, and the group of similar counties selected for each test group the “control group”.</w:t>
      </w:r>
      <w:r w:rsidR="008E021E">
        <w:t xml:space="preserve"> </w:t>
      </w:r>
      <w:r w:rsidR="00650C2A">
        <w:t xml:space="preserve">The process we used to select the control group for each test group </w:t>
      </w:r>
      <w:r w:rsidR="00464191">
        <w:t>is described below.</w:t>
      </w:r>
    </w:p>
    <w:p w14:paraId="7A8B1073" w14:textId="77777777" w:rsidR="008E021E" w:rsidRDefault="008E021E" w:rsidP="008E021E">
      <w:pPr>
        <w:pStyle w:val="Heading4"/>
      </w:pPr>
      <w:r>
        <w:t>Control Group Selection</w:t>
      </w:r>
    </w:p>
    <w:p w14:paraId="1C942639" w14:textId="27200B14" w:rsidR="008E021E" w:rsidRDefault="00ED234D" w:rsidP="00554F5A">
      <w:r>
        <w:t xml:space="preserve">To ensure that the difference-in-difference methodology measures the effect of regulations </w:t>
      </w:r>
      <w:r w:rsidR="00C56E8B">
        <w:t>instead of effects of confounders</w:t>
      </w:r>
      <w:r>
        <w:t xml:space="preserve">, we’d need to find control counties that are as similar to the test group as possible. Most importantly, </w:t>
      </w:r>
      <w:r w:rsidR="008918C7">
        <w:t>we have</w:t>
      </w:r>
      <w:r>
        <w:t xml:space="preserve"> to ensure that the control group has a similar pre-period slope as the test group.</w:t>
      </w:r>
      <w:r w:rsidR="00D02F2D">
        <w:t xml:space="preserve"> To achieve this, we used the below process to select control counties for each test group.</w:t>
      </w:r>
    </w:p>
    <w:p w14:paraId="0DA2FE09" w14:textId="00A090AB" w:rsidR="00D02F2D" w:rsidRDefault="00D02F2D" w:rsidP="00D02F2D">
      <w:pPr>
        <w:pStyle w:val="ListParagraph"/>
        <w:numPr>
          <w:ilvl w:val="0"/>
          <w:numId w:val="1"/>
        </w:numPr>
      </w:pPr>
      <w:r>
        <w:t>Calculate the pre-period slope of the measured metric (shipment / mortality) for counties in the test group and counties in the rest of the country</w:t>
      </w:r>
    </w:p>
    <w:p w14:paraId="5C3D7A39" w14:textId="1683615D" w:rsidR="00D02F2D" w:rsidRDefault="00D02F2D" w:rsidP="00D02F2D">
      <w:pPr>
        <w:pStyle w:val="ListParagraph"/>
        <w:numPr>
          <w:ilvl w:val="0"/>
          <w:numId w:val="1"/>
        </w:numPr>
      </w:pPr>
      <w:r>
        <w:t xml:space="preserve">Calculate the </w:t>
      </w:r>
      <w:r w:rsidR="00E12A9D">
        <w:t>pre-period average</w:t>
      </w:r>
      <w:r>
        <w:t xml:space="preserve"> population of counties in the test group and counties in the rest of the country</w:t>
      </w:r>
    </w:p>
    <w:p w14:paraId="1330F69D" w14:textId="1057F25A" w:rsidR="00D02F2D" w:rsidRDefault="00D02F2D" w:rsidP="00D02F2D">
      <w:pPr>
        <w:pStyle w:val="ListParagraph"/>
        <w:numPr>
          <w:ilvl w:val="0"/>
          <w:numId w:val="1"/>
        </w:numPr>
      </w:pPr>
      <w:r>
        <w:t>For each county in the test group, select 2 counties in the control group whose pre-period slope is the most similar to that of the test county</w:t>
      </w:r>
    </w:p>
    <w:p w14:paraId="18F90D96" w14:textId="7D411C3E" w:rsidR="00E12A9D" w:rsidRDefault="00E12A9D" w:rsidP="00D02F2D">
      <w:pPr>
        <w:pStyle w:val="ListParagraph"/>
        <w:numPr>
          <w:ilvl w:val="0"/>
          <w:numId w:val="1"/>
        </w:numPr>
      </w:pPr>
      <w:r>
        <w:t>If there are ties, narrow down to 2 counties whose pre-period average population is the most similar to the that of the test county</w:t>
      </w:r>
    </w:p>
    <w:p w14:paraId="45E578E6" w14:textId="39FAF54A" w:rsidR="00E12A9D" w:rsidRDefault="00E12A9D" w:rsidP="00D02F2D">
      <w:pPr>
        <w:pStyle w:val="ListParagraph"/>
        <w:numPr>
          <w:ilvl w:val="0"/>
          <w:numId w:val="1"/>
        </w:numPr>
      </w:pPr>
      <w:r>
        <w:t>Draw with replacement</w:t>
      </w:r>
    </w:p>
    <w:p w14:paraId="6D812F01" w14:textId="7B840D1C" w:rsidR="00E12A9D" w:rsidRDefault="00E12A9D" w:rsidP="00E12A9D">
      <w:r>
        <w:t xml:space="preserve">Following the process above, we selected 2 </w:t>
      </w:r>
      <w:r w:rsidR="00195A15">
        <w:t xml:space="preserve">similar counties for each county in the </w:t>
      </w:r>
      <w:r w:rsidR="00B278DD">
        <w:t xml:space="preserve">three </w:t>
      </w:r>
      <w:r w:rsidR="00195A15">
        <w:t xml:space="preserve">test </w:t>
      </w:r>
      <w:r w:rsidR="00556ECE">
        <w:t>group</w:t>
      </w:r>
      <w:r w:rsidR="00B278DD">
        <w:t>s</w:t>
      </w:r>
      <w:r w:rsidR="00556ECE">
        <w:t>. Counties were first selected based on pre-period slope</w:t>
      </w:r>
      <w:r w:rsidR="00B278DD">
        <w:t xml:space="preserve"> of the measured metric</w:t>
      </w:r>
      <w:r w:rsidR="00556ECE">
        <w:t xml:space="preserve">. </w:t>
      </w:r>
      <w:r w:rsidR="00B278DD">
        <w:t xml:space="preserve">There were many counties in the test groups whose pre-period slope </w:t>
      </w:r>
      <w:r w:rsidR="005706A4">
        <w:t>was 0 – for those counties, we selected control counties whose pre-period slope was also 0 and who had similar population as the test county.</w:t>
      </w:r>
    </w:p>
    <w:p w14:paraId="21796298" w14:textId="126C5C57" w:rsidR="009C0958" w:rsidRDefault="00D10B08" w:rsidP="00554F5A">
      <w:r>
        <w:t>We drew with replacement so that if a particular county was selected as the control multiple times, then we’d give the county a higher weight in the control group accordingly.</w:t>
      </w:r>
    </w:p>
    <w:p w14:paraId="294237E8" w14:textId="58409B34" w:rsidR="008C603D" w:rsidRDefault="008C603D" w:rsidP="008C603D">
      <w:pPr>
        <w:pStyle w:val="Heading4"/>
      </w:pPr>
      <w:r>
        <w:t>Time Period</w:t>
      </w:r>
    </w:p>
    <w:p w14:paraId="418EFAA0" w14:textId="7013D3B4" w:rsidR="008C603D" w:rsidRPr="008C603D" w:rsidRDefault="008C603D" w:rsidP="008C603D">
      <w:r>
        <w:t xml:space="preserve">The pre- and post-period of each analysis is the same as the time periods listed out in the table under the previous section. </w:t>
      </w:r>
      <w:r w:rsidR="00B72BEA">
        <w:t>For each analysis, we used the same time periods for the test group and the control group.</w:t>
      </w:r>
    </w:p>
    <w:p w14:paraId="751AA947" w14:textId="6D5DE6A2" w:rsidR="008C603D" w:rsidRDefault="008C603D" w:rsidP="008C603D">
      <w:pPr>
        <w:pStyle w:val="Heading4"/>
      </w:pPr>
      <w:r>
        <w:lastRenderedPageBreak/>
        <w:t>Methodology</w:t>
      </w:r>
    </w:p>
    <w:p w14:paraId="4665C35F" w14:textId="0F63B71F" w:rsidR="00F8311A" w:rsidRDefault="0042191F" w:rsidP="00F8311A">
      <w:r>
        <w:t xml:space="preserve">Similar to the pre-post comparison analysis, we created an indicator variable to mark whether an observation was from the pre-period or the post-period. </w:t>
      </w:r>
      <w:r w:rsidR="009377ED">
        <w:t xml:space="preserve">In each analysis, we ran four regressions, one each for the test and control groups in the pre- and post-periods. </w:t>
      </w:r>
      <w:r w:rsidR="00EE693C">
        <w:t xml:space="preserve">We then plotted the regression lines and as well as the </w:t>
      </w:r>
      <w:r w:rsidR="00361760">
        <w:t>confidence bands using 95% confidence level.</w:t>
      </w:r>
    </w:p>
    <w:p w14:paraId="006E6CF2" w14:textId="62EC3F17" w:rsidR="00EE693C" w:rsidRPr="00F8311A" w:rsidRDefault="007F769F" w:rsidP="00F8311A">
      <w:r>
        <w:t>We plotted each analysis in a separate plot. On each plot, there are 4 lines – test group in the pre-period, test group in the post-period, control group in the pre-period, and control group in the post-period. To distinguish the test group from the control group, we applied different colors for each group.</w:t>
      </w:r>
      <w:r w:rsidR="00CE010E">
        <w:t xml:space="preserve"> </w:t>
      </w:r>
      <w:r w:rsidR="00EE693C">
        <w:t xml:space="preserve">If we had performed the control selection appropriately, we’d expect to see </w:t>
      </w:r>
      <w:r w:rsidR="00AE49B0">
        <w:t>similar slopes for the regression lines of the test group and the control group in the pre-period. If the regulation had a meaningful impact on opioid shipment or overdose death, then we’d expect the slope of the test group in the post-period to decrease while the slope of the control group in the post-period remains constant or decreases by a smaller magnitude.</w:t>
      </w:r>
    </w:p>
    <w:sectPr w:rsidR="00EE693C" w:rsidRPr="00F83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E4F79"/>
    <w:multiLevelType w:val="hybridMultilevel"/>
    <w:tmpl w:val="A14AF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078"/>
    <w:rsid w:val="00047896"/>
    <w:rsid w:val="00053EDD"/>
    <w:rsid w:val="00061DB3"/>
    <w:rsid w:val="000752A2"/>
    <w:rsid w:val="000A5E3D"/>
    <w:rsid w:val="000D049F"/>
    <w:rsid w:val="000E2573"/>
    <w:rsid w:val="000F2252"/>
    <w:rsid w:val="00101CAD"/>
    <w:rsid w:val="001271F4"/>
    <w:rsid w:val="001336B9"/>
    <w:rsid w:val="00195A15"/>
    <w:rsid w:val="001E5E2D"/>
    <w:rsid w:val="0020363A"/>
    <w:rsid w:val="002174FF"/>
    <w:rsid w:val="0024061F"/>
    <w:rsid w:val="00282CCF"/>
    <w:rsid w:val="002C3B3C"/>
    <w:rsid w:val="00312240"/>
    <w:rsid w:val="00361760"/>
    <w:rsid w:val="003D4BE3"/>
    <w:rsid w:val="003E4D14"/>
    <w:rsid w:val="0042191F"/>
    <w:rsid w:val="00464191"/>
    <w:rsid w:val="004C42CE"/>
    <w:rsid w:val="00506C18"/>
    <w:rsid w:val="00521430"/>
    <w:rsid w:val="00521ADF"/>
    <w:rsid w:val="00525F92"/>
    <w:rsid w:val="00554F5A"/>
    <w:rsid w:val="00556ECE"/>
    <w:rsid w:val="00566102"/>
    <w:rsid w:val="005706A4"/>
    <w:rsid w:val="005E3F39"/>
    <w:rsid w:val="00602765"/>
    <w:rsid w:val="00620D38"/>
    <w:rsid w:val="00644558"/>
    <w:rsid w:val="00650C2A"/>
    <w:rsid w:val="006A5D72"/>
    <w:rsid w:val="006C77A0"/>
    <w:rsid w:val="00724659"/>
    <w:rsid w:val="0073780B"/>
    <w:rsid w:val="00770BAD"/>
    <w:rsid w:val="007B664E"/>
    <w:rsid w:val="007E7B48"/>
    <w:rsid w:val="007F769F"/>
    <w:rsid w:val="00803D51"/>
    <w:rsid w:val="008343F1"/>
    <w:rsid w:val="00874CD6"/>
    <w:rsid w:val="008918C7"/>
    <w:rsid w:val="008B7805"/>
    <w:rsid w:val="008C603D"/>
    <w:rsid w:val="008E021E"/>
    <w:rsid w:val="009377ED"/>
    <w:rsid w:val="00942AF6"/>
    <w:rsid w:val="00944CE0"/>
    <w:rsid w:val="009C0958"/>
    <w:rsid w:val="009D1F3F"/>
    <w:rsid w:val="00A125BA"/>
    <w:rsid w:val="00A977EE"/>
    <w:rsid w:val="00AA0641"/>
    <w:rsid w:val="00AB0B93"/>
    <w:rsid w:val="00AB7428"/>
    <w:rsid w:val="00AD5A9A"/>
    <w:rsid w:val="00AE49B0"/>
    <w:rsid w:val="00B278DD"/>
    <w:rsid w:val="00B66114"/>
    <w:rsid w:val="00B72BEA"/>
    <w:rsid w:val="00B77B70"/>
    <w:rsid w:val="00BB4384"/>
    <w:rsid w:val="00C56E8B"/>
    <w:rsid w:val="00C8383C"/>
    <w:rsid w:val="00CE010E"/>
    <w:rsid w:val="00CF33A8"/>
    <w:rsid w:val="00D02F2D"/>
    <w:rsid w:val="00D10B08"/>
    <w:rsid w:val="00D54D67"/>
    <w:rsid w:val="00DE0572"/>
    <w:rsid w:val="00DE5016"/>
    <w:rsid w:val="00E12A9D"/>
    <w:rsid w:val="00E20928"/>
    <w:rsid w:val="00E60BD2"/>
    <w:rsid w:val="00EA65D9"/>
    <w:rsid w:val="00EA69C1"/>
    <w:rsid w:val="00ED234D"/>
    <w:rsid w:val="00EE693C"/>
    <w:rsid w:val="00F01815"/>
    <w:rsid w:val="00F47DD0"/>
    <w:rsid w:val="00F5524D"/>
    <w:rsid w:val="00F6726A"/>
    <w:rsid w:val="00F73078"/>
    <w:rsid w:val="00F8311A"/>
    <w:rsid w:val="00F87791"/>
    <w:rsid w:val="00FC5C6D"/>
    <w:rsid w:val="00FD131C"/>
    <w:rsid w:val="00FE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EB579"/>
  <w15:chartTrackingRefBased/>
  <w15:docId w15:val="{C5D51313-1E52-4903-9F17-9E7FCDC89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D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D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42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0D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0D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C42C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D02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A489C06998F34B897A20A67E586CB2" ma:contentTypeVersion="0" ma:contentTypeDescription="Create a new document." ma:contentTypeScope="" ma:versionID="f394992e597db98b0a2691a1494558c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d50c3fe4cf68e3b4fc66db34d189a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85852C-F737-4EEA-B713-1652C26C16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B8946A7-F16C-457F-9CFC-484BE0A09D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B29DC3-C5F5-44D7-B6AB-98CA0C5E20A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3</Pages>
  <Words>1050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Wan</dc:creator>
  <cp:keywords/>
  <dc:description/>
  <cp:lastModifiedBy>Robert Wan</cp:lastModifiedBy>
  <cp:revision>90</cp:revision>
  <dcterms:created xsi:type="dcterms:W3CDTF">2021-11-08T17:02:00Z</dcterms:created>
  <dcterms:modified xsi:type="dcterms:W3CDTF">2021-11-09T02:00:00Z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0x0101009FA489C06998F34B897A20A67E586CB2</vt:lpwstr>
  </property>
</Properties>
</file>