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AC0" w14:textId="0484FA2D" w:rsidR="006426FB" w:rsidRDefault="006426FB" w:rsidP="00620D38">
      <w:pPr>
        <w:pStyle w:val="Heading2"/>
      </w:pPr>
      <w:r>
        <w:t>Analysis</w:t>
      </w:r>
    </w:p>
    <w:p w14:paraId="7C7E3EBA" w14:textId="33C571DB" w:rsidR="006426FB" w:rsidRDefault="0074680B" w:rsidP="006426FB">
      <w:r>
        <w:t>We have opioid shipment data for Florida only and opioid overdose death data for Florida, Washington, and Texas</w:t>
      </w:r>
      <w:r>
        <w:t xml:space="preserve">. As such, the measured metrics are shipment and overdose </w:t>
      </w:r>
      <w:r>
        <w:t xml:space="preserve">death for Florida and only overdose death for Washington and Texas. </w:t>
      </w:r>
      <w:r w:rsidR="006426FB" w:rsidRPr="00F73078">
        <w:t xml:space="preserve">To investigate the effect of opioid drug prescription regulations on </w:t>
      </w:r>
      <w:r>
        <w:t xml:space="preserve">the </w:t>
      </w:r>
      <w:r w:rsidR="006426FB" w:rsidRPr="00F73078">
        <w:t>volume of opioid</w:t>
      </w:r>
      <w:r>
        <w:t xml:space="preserve"> shipment </w:t>
      </w:r>
      <w:r w:rsidR="006426FB" w:rsidRPr="00F73078">
        <w:t>and drug overdose deaths, we employed two methodologies.</w:t>
      </w:r>
      <w:r w:rsidR="006426FB">
        <w:t xml:space="preserve"> First, we compared the </w:t>
      </w:r>
      <w:r w:rsidR="00203F2C">
        <w:t xml:space="preserve">trend of </w:t>
      </w:r>
      <w:r w:rsidR="00F12E47">
        <w:t>shipment / mortality</w:t>
      </w:r>
      <w:r w:rsidR="00203F2C">
        <w:t xml:space="preserve"> before and after the regulations went into effect – this method is known as a pre-post comparison. Next, we looked at the change in trend of </w:t>
      </w:r>
      <w:r w:rsidR="0018545A">
        <w:t>the</w:t>
      </w:r>
      <w:r w:rsidR="00203F2C">
        <w:t xml:space="preserve"> metrics before and after the regulations and compared it with the change in trend of similar counties – this method is known as difference-in-difference.</w:t>
      </w:r>
    </w:p>
    <w:p w14:paraId="72CCE08C" w14:textId="436351C6" w:rsidR="006318EA" w:rsidRDefault="006318EA" w:rsidP="006318EA">
      <w:pPr>
        <w:pStyle w:val="Heading3"/>
      </w:pPr>
      <w:r>
        <w:t xml:space="preserve">High-Level </w:t>
      </w:r>
      <w:r w:rsidR="003003C9">
        <w:t>Explanation</w:t>
      </w:r>
      <w:r>
        <w:t xml:space="preserve"> of Methodologies</w:t>
      </w:r>
    </w:p>
    <w:p w14:paraId="06EEE818" w14:textId="7AFF0169" w:rsidR="00203F2C" w:rsidRDefault="00C94F58" w:rsidP="006426FB">
      <w:r>
        <w:t xml:space="preserve">The pre-post comparison provides </w:t>
      </w:r>
      <w:r>
        <w:t xml:space="preserve">a straightforward way to visualize the effect of </w:t>
      </w:r>
      <w:r w:rsidR="008D243E">
        <w:t xml:space="preserve">the </w:t>
      </w:r>
      <w:r>
        <w:t>regulation</w:t>
      </w:r>
      <w:r w:rsidR="008D243E">
        <w:t xml:space="preserve">s </w:t>
      </w:r>
      <w:r>
        <w:t>of opioid</w:t>
      </w:r>
      <w:r>
        <w:t xml:space="preserve">. </w:t>
      </w:r>
      <w:r w:rsidR="006318EA">
        <w:t>Using this method, one can easily discern changes in trend</w:t>
      </w:r>
      <w:r w:rsidR="00DF275B">
        <w:t>s</w:t>
      </w:r>
      <w:r w:rsidR="006318EA">
        <w:t xml:space="preserve"> before and after the regulations went into effect. </w:t>
      </w:r>
      <w:r>
        <w:t>However, it does not provide context for</w:t>
      </w:r>
      <w:r w:rsidR="0024137C">
        <w:t xml:space="preserve"> such</w:t>
      </w:r>
      <w:r>
        <w:t xml:space="preserve"> observed changes in trend</w:t>
      </w:r>
      <w:r w:rsidR="007240A5">
        <w:t>s</w:t>
      </w:r>
      <w:r w:rsidR="0024137C">
        <w:t xml:space="preserve">. </w:t>
      </w:r>
      <w:r w:rsidR="00403420">
        <w:t>For instance</w:t>
      </w:r>
      <w:r w:rsidR="008D243E">
        <w:t xml:space="preserve">, it is unclear if </w:t>
      </w:r>
      <w:r w:rsidR="00403420">
        <w:t>change</w:t>
      </w:r>
      <w:r w:rsidR="00C35CAA">
        <w:t xml:space="preserve">s </w:t>
      </w:r>
      <w:r w:rsidR="00403420">
        <w:t>in trend</w:t>
      </w:r>
      <w:r w:rsidR="002E5E6A">
        <w:t>s</w:t>
      </w:r>
      <w:r w:rsidR="00403420">
        <w:t xml:space="preserve"> </w:t>
      </w:r>
      <w:r w:rsidR="008D243E">
        <w:t>w</w:t>
      </w:r>
      <w:r w:rsidR="008A4AC8">
        <w:t>ere</w:t>
      </w:r>
      <w:r w:rsidR="008D243E">
        <w:t xml:space="preserve"> due to the regulations or something else that happened to occur at the same time.</w:t>
      </w:r>
    </w:p>
    <w:p w14:paraId="2D8DE51D" w14:textId="40948F4B" w:rsidR="008760DC" w:rsidRDefault="008760DC" w:rsidP="006426FB">
      <w:r>
        <w:t xml:space="preserve">In comparison, the difference-in-difference </w:t>
      </w:r>
      <w:r w:rsidR="00142C22">
        <w:t xml:space="preserve">selects similar counties from other states to act as the “control group”. </w:t>
      </w:r>
      <w:r w:rsidR="000334D2">
        <w:t>Similar counties were selected in a way that their trend</w:t>
      </w:r>
      <w:r w:rsidR="000E2A09">
        <w:t>s</w:t>
      </w:r>
      <w:r w:rsidR="000334D2">
        <w:t xml:space="preserve"> </w:t>
      </w:r>
      <w:r w:rsidR="007405CA">
        <w:t xml:space="preserve">of shipment / mortality </w:t>
      </w:r>
      <w:r w:rsidR="000334D2">
        <w:t>before the regulations w</w:t>
      </w:r>
      <w:r w:rsidR="00F232CE">
        <w:t>ere</w:t>
      </w:r>
      <w:r w:rsidR="000334D2">
        <w:t xml:space="preserve"> </w:t>
      </w:r>
      <w:proofErr w:type="gramStart"/>
      <w:r w:rsidR="000334D2">
        <w:t>similar to</w:t>
      </w:r>
      <w:proofErr w:type="gramEnd"/>
      <w:r w:rsidR="00E358B8">
        <w:t xml:space="preserve"> th</w:t>
      </w:r>
      <w:r w:rsidR="004D0D04">
        <w:t>ose</w:t>
      </w:r>
      <w:r w:rsidR="000334D2">
        <w:t xml:space="preserve"> of Florida, Washington, or Texas. </w:t>
      </w:r>
      <w:r w:rsidR="00CC65AC">
        <w:t xml:space="preserve">We assume that </w:t>
      </w:r>
      <w:r w:rsidR="007405CA">
        <w:t>if the regulations had not been implemented in th</w:t>
      </w:r>
      <w:r w:rsidR="002B6E50">
        <w:t>ose</w:t>
      </w:r>
      <w:r w:rsidR="007405CA">
        <w:t xml:space="preserve"> three states, </w:t>
      </w:r>
      <w:r w:rsidR="004D0D04">
        <w:t xml:space="preserve">their trends of shipment / mortality would have followed the same path as those of the control group. </w:t>
      </w:r>
      <w:r w:rsidR="0040622F">
        <w:t xml:space="preserve">By comparing the trends of the three states with the trends of the control groups after the regulations, we can get closer to measuring the true effect of </w:t>
      </w:r>
      <w:r w:rsidR="00EE35E5">
        <w:t>the regulations.</w:t>
      </w:r>
    </w:p>
    <w:p w14:paraId="2E7A6284" w14:textId="182220D0" w:rsidR="006318EA" w:rsidRDefault="006318EA" w:rsidP="006318EA">
      <w:pPr>
        <w:pStyle w:val="Heading3"/>
      </w:pPr>
      <w:r>
        <w:t>Time Period</w:t>
      </w:r>
    </w:p>
    <w:p w14:paraId="24303D8F" w14:textId="1A9DB01F" w:rsidR="008760DC" w:rsidRDefault="008760DC" w:rsidP="006426FB">
      <w:r>
        <w:t xml:space="preserve">Regulations in each state went into effect in different years, and the data we accessed cover different time periods. </w:t>
      </w:r>
      <w:r w:rsidR="006318EA">
        <w:t>As such, the pre- and post-periods for each analysis are different.</w:t>
      </w:r>
    </w:p>
    <w:p w14:paraId="7C78C341" w14:textId="3C4ECF7C" w:rsidR="006318EA" w:rsidRDefault="006318EA" w:rsidP="006426FB">
      <w:r>
        <w:t>We have laid out the pre- and post-periods for each analysis below to clarify the time periods of each analysis.</w:t>
      </w:r>
    </w:p>
    <w:p w14:paraId="1EE6D654" w14:textId="77777777" w:rsidR="006318EA" w:rsidRPr="001336B9" w:rsidRDefault="006318EA" w:rsidP="006318EA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State      </w:t>
      </w:r>
      <w:r w:rsidRPr="001336B9">
        <w:rPr>
          <w:sz w:val="18"/>
          <w:szCs w:val="18"/>
        </w:rPr>
        <w:tab/>
        <w:t xml:space="preserve">| Analysis              </w:t>
      </w:r>
      <w:r w:rsidRPr="001336B9">
        <w:rPr>
          <w:sz w:val="18"/>
          <w:szCs w:val="18"/>
        </w:rPr>
        <w:tab/>
        <w:t xml:space="preserve">| Regulation Date </w:t>
      </w:r>
      <w:r w:rsidRPr="001336B9">
        <w:rPr>
          <w:sz w:val="18"/>
          <w:szCs w:val="18"/>
        </w:rPr>
        <w:tab/>
        <w:t>| Pre-</w:t>
      </w:r>
      <w:proofErr w:type="gramStart"/>
      <w:r w:rsidRPr="001336B9">
        <w:rPr>
          <w:sz w:val="18"/>
          <w:szCs w:val="18"/>
        </w:rPr>
        <w:t xml:space="preserve">Period  </w:t>
      </w:r>
      <w:r w:rsidRPr="001336B9">
        <w:rPr>
          <w:sz w:val="18"/>
          <w:szCs w:val="18"/>
        </w:rPr>
        <w:tab/>
      </w:r>
      <w:proofErr w:type="gramEnd"/>
      <w:r w:rsidRPr="001336B9">
        <w:rPr>
          <w:sz w:val="18"/>
          <w:szCs w:val="18"/>
        </w:rPr>
        <w:t xml:space="preserve">| Post-Period </w:t>
      </w:r>
      <w:r w:rsidRPr="001336B9">
        <w:rPr>
          <w:sz w:val="18"/>
          <w:szCs w:val="18"/>
        </w:rPr>
        <w:tab/>
        <w:t>|</w:t>
      </w:r>
    </w:p>
    <w:p w14:paraId="18B91F86" w14:textId="77777777" w:rsidR="006318EA" w:rsidRPr="001336B9" w:rsidRDefault="006318EA" w:rsidP="006318EA">
      <w:pPr>
        <w:rPr>
          <w:sz w:val="18"/>
          <w:szCs w:val="18"/>
        </w:rPr>
      </w:pPr>
      <w:r w:rsidRPr="001336B9">
        <w:rPr>
          <w:sz w:val="18"/>
          <w:szCs w:val="18"/>
        </w:rPr>
        <w:t>|------------</w:t>
      </w:r>
      <w:r w:rsidRPr="001336B9">
        <w:rPr>
          <w:sz w:val="18"/>
          <w:szCs w:val="18"/>
        </w:rPr>
        <w:tab/>
        <w:t>|-----------------------</w:t>
      </w:r>
      <w:r w:rsidRPr="001336B9">
        <w:rPr>
          <w:sz w:val="18"/>
          <w:szCs w:val="18"/>
        </w:rPr>
        <w:tab/>
        <w:t>|-----------------</w:t>
      </w:r>
      <w:r w:rsidRPr="001336B9">
        <w:rPr>
          <w:sz w:val="18"/>
          <w:szCs w:val="18"/>
        </w:rPr>
        <w:tab/>
        <w:t>|-------------</w:t>
      </w:r>
      <w:r w:rsidRPr="001336B9">
        <w:rPr>
          <w:sz w:val="18"/>
          <w:szCs w:val="18"/>
        </w:rPr>
        <w:tab/>
        <w:t>|-------------</w:t>
      </w:r>
      <w:r w:rsidRPr="001336B9">
        <w:rPr>
          <w:sz w:val="18"/>
          <w:szCs w:val="18"/>
        </w:rPr>
        <w:tab/>
        <w:t>|</w:t>
      </w:r>
    </w:p>
    <w:p w14:paraId="10FB0457" w14:textId="77777777" w:rsidR="006318EA" w:rsidRPr="001336B9" w:rsidRDefault="006318EA" w:rsidP="006318EA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Florida    </w:t>
      </w:r>
      <w:r w:rsidRPr="001336B9">
        <w:rPr>
          <w:sz w:val="18"/>
          <w:szCs w:val="18"/>
        </w:rPr>
        <w:tab/>
        <w:t xml:space="preserve">| Opioid Shipment       </w:t>
      </w:r>
      <w:r w:rsidRPr="001336B9">
        <w:rPr>
          <w:sz w:val="18"/>
          <w:szCs w:val="18"/>
        </w:rPr>
        <w:tab/>
        <w:t xml:space="preserve">| February, </w:t>
      </w:r>
      <w:proofErr w:type="gramStart"/>
      <w:r w:rsidRPr="001336B9">
        <w:rPr>
          <w:sz w:val="18"/>
          <w:szCs w:val="18"/>
        </w:rPr>
        <w:t xml:space="preserve">2010  </w:t>
      </w:r>
      <w:r w:rsidRPr="001336B9">
        <w:rPr>
          <w:sz w:val="18"/>
          <w:szCs w:val="18"/>
        </w:rPr>
        <w:tab/>
      </w:r>
      <w:proofErr w:type="gramEnd"/>
      <w:r w:rsidRPr="001336B9">
        <w:rPr>
          <w:sz w:val="18"/>
          <w:szCs w:val="18"/>
        </w:rPr>
        <w:t xml:space="preserve">| 2006 - 2009 </w:t>
      </w:r>
      <w:r w:rsidRPr="001336B9">
        <w:rPr>
          <w:sz w:val="18"/>
          <w:szCs w:val="18"/>
        </w:rPr>
        <w:tab/>
        <w:t xml:space="preserve">| 2010 - 2012 </w:t>
      </w:r>
      <w:r w:rsidRPr="001336B9">
        <w:rPr>
          <w:sz w:val="18"/>
          <w:szCs w:val="18"/>
        </w:rPr>
        <w:tab/>
        <w:t>|</w:t>
      </w:r>
    </w:p>
    <w:p w14:paraId="08E23AFA" w14:textId="77777777" w:rsidR="006318EA" w:rsidRPr="001336B9" w:rsidRDefault="006318EA" w:rsidP="006318EA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Florida   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February, </w:t>
      </w:r>
      <w:proofErr w:type="gramStart"/>
      <w:r w:rsidRPr="001336B9">
        <w:rPr>
          <w:sz w:val="18"/>
          <w:szCs w:val="18"/>
        </w:rPr>
        <w:t xml:space="preserve">2010  </w:t>
      </w:r>
      <w:r w:rsidRPr="001336B9">
        <w:rPr>
          <w:sz w:val="18"/>
          <w:szCs w:val="18"/>
        </w:rPr>
        <w:tab/>
      </w:r>
      <w:proofErr w:type="gramEnd"/>
      <w:r w:rsidRPr="001336B9">
        <w:rPr>
          <w:sz w:val="18"/>
          <w:szCs w:val="18"/>
        </w:rPr>
        <w:t xml:space="preserve">| 2003 - 2009 </w:t>
      </w:r>
      <w:r w:rsidRPr="001336B9">
        <w:rPr>
          <w:sz w:val="18"/>
          <w:szCs w:val="18"/>
        </w:rPr>
        <w:tab/>
        <w:t xml:space="preserve">| 2010 - 2015 </w:t>
      </w:r>
      <w:r w:rsidRPr="001336B9">
        <w:rPr>
          <w:sz w:val="18"/>
          <w:szCs w:val="18"/>
        </w:rPr>
        <w:tab/>
        <w:t>|</w:t>
      </w:r>
    </w:p>
    <w:p w14:paraId="69FD333A" w14:textId="77777777" w:rsidR="006318EA" w:rsidRPr="001336B9" w:rsidRDefault="006318EA" w:rsidP="006318EA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Texas     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</w:t>
      </w:r>
      <w:proofErr w:type="gramStart"/>
      <w:r w:rsidRPr="001336B9">
        <w:rPr>
          <w:sz w:val="18"/>
          <w:szCs w:val="18"/>
        </w:rPr>
        <w:t>January,</w:t>
      </w:r>
      <w:proofErr w:type="gramEnd"/>
      <w:r w:rsidRPr="001336B9">
        <w:rPr>
          <w:sz w:val="18"/>
          <w:szCs w:val="18"/>
        </w:rPr>
        <w:t xml:space="preserve"> 2007   </w:t>
      </w:r>
      <w:r w:rsidRPr="001336B9">
        <w:rPr>
          <w:sz w:val="18"/>
          <w:szCs w:val="18"/>
        </w:rPr>
        <w:tab/>
        <w:t xml:space="preserve">| 2003 - 2006 </w:t>
      </w:r>
      <w:r w:rsidRPr="001336B9">
        <w:rPr>
          <w:sz w:val="18"/>
          <w:szCs w:val="18"/>
        </w:rPr>
        <w:tab/>
        <w:t xml:space="preserve">| 2007 - 2015 </w:t>
      </w:r>
      <w:r w:rsidRPr="001336B9">
        <w:rPr>
          <w:sz w:val="18"/>
          <w:szCs w:val="18"/>
        </w:rPr>
        <w:tab/>
        <w:t>|</w:t>
      </w:r>
    </w:p>
    <w:p w14:paraId="006E6CF2" w14:textId="4B657C32" w:rsidR="00EE693C" w:rsidRPr="00846E34" w:rsidRDefault="006318EA" w:rsidP="00F8311A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Washington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</w:t>
      </w:r>
      <w:proofErr w:type="gramStart"/>
      <w:r w:rsidRPr="001336B9">
        <w:rPr>
          <w:sz w:val="18"/>
          <w:szCs w:val="18"/>
        </w:rPr>
        <w:t>January,</w:t>
      </w:r>
      <w:proofErr w:type="gramEnd"/>
      <w:r w:rsidRPr="001336B9">
        <w:rPr>
          <w:sz w:val="18"/>
          <w:szCs w:val="18"/>
        </w:rPr>
        <w:t xml:space="preserve"> 2012   </w:t>
      </w:r>
      <w:r w:rsidRPr="001336B9">
        <w:rPr>
          <w:sz w:val="18"/>
          <w:szCs w:val="18"/>
        </w:rPr>
        <w:tab/>
        <w:t xml:space="preserve">| 2003 - 2011 </w:t>
      </w:r>
      <w:r w:rsidRPr="001336B9">
        <w:rPr>
          <w:sz w:val="18"/>
          <w:szCs w:val="18"/>
        </w:rPr>
        <w:tab/>
        <w:t xml:space="preserve">| 2012 - 2015 </w:t>
      </w:r>
      <w:r w:rsidRPr="001336B9">
        <w:rPr>
          <w:sz w:val="18"/>
          <w:szCs w:val="18"/>
        </w:rPr>
        <w:tab/>
        <w:t>|</w:t>
      </w:r>
    </w:p>
    <w:sectPr w:rsidR="00EE693C" w:rsidRPr="0084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F79"/>
    <w:multiLevelType w:val="hybridMultilevel"/>
    <w:tmpl w:val="A14A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78"/>
    <w:rsid w:val="000334D2"/>
    <w:rsid w:val="00047896"/>
    <w:rsid w:val="00053EDD"/>
    <w:rsid w:val="00061DB3"/>
    <w:rsid w:val="000752A2"/>
    <w:rsid w:val="000A5E3D"/>
    <w:rsid w:val="000D049F"/>
    <w:rsid w:val="000E2573"/>
    <w:rsid w:val="000E2A09"/>
    <w:rsid w:val="000F2252"/>
    <w:rsid w:val="00101CAD"/>
    <w:rsid w:val="001271F4"/>
    <w:rsid w:val="001336B9"/>
    <w:rsid w:val="00142C22"/>
    <w:rsid w:val="0018545A"/>
    <w:rsid w:val="00195A15"/>
    <w:rsid w:val="001E5E2D"/>
    <w:rsid w:val="0020363A"/>
    <w:rsid w:val="00203F2C"/>
    <w:rsid w:val="002174FF"/>
    <w:rsid w:val="0024061F"/>
    <w:rsid w:val="0024137C"/>
    <w:rsid w:val="00282CCF"/>
    <w:rsid w:val="002B6E50"/>
    <w:rsid w:val="002C3B3C"/>
    <w:rsid w:val="002E5E6A"/>
    <w:rsid w:val="003003C9"/>
    <w:rsid w:val="00312240"/>
    <w:rsid w:val="00320C01"/>
    <w:rsid w:val="00361760"/>
    <w:rsid w:val="003D4BE3"/>
    <w:rsid w:val="003E4D14"/>
    <w:rsid w:val="00403420"/>
    <w:rsid w:val="0040622F"/>
    <w:rsid w:val="0042191F"/>
    <w:rsid w:val="00464191"/>
    <w:rsid w:val="004C42CE"/>
    <w:rsid w:val="004D0D04"/>
    <w:rsid w:val="00506C18"/>
    <w:rsid w:val="00521430"/>
    <w:rsid w:val="00521ADF"/>
    <w:rsid w:val="00523EBC"/>
    <w:rsid w:val="00525F92"/>
    <w:rsid w:val="00554F5A"/>
    <w:rsid w:val="00556ECE"/>
    <w:rsid w:val="00566102"/>
    <w:rsid w:val="005706A4"/>
    <w:rsid w:val="005E3F39"/>
    <w:rsid w:val="00602765"/>
    <w:rsid w:val="00620D38"/>
    <w:rsid w:val="006318EA"/>
    <w:rsid w:val="006426FB"/>
    <w:rsid w:val="00644558"/>
    <w:rsid w:val="00650C2A"/>
    <w:rsid w:val="006A5D72"/>
    <w:rsid w:val="006C77A0"/>
    <w:rsid w:val="007240A5"/>
    <w:rsid w:val="00724659"/>
    <w:rsid w:val="0073780B"/>
    <w:rsid w:val="007405CA"/>
    <w:rsid w:val="0074680B"/>
    <w:rsid w:val="00770BAD"/>
    <w:rsid w:val="007A69F9"/>
    <w:rsid w:val="007B664E"/>
    <w:rsid w:val="007E7B48"/>
    <w:rsid w:val="007F769F"/>
    <w:rsid w:val="00803D51"/>
    <w:rsid w:val="008343F1"/>
    <w:rsid w:val="00846E34"/>
    <w:rsid w:val="00874CD6"/>
    <w:rsid w:val="008760DC"/>
    <w:rsid w:val="008918C7"/>
    <w:rsid w:val="008A4AC8"/>
    <w:rsid w:val="008B7805"/>
    <w:rsid w:val="008C603D"/>
    <w:rsid w:val="008D243E"/>
    <w:rsid w:val="008E021E"/>
    <w:rsid w:val="009377ED"/>
    <w:rsid w:val="00942AF6"/>
    <w:rsid w:val="00944CE0"/>
    <w:rsid w:val="009C0958"/>
    <w:rsid w:val="009D1F3F"/>
    <w:rsid w:val="00A125BA"/>
    <w:rsid w:val="00A977EE"/>
    <w:rsid w:val="00AA0641"/>
    <w:rsid w:val="00AB0B93"/>
    <w:rsid w:val="00AB7428"/>
    <w:rsid w:val="00AD5A9A"/>
    <w:rsid w:val="00AE49B0"/>
    <w:rsid w:val="00B278DD"/>
    <w:rsid w:val="00B66114"/>
    <w:rsid w:val="00B72BEA"/>
    <w:rsid w:val="00B77B70"/>
    <w:rsid w:val="00BB4384"/>
    <w:rsid w:val="00C35CAA"/>
    <w:rsid w:val="00C56E8B"/>
    <w:rsid w:val="00C8383C"/>
    <w:rsid w:val="00C94F58"/>
    <w:rsid w:val="00CC65AC"/>
    <w:rsid w:val="00CE010E"/>
    <w:rsid w:val="00CF33A8"/>
    <w:rsid w:val="00D02F2D"/>
    <w:rsid w:val="00D10B08"/>
    <w:rsid w:val="00D54D67"/>
    <w:rsid w:val="00DE0572"/>
    <w:rsid w:val="00DE5016"/>
    <w:rsid w:val="00DF275B"/>
    <w:rsid w:val="00E12A9D"/>
    <w:rsid w:val="00E20928"/>
    <w:rsid w:val="00E358B8"/>
    <w:rsid w:val="00E60BD2"/>
    <w:rsid w:val="00EA65D9"/>
    <w:rsid w:val="00EA69C1"/>
    <w:rsid w:val="00EB0437"/>
    <w:rsid w:val="00ED234D"/>
    <w:rsid w:val="00EE35E5"/>
    <w:rsid w:val="00EE693C"/>
    <w:rsid w:val="00F01815"/>
    <w:rsid w:val="00F12E47"/>
    <w:rsid w:val="00F232CE"/>
    <w:rsid w:val="00F47DD0"/>
    <w:rsid w:val="00F5524D"/>
    <w:rsid w:val="00F6726A"/>
    <w:rsid w:val="00F73078"/>
    <w:rsid w:val="00F8311A"/>
    <w:rsid w:val="00F87791"/>
    <w:rsid w:val="00FC5C6D"/>
    <w:rsid w:val="00FD131C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B579"/>
  <w15:chartTrackingRefBased/>
  <w15:docId w15:val="{C5D51313-1E52-4903-9F17-9E7FCDC8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2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42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489C06998F34B897A20A67E586CB2" ma:contentTypeVersion="0" ma:contentTypeDescription="Create a new document." ma:contentTypeScope="" ma:versionID="f394992e597db98b0a2691a1494558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50c3fe4cf68e3b4fc66db34d189a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5852C-F737-4EEA-B713-1652C26C1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B29DC3-C5F5-44D7-B6AB-98CA0C5E2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946A7-F16C-457F-9CFC-484BE0A09D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Wan</dc:creator>
  <cp:keywords/>
  <dc:description/>
  <cp:lastModifiedBy>Robert Wan</cp:lastModifiedBy>
  <cp:revision>122</cp:revision>
  <dcterms:created xsi:type="dcterms:W3CDTF">2021-11-08T17:02:00Z</dcterms:created>
  <dcterms:modified xsi:type="dcterms:W3CDTF">2021-11-09T04:53:00Z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0x0101009FA489C06998F34B897A20A67E586CB2</vt:lpwstr>
  </property>
</Properties>
</file>