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body>
    <w:p>
      <w:pPr>
        <w:pStyle w:val="Title"/>
      </w:pPr>
      <w:r>
        <w:t xml:space="preserve">Quarterly Platform Reliability Report</w:t>
      </w:r>
    </w:p>
    <w:p>
      <w:r>
        <w:t xml:space="preserve">Prepared by the platform engineering group. </w:t>
      </w:r>
      <w:r>
        <w:t xml:space="preserve">Platform reliability held within target across the quarter, with the residual variance attributable to a single upstream provider incident. Deployment cadence was unchanged and rollback frequency continued to fall. </w:t>
      </w:r>
      <w:r>
        <w:rPr>
          <w:rStyle w:val="FootnoteReference"/>
          <w:vertAlign w:val="superscript"/>
        </w:rPr>
        <w:footnoteReference w:id="1"/>
      </w:r>
    </w:p>
    <w:p>
      <w:pPr>
        <w:pStyle w:val="Heading1"/>
      </w:pPr>
      <w:r>
        <w:t xml:space="preserve">Findings</w:t>
      </w:r>
    </w:p>
    <w:p>
      <w:r>
        <w:pict>
          <v:shape id="pullquote1" type="#_x0000_t202" style="position:absolute;margin-left:300pt;margin-top:6pt;width:170pt;height:86pt;z-index:251659264" fillcolor="#f4f4f5" strokecolor="#a1a1aa" strokeweight="0.75pt">
            <v:textbox inset="6pt,6pt,6pt,6pt">
              <w:txbxContent>
                <w:p>
                  <w:r>
                    <w:rPr>
                      <w:i/>
                      <w:sz w:val="20"/>
                    </w:rPr>
                    <w:t xml:space="preserve">"Rollback frequency fell for the fourth consecutive quarter."</w:t>
                  </w:r>
                </w:p>
              </w:txbxContent>
            </v:textbox>
            <w10:wrap type="square"/>
          </v:shape>
        </w:pict>
      </w:r>
    </w:p>
    <w:p>
      <w:r>
        <w:t xml:space="preserve">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</w:t>
      </w:r>
    </w:p>
    <w:p>
      <w:pPr>
        <w:pStyle w:val="Heading1"/>
      </w:pPr>
      <w:r>
        <w:t xml:space="preserve">Ranked observations</w:t>
      </w:r>
    </w:p>
    <w:p>
      <w:pPr>
        <w:numPr>
          <w:ilvl w:val="0"/>
          <w:numId w:val="1"/>
        </w:numPr>
      </w:pPr>
      <w:r>
        <w:t xml:space="preserve">Availability</w:t>
      </w:r>
    </w:p>
    <w:p>
      <w:pPr>
        <w:numPr>
          <w:ilvl w:val="1"/>
          <w:numId w:val="1"/>
        </w:numPr>
      </w:pPr>
      <w:r>
        <w:t xml:space="preserve">Upstream provider incident</w:t>
      </w:r>
    </w:p>
    <w:p>
      <w:pPr>
        <w:numPr>
          <w:ilvl w:val="2"/>
          <w:numId w:val="1"/>
        </w:numPr>
      </w:pPr>
      <w:r>
        <w:t xml:space="preserve">Root cause was a DNS propagation delay</w:t>
      </w:r>
    </w:p>
    <w:p>
      <w:pPr>
        <w:numPr>
          <w:ilvl w:val="2"/>
          <w:numId w:val="1"/>
        </w:numPr>
      </w:pPr>
      <w:r>
        <w:t xml:space="preserve">Mitigation shipped in release 4.2</w:t>
      </w:r>
      <w:r>
        <w:rPr>
          <w:rStyle w:val="FootnoteReference"/>
          <w:vertAlign w:val="superscript"/>
        </w:rPr>
        <w:footnoteReference w:id="2"/>
      </w:r>
    </w:p>
    <w:p>
      <w:pPr>
        <w:numPr>
          <w:ilvl w:val="1"/>
          <w:numId w:val="1"/>
        </w:numPr>
      </w:pPr>
      <w:r>
        <w:t xml:space="preserve">Regional failover</w:t>
      </w:r>
    </w:p>
    <w:p>
      <w:pPr>
        <w:numPr>
          <w:ilvl w:val="0"/>
          <w:numId w:val="1"/>
        </w:numPr>
      </w:pPr>
      <w:r>
        <w:t xml:space="preserve">Deployment quality</w:t>
      </w:r>
    </w:p>
    <w:p>
      <w:pPr>
        <w:numPr>
          <w:ilvl w:val="1"/>
          <w:numId w:val="1"/>
        </w:numPr>
      </w:pPr>
      <w:r>
        <w:t xml:space="preserve">Rollback frequency</w:t>
      </w:r>
    </w:p>
    <w:p>
      <w:pPr>
        <w:numPr>
          <w:ilvl w:val="1"/>
          <w:numId w:val="1"/>
        </w:numPr>
      </w:pPr>
      <w:r>
        <w:t xml:space="preserve">Change failure rate</w:t>
      </w:r>
    </w:p>
    <w:p>
      <w:pPr>
        <w:numPr>
          <w:ilvl w:val="0"/>
          <w:numId w:val="1"/>
        </w:numPr>
      </w:pPr>
      <w:r>
        <w:t xml:space="preserve">Cost and capacity</w:t>
      </w:r>
    </w:p>
    <w:p>
      <w:pPr>
        <w:pStyle w:val="Heading1"/>
      </w:pPr>
      <w:r>
        <w:t xml:space="preserve">Illustrated summary</w:t>
      </w:r>
    </w:p>
    <w:p>
      <w: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00200" cy="1066800"/>
            <wp:effectExtent l="0" t="0" r="0" b="0"/>
            <wp:wrapSquare wrapText="bothSides"/>
            <wp:docPr id="7" name="Chart"/>
            <wp:cNvGraphicFramePr/>
            <a:graphic>
              <a:graphicData uri="http://schemas.openxmlformats.org/drawingml/2006/picture">
                <pic:pic>
                  <pic:nvPicPr>
                    <pic:cNvPr id="7" name="Chart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</w:t>
      </w:r>
    </w:p>
    <w:p>
      <w:pPr>
        <w:pStyle w:val="Heading1"/>
      </w:pPr>
      <w:r>
        <w:t xml:space="preserve">Structured data</w:t>
      </w:r>
    </w:p>
    <w:tbl>
      <w:tblPr>
        <w:tblW w:w="8400" w:type="dxa"/>
        <w:tblBorders>
          <w:top w:val="single" w:sz="6" w:color="AAAAAA"/>
          <w:left w:val="single" w:sz="6" w:color="AAAAAA"/>
          <w:bottom w:val="single" w:sz="6" w:color="AAAAAA"/>
          <w:right w:val="single" w:sz="6" w:color="AAAAAA"/>
          <w:insideH w:val="single" w:sz="6" w:color="AAAAAA"/>
          <w:insideV w:val="single" w:sz="6" w:color="AAAAAA"/>
        </w:tblBorders>
      </w:tblPr>
      <w:tr>
        <w:tc>
          <w:tcPr>
            <w:tcW w:w="4200" w:type="dxa"/>
          </w:tcPr>
          <w:p>
            <w:r>
              <w:rPr>
                <w:b/>
              </w:rPr>
              <w:t xml:space="preserve">Outer heading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Contains a nested table</w:t>
            </w:r>
          </w:p>
        </w:tc>
      </w:tr>
      <w:tr>
        <w:tc>
          <w:tcPr>
            <w:tcW w:w="4200" w:type="dxa"/>
          </w:tcPr>
          <w:p>
            <w:r>
              <w:t xml:space="preserve">Row with child</w:t>
            </w:r>
          </w:p>
        </w:tc>
        <w:tc>
          <w:tcPr>
            <w:tcW w:w="4200" w:type="dxa"/>
          </w:tcPr>
          <w:tbl>
            <w:tblPr>
              <w:tblW w:w="3600" w:type="dxa"/>
              <w:tblBorders>
                <w:top w:val="single" w:sz="6" w:color="AAAAAA"/>
                <w:left w:val="single" w:sz="6" w:color="AAAAAA"/>
                <w:bottom w:val="single" w:sz="6" w:color="AAAAAA"/>
                <w:right w:val="single" w:sz="6" w:color="AAAAAA"/>
                <w:insideH w:val="single" w:sz="6" w:color="AAAAAA"/>
                <w:insideV w:val="single" w:sz="6" w:color="AAAAAA"/>
              </w:tblBorders>
            </w:tblPr>
            <w:tr>
              <w:tc>
                <w:tcPr>
                  <w:tcW w:w="1800" w:type="dxa"/>
                </w:tcPr>
                <w:p>
                  <w:r>
                    <w:rPr>
                      <w:b/>
                    </w:rPr>
                    <w:t xml:space="preserve">Inner A</w:t>
                  </w:r>
                </w:p>
              </w:tc>
              <w:tc>
                <w:tcPr>
                  <w:tcW w:w="1800" w:type="dxa"/>
                </w:tcPr>
                <w:p>
                  <w:r>
                    <w:rPr>
                      <w:b/>
                    </w:rPr>
                    <w:t xml:space="preserve">Inner 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nested 1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nested 2</w:t>
                  </w:r>
                </w:p>
              </w:tc>
            </w:tr>
          </w:tbl>
          <w:p/>
        </w:tc>
      </w:tr>
    </w:tbl>
    <w:p/>
    <w:p>
      <w:pPr>
        <w:pStyle w:val="Heading1"/>
        <w:bidi/>
        <w:jc w:val="right"/>
      </w:pPr>
      <w:r>
        <w:t xml:space="preserve">סיכום בעברית</w:t>
      </w:r>
    </w:p>
    <w:p>
      <w:pPr>
        <w:bidi/>
        <w:jc w:val="right"/>
      </w:pPr>
      <w:r>
        <w:rPr>
          <w:rtl/>
        </w:rPr>
        <w:t xml:space="preserve">פסקה בעברית הכתובה מימין לשמאל, כדי לבדוק את כיוון הטקסט וסימון הריצה.</w:t>
      </w:r>
      <w:r>
        <w:rPr>
          <w:rStyle w:val="FootnoteReference"/>
          <w:vertAlign w:val="superscript"/>
        </w:rPr>
        <w:footnoteReference w:id="3"/>
      </w:r>
    </w:p>
    <w:p>
      <w:pPr>
        <w:bidi/>
        <w:jc w:val="right"/>
      </w:pPr>
      <w:r>
        <w:rPr>
          <w:rtl/>
        </w:rPr>
        <w:t xml:space="preserve">שורה נוספת בעברית עם מספרים 1,250 בתוך המשפט.</w:t>
      </w:r>
    </w:p>
    <w:tbl>
      <w:tblPr>
        <w:bidiVisual/>
        <w:tblW w:w="8400" w:type="dxa"/>
        <w:tblBorders>
          <w:top w:val="single" w:sz="6" w:color="AAAAAA"/>
          <w:left w:val="single" w:sz="6" w:color="AAAAAA"/>
          <w:bottom w:val="single" w:sz="6" w:color="AAAAAA"/>
          <w:right w:val="single" w:sz="6" w:color="AAAAAA"/>
          <w:insideH w:val="single" w:sz="6" w:color="AAAAAA"/>
          <w:insideV w:val="single" w:sz="6" w:color="AAAAAA"/>
        </w:tblBorders>
      </w:tblPr>
      <w:tr>
        <w:tc>
          <w:tcPr>
            <w:tcW w:w="4200" w:type="dxa"/>
          </w:tcPr>
          <w:p>
            <w:pPr>
              <w:bidi/>
              <w:jc w:val="right"/>
            </w:pPr>
            <w:r>
              <w:rPr>
                <w:b/>
                <w:rtl/>
              </w:rPr>
              <w:t xml:space="preserve">אזור</w:t>
            </w:r>
          </w:p>
        </w:tc>
        <w:tc>
          <w:tcPr>
            <w:tcW w:w="4200" w:type="dxa"/>
          </w:tcPr>
          <w:p>
            <w:pPr>
              <w:bidi/>
              <w:jc w:val="right"/>
            </w:pPr>
            <w:r>
              <w:rPr>
                <w:b/>
                <w:rtl/>
              </w:rPr>
              <w:t xml:space="preserve">סכום</w:t>
            </w:r>
          </w:p>
        </w:tc>
      </w:tr>
      <w:tr>
        <w:tc>
          <w:tcPr>
            <w:tcW w:w="420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צפון</w:t>
            </w:r>
          </w:p>
        </w:tc>
        <w:tc>
          <w:tcPr>
            <w:tcW w:w="420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19,500</w:t>
            </w:r>
          </w:p>
        </w:tc>
      </w:tr>
    </w:tbl>
    <w:p/>
    <w:p>
      <w:pPr>
        <w:sectPr>
          <w:headerReference w:type="first" r:id="rIdH2"/>
          <w:headerReference w:type="default" r:id="rIdH1"/>
          <w:footerReference w:type="default" r:id="rIdF1"/>
          <w:titlePg/>
          <w:pgSz w:w="12240" w:h="15840"/>
          <w:pgMar w:top="1440" w:right="1440" w:bottom="1440" w:left="1440" w:header="720" w:footer="720"/>
          <w:cols w:space="425"/>
        </w:sectPr>
      </w:pPr>
    </w:p>
    <w:p>
      <w:pPr>
        <w:pStyle w:val="Heading1"/>
      </w:pPr>
      <w:r>
        <w:t xml:space="preserve">Two-column appendix</w:t>
      </w:r>
    </w:p>
    <w:p>
      <w:r>
        <w:t xml:space="preserve">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</w:t>
      </w:r>
    </w:p>
    <w:p>
      <w:r>
        <w:t xml:space="preserve">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Platform reliability held within target across the quarter, with the residual variance attributable to a single upstream provider incident. Deployment cadence was unchanged and rollback frequency continued to fall. </w:t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/>
      <w:cols w:num="2" w:space="425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p>
    <w:pPr>
      <w:jc w:val="center"/>
    </w:pPr>
    <w:r>
      <w:rPr>
        <w:sz w:val="16"/>
        <w:color w:val="595959"/>
      </w:rPr>
      <w:t xml:space="preserve">Platform Engineering  ·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595959"/>
      </w:rPr>
      <w:t>1</w:t>
    </w:r>
    <w:r>
      <w:fldChar w:fldCharType="end"/>
    </w:r>
    <w:r>
      <w:rPr>
        <w:sz w:val="16"/>
        <w:color w:val="595959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sz w:val="16"/>
        <w:color w:val="595959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Footnote 1: measurement taken from the production telemetry pipeline.</w:t>
      </w:r>
    </w:p>
  </w:footnote>
  <w:footnote w:id="2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Footnote 2: measurement taken from the production telemetry pipeline.</w:t>
      </w:r>
    </w:p>
  </w:footnote>
  <w:footnote w:id="3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Footnote 3: measurement taken from the production telemetry pipeline.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p>
    <w:pPr>
      <w:jc w:val="right"/>
    </w:pPr>
    <w:r>
      <w:rPr>
        <w:sz w:val="16"/>
        <w:color w:val="595959"/>
      </w:rPr>
      <w:t xml:space="preserve">Internal Engineering Report  ·  Confidential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p>
    <w:pPr>
      <w:jc w:val="center"/>
    </w:pPr>
    <w:r>
      <w:rPr>
        <w:b/>
        <w:sz w:val="18"/>
        <w:color w:val="C00000"/>
      </w:rPr>
      <w:t xml:space="preserve">DRAFT — FIRST PAGE HEADER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504"/>
      </w:pPr>
    </w:lvl>
    <w:lvl w:ilvl="2">
      <w:start w:val="1"/>
      <w:numFmt w:val="decimal"/>
      <w:lvlText w:val="%1.%2.%3."/>
      <w:lvlJc w:val="left"/>
      <w:pPr>
        <w:ind w:left="2160" w:hanging="648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before="240" w:after="120"/>
      <w:outlineLvl w:val="0"/>
    </w:pPr>
    <w:rPr>
      <w:rFonts w:ascii="Cambria" w:hAnsi="Cambria"/>
      <w:sz w:val="52"/>
      <w:b/>
      <w:color w:val="1F3864"/>
    </w:rPr>
  </w:style>
  <w:style w:type="paragraph" w:styleId="Heading1">
    <w:name w:val="heading 1"/>
    <w:pPr>
      <w:spacing w:before="240" w:after="120"/>
      <w:outlineLvl w:val="0"/>
    </w:pPr>
    <w:rPr>
      <w:rFonts w:ascii="Cambria" w:hAnsi="Cambria"/>
      <w:sz w:val="32"/>
      <w:b/>
      <w:color w:val="2E74B5"/>
    </w:rPr>
  </w:style>
  <w:style w:type="paragraph" w:styleId="FootnoteText">
    <w:name w:val="footnote text"/>
    <w:rPr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n" Type="http://schemas.openxmlformats.org/officeDocument/2006/relationships/footnotes" Target="footnotes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F1" Type="http://schemas.openxmlformats.org/officeDocument/2006/relationships/footer" Target="footer1.xml"/><Relationship Id="rIdImg" Type="http://schemas.openxmlformats.org/officeDocument/2006/relationships/image" Target="media/image1.png"/></Relationships>
</file>