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64A56"/>
          <w:sz w:val="36"/>
          <w:szCs w:val="36"/>
        </w:rPr>
        <w:t xml:space="preserve">Freight Rate Prediction – Validation &amp; Approach Report</w:t>
      </w:r>
    </w:p>
    <w:p>
      <w:pPr>
        <w:pStyle w:val="Heading1"/>
      </w:pPr>
      <w:r>
        <w:t xml:space="preserve">1. Problem and key observation</w:t>
      </w:r>
    </w:p>
    <w:p>
      <w:pPr>
        <w:spacing w:after="120"/>
      </w:pPr>
      <w:r>
        <w:t xml:space="preserve">Goal: predict the posted rate of each of the 12,000 loads in validation.csv (Nov–Dec 2025) using 48,000 labelled loads (train_test.csv, Jan–Oct 2025). The key observation that drives the split design: validation.csv is strictly later in time than every labelled row, and 12% of its rows involve 8 cities (Chicago, Charlotte, Knoxville, Jackson, Norfolk, Allentown, Laredo, San Diego) that never appear in training.</w:t>
      </w:r>
    </w:p>
    <w:p>
      <w:pPr>
        <w:pStyle w:val="Heading1"/>
      </w:pPr>
      <w:r>
        <w:t xml:space="preserve">2. Data findings and quality issues</w:t>
      </w:r>
    </w:p>
    <w:p>
      <w:pPr>
        <w:pStyle w:val="ListParagraph"/>
        <w:numPr>
          <w:ilvl w:val="0"/>
          <w:numId w:val="2"/>
        </w:numPr>
        <w:spacing w:after="60"/>
      </w:pPr>
      <w:r>
        <w:t xml:space="preserve">Rate is almost proportional to distance (corr 0.91; 0.97 in logs). $/mile falls from about $2.9 at 100 mi to $1.85 at 3,000 mi; Reefer &gt; Flatbed &gt; Dry Van; market_index and quote_signal add signal; origin/destination region shifts the rate by about ±3%; day of week adds about 1.5%.</w:t>
      </w:r>
    </w:p>
    <w:p>
      <w:pPr>
        <w:pStyle w:val="ListParagraph"/>
        <w:numPr>
          <w:ilvl w:val="0"/>
          <w:numId w:val="2"/>
        </w:numPr>
        <w:spacing w:after="60"/>
      </w:pPr>
      <w:r>
        <w:t xml:space="preserve">Corrupt labels: about 1.4% of rates are 2–4.5x too high or 2–5x too low versus comparable loads. They are removed from training only (robust 5-sigma rule on a first-pass fit) and I report metrics both on all rows and on non-corrupt rows.</w:t>
      </w:r>
    </w:p>
    <w:p>
      <w:pPr>
        <w:pStyle w:val="ListParagraph"/>
        <w:numPr>
          <w:ilvl w:val="0"/>
          <w:numId w:val="2"/>
        </w:numPr>
        <w:spacing w:after="60"/>
      </w:pPr>
      <w:r>
        <w:t xml:space="preserve">Weight: 292 negative values (sign errors, fixed with abs), 300 missing, hard cap at 47,500 (values clipped). market_index: 374 missing, filled with that day’s median. Row-level market_index is noisy (daily sd 0.025), the daily aggregate is stable.</w:t>
      </w:r>
    </w:p>
    <w:p>
      <w:pPr>
        <w:pStyle w:val="ListParagraph"/>
        <w:numPr>
          <w:ilvl w:val="0"/>
          <w:numId w:val="2"/>
        </w:numPr>
        <w:spacing w:after="60"/>
      </w:pPr>
      <w:r>
        <w:t xml:space="preserve">Distance varies about 2% within a lane and up to 1.7x haversine for some rows; rate follows the stated distance, so it is kept as is.</w:t>
      </w:r>
    </w:p>
    <w:p>
      <w:pPr>
        <w:pStyle w:val="ListParagraph"/>
        <w:numPr>
          <w:ilvl w:val="0"/>
          <w:numId w:val="2"/>
        </w:numPr>
        <w:spacing w:after="60"/>
      </w:pPr>
      <w:r>
        <w:t xml:space="preserve">Slow time drift: after controlling for all features, the daily rate level rises by about 6% from January to October and is not explained by market_index. This is the main source of error for Nov–Dec.</w:t>
      </w:r>
    </w:p>
    <w:p>
      <w:pPr>
        <w:spacing w:after="120"/>
        <w:jc w:val="center"/>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47850"/>
                    </a:xfrm>
                    <a:prstGeom prst="rect">
                      <a:avLst/>
                    </a:prstGeom>
                  </pic:spPr>
                </pic:pic>
              </a:graphicData>
            </a:graphic>
          </wp:inline>
        </w:drawing>
      </w:r>
    </w:p>
    <w:p>
      <w:pPr>
        <w:pStyle w:val="Heading1"/>
      </w:pPr>
      <w:r>
        <w:t xml:space="preserve">3. Train / validation split approach</w:t>
      </w:r>
    </w:p>
    <w:p>
      <w:pPr>
        <w:spacing w:after="120"/>
      </w:pPr>
      <w:r>
        <w:t xml:space="preserve">A random K-fold would mix future and past days and leak the date-level drift, giving a misleadingly good score. Instead I use forward-chaining folds: each fold trains only on dates strictly before a 2-month test window (Mar–Apr, May–Jun, Jul–Aug, Sep–Oct). A fifth fold additionally hides 8 random cities from training and tests on Sep–Oct loads touching them, which mirrors validation.csv (later dates and unseen cities). Final model: refit on all 48,000 labelled loads.</w:t>
      </w:r>
    </w:p>
    <w:p>
      <w:pPr>
        <w:spacing w:after="80"/>
      </w:pPr>
      <w:r>
        <w:rPr>
          <w:b/>
          <w:bCs/>
        </w:rPr>
        <w:t xml:space="preserve">Results (non-corrupt rows; the first fold has only 2 months of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150"/>
        <w:gridCol w:w="1150"/>
        <w:gridCol w:w="1150"/>
        <w:gridCol w:w="1510"/>
      </w:tblGrid>
      <w:tr>
        <w:tc>
          <w:tcPr>
            <w:tcW w:type="dxa" w:w="3500"/>
            <w:shd w:fill="064A56" w:val="clear"/>
            <w:tcMar>
              <w:top w:type="dxa" w:w="60"/>
              <w:left w:type="dxa" w:w="90"/>
              <w:bottom w:type="dxa" w:w="60"/>
              <w:right w:type="dxa" w:w="90"/>
            </w:tcMar>
          </w:tcPr>
          <w:p>
            <w:r>
              <w:rPr>
                <w:b/>
                <w:bCs/>
                <w:color w:val="FFFFFF"/>
                <w:sz w:val="18"/>
                <w:szCs w:val="18"/>
              </w:rPr>
              <w:t xml:space="preserve">Fold (train -&gt; test)</w:t>
            </w:r>
          </w:p>
        </w:tc>
        <w:tc>
          <w:tcPr>
            <w:tcW w:type="dxa" w:w="900"/>
            <w:shd w:fill="064A56" w:val="clear"/>
            <w:tcMar>
              <w:top w:type="dxa" w:w="60"/>
              <w:left w:type="dxa" w:w="90"/>
              <w:bottom w:type="dxa" w:w="60"/>
              <w:right w:type="dxa" w:w="90"/>
            </w:tcMar>
          </w:tcPr>
          <w:p>
            <w:r>
              <w:rPr>
                <w:b/>
                <w:bCs/>
                <w:color w:val="FFFFFF"/>
                <w:sz w:val="18"/>
                <w:szCs w:val="18"/>
              </w:rPr>
              <w:t xml:space="preserve">Test rows</w:t>
            </w:r>
          </w:p>
        </w:tc>
        <w:tc>
          <w:tcPr>
            <w:tcW w:type="dxa" w:w="1150"/>
            <w:shd w:fill="064A56" w:val="clear"/>
            <w:tcMar>
              <w:top w:type="dxa" w:w="60"/>
              <w:left w:type="dxa" w:w="90"/>
              <w:bottom w:type="dxa" w:w="60"/>
              <w:right w:type="dxa" w:w="90"/>
            </w:tcMar>
          </w:tcPr>
          <w:p>
            <w:r>
              <w:rPr>
                <w:b/>
                <w:bCs/>
                <w:color w:val="FFFFFF"/>
                <w:sz w:val="18"/>
                <w:szCs w:val="18"/>
              </w:rPr>
              <w:t xml:space="preserve">MAPE %</w:t>
            </w:r>
          </w:p>
        </w:tc>
        <w:tc>
          <w:tcPr>
            <w:tcW w:type="dxa" w:w="1150"/>
            <w:shd w:fill="064A56" w:val="clear"/>
            <w:tcMar>
              <w:top w:type="dxa" w:w="60"/>
              <w:left w:type="dxa" w:w="90"/>
              <w:bottom w:type="dxa" w:w="60"/>
              <w:right w:type="dxa" w:w="90"/>
            </w:tcMar>
          </w:tcPr>
          <w:p>
            <w:r>
              <w:rPr>
                <w:b/>
                <w:bCs/>
                <w:color w:val="FFFFFF"/>
                <w:sz w:val="18"/>
                <w:szCs w:val="18"/>
              </w:rPr>
              <w:t xml:space="preserve">MAE $</w:t>
            </w:r>
          </w:p>
        </w:tc>
        <w:tc>
          <w:tcPr>
            <w:tcW w:type="dxa" w:w="1150"/>
            <w:shd w:fill="064A56" w:val="clear"/>
            <w:tcMar>
              <w:top w:type="dxa" w:w="60"/>
              <w:left w:type="dxa" w:w="90"/>
              <w:bottom w:type="dxa" w:w="60"/>
              <w:right w:type="dxa" w:w="90"/>
            </w:tcMar>
          </w:tcPr>
          <w:p>
            <w:r>
              <w:rPr>
                <w:b/>
                <w:bCs/>
                <w:color w:val="FFFFFF"/>
                <w:sz w:val="18"/>
                <w:szCs w:val="18"/>
              </w:rPr>
              <w:t xml:space="preserve">RMSE $</w:t>
            </w:r>
          </w:p>
        </w:tc>
        <w:tc>
          <w:tcPr>
            <w:tcW w:type="dxa" w:w="1510"/>
            <w:shd w:fill="064A56" w:val="clear"/>
            <w:tcMar>
              <w:top w:type="dxa" w:w="60"/>
              <w:left w:type="dxa" w:w="90"/>
              <w:bottom w:type="dxa" w:w="60"/>
              <w:right w:type="dxa" w:w="90"/>
            </w:tcMar>
          </w:tcPr>
          <w:p>
            <w:r>
              <w:rPr>
                <w:b/>
                <w:bCs/>
                <w:color w:val="FFFFFF"/>
                <w:sz w:val="18"/>
                <w:szCs w:val="18"/>
              </w:rPr>
              <w:t xml:space="preserve">Bias %</w:t>
            </w:r>
          </w:p>
        </w:tc>
      </w:tr>
      <w:tr>
        <w:tc>
          <w:tcPr>
            <w:tcW w:type="dxa" w:w="3500"/>
            <w:tcMar>
              <w:top w:type="dxa" w:w="60"/>
              <w:left w:type="dxa" w:w="90"/>
              <w:bottom w:type="dxa" w:w="60"/>
              <w:right w:type="dxa" w:w="90"/>
            </w:tcMar>
          </w:tcPr>
          <w:p>
            <w:r>
              <w:rPr>
                <w:b w:val="false"/>
                <w:bCs w:val="false"/>
                <w:color w:val="000000"/>
                <w:sz w:val="18"/>
                <w:szCs w:val="18"/>
              </w:rPr>
              <w:t xml:space="preserve">Train Jan-Feb -&gt; Mar-Apr</w:t>
            </w:r>
          </w:p>
        </w:tc>
        <w:tc>
          <w:tcPr>
            <w:tcW w:type="dxa" w:w="900"/>
            <w:tcMar>
              <w:top w:type="dxa" w:w="60"/>
              <w:left w:type="dxa" w:w="90"/>
              <w:bottom w:type="dxa" w:w="60"/>
              <w:right w:type="dxa" w:w="90"/>
            </w:tcMar>
          </w:tcPr>
          <w:p>
            <w:r>
              <w:rPr>
                <w:b w:val="false"/>
                <w:bCs w:val="false"/>
                <w:color w:val="000000"/>
                <w:sz w:val="18"/>
                <w:szCs w:val="18"/>
              </w:rPr>
              <w:t xml:space="preserve">9855</w:t>
            </w:r>
          </w:p>
        </w:tc>
        <w:tc>
          <w:tcPr>
            <w:tcW w:type="dxa" w:w="1150"/>
            <w:tcMar>
              <w:top w:type="dxa" w:w="60"/>
              <w:left w:type="dxa" w:w="90"/>
              <w:bottom w:type="dxa" w:w="60"/>
              <w:right w:type="dxa" w:w="90"/>
            </w:tcMar>
          </w:tcPr>
          <w:p>
            <w:r>
              <w:rPr>
                <w:b w:val="false"/>
                <w:bCs w:val="false"/>
                <w:color w:val="000000"/>
                <w:sz w:val="18"/>
                <w:szCs w:val="18"/>
              </w:rPr>
              <w:t xml:space="preserve">6.24</w:t>
            </w:r>
          </w:p>
        </w:tc>
        <w:tc>
          <w:tcPr>
            <w:tcW w:type="dxa" w:w="1150"/>
            <w:tcMar>
              <w:top w:type="dxa" w:w="60"/>
              <w:left w:type="dxa" w:w="90"/>
              <w:bottom w:type="dxa" w:w="60"/>
              <w:right w:type="dxa" w:w="90"/>
            </w:tcMar>
          </w:tcPr>
          <w:p>
            <w:r>
              <w:rPr>
                <w:b w:val="false"/>
                <w:bCs w:val="false"/>
                <w:color w:val="000000"/>
                <w:sz w:val="18"/>
                <w:szCs w:val="18"/>
              </w:rPr>
              <w:t xml:space="preserve">128</w:t>
            </w:r>
          </w:p>
        </w:tc>
        <w:tc>
          <w:tcPr>
            <w:tcW w:type="dxa" w:w="1150"/>
            <w:tcMar>
              <w:top w:type="dxa" w:w="60"/>
              <w:left w:type="dxa" w:w="90"/>
              <w:bottom w:type="dxa" w:w="60"/>
              <w:right w:type="dxa" w:w="90"/>
            </w:tcMar>
          </w:tcPr>
          <w:p>
            <w:r>
              <w:rPr>
                <w:b w:val="false"/>
                <w:bCs w:val="false"/>
                <w:color w:val="000000"/>
                <w:sz w:val="18"/>
                <w:szCs w:val="18"/>
              </w:rPr>
              <w:t xml:space="preserve">210</w:t>
            </w:r>
          </w:p>
        </w:tc>
        <w:tc>
          <w:tcPr>
            <w:tcW w:type="dxa" w:w="1510"/>
            <w:tcMar>
              <w:top w:type="dxa" w:w="60"/>
              <w:left w:type="dxa" w:w="90"/>
              <w:bottom w:type="dxa" w:w="60"/>
              <w:right w:type="dxa" w:w="90"/>
            </w:tcMar>
          </w:tcPr>
          <w:p>
            <w:r>
              <w:rPr>
                <w:b w:val="false"/>
                <w:bCs w:val="false"/>
                <w:color w:val="000000"/>
                <w:sz w:val="18"/>
                <w:szCs w:val="18"/>
              </w:rPr>
              <w:t xml:space="preserve">-3.56</w:t>
            </w:r>
          </w:p>
        </w:tc>
      </w:tr>
      <w:tr>
        <w:tc>
          <w:tcPr>
            <w:tcW w:type="dxa" w:w="3500"/>
            <w:tcMar>
              <w:top w:type="dxa" w:w="60"/>
              <w:left w:type="dxa" w:w="90"/>
              <w:bottom w:type="dxa" w:w="60"/>
              <w:right w:type="dxa" w:w="90"/>
            </w:tcMar>
          </w:tcPr>
          <w:p>
            <w:r>
              <w:rPr>
                <w:b w:val="false"/>
                <w:bCs w:val="false"/>
                <w:color w:val="000000"/>
                <w:sz w:val="18"/>
                <w:szCs w:val="18"/>
              </w:rPr>
              <w:t xml:space="preserve">Train Jan-Apr -&gt; May-Jun</w:t>
            </w:r>
          </w:p>
        </w:tc>
        <w:tc>
          <w:tcPr>
            <w:tcW w:type="dxa" w:w="900"/>
            <w:tcMar>
              <w:top w:type="dxa" w:w="60"/>
              <w:left w:type="dxa" w:w="90"/>
              <w:bottom w:type="dxa" w:w="60"/>
              <w:right w:type="dxa" w:w="90"/>
            </w:tcMar>
          </w:tcPr>
          <w:p>
            <w:r>
              <w:rPr>
                <w:b w:val="false"/>
                <w:bCs w:val="false"/>
                <w:color w:val="000000"/>
                <w:sz w:val="18"/>
                <w:szCs w:val="18"/>
              </w:rPr>
              <w:t xml:space="preserve">9696</w:t>
            </w:r>
          </w:p>
        </w:tc>
        <w:tc>
          <w:tcPr>
            <w:tcW w:type="dxa" w:w="1150"/>
            <w:tcMar>
              <w:top w:type="dxa" w:w="60"/>
              <w:left w:type="dxa" w:w="90"/>
              <w:bottom w:type="dxa" w:w="60"/>
              <w:right w:type="dxa" w:w="90"/>
            </w:tcMar>
          </w:tcPr>
          <w:p>
            <w:r>
              <w:rPr>
                <w:b w:val="false"/>
                <w:bCs w:val="false"/>
                <w:color w:val="000000"/>
                <w:sz w:val="18"/>
                <w:szCs w:val="18"/>
              </w:rPr>
              <w:t xml:space="preserve">1.30</w:t>
            </w:r>
          </w:p>
        </w:tc>
        <w:tc>
          <w:tcPr>
            <w:tcW w:type="dxa" w:w="1150"/>
            <w:tcMar>
              <w:top w:type="dxa" w:w="60"/>
              <w:left w:type="dxa" w:w="90"/>
              <w:bottom w:type="dxa" w:w="60"/>
              <w:right w:type="dxa" w:w="90"/>
            </w:tcMar>
          </w:tcPr>
          <w:p>
            <w:r>
              <w:rPr>
                <w:b w:val="false"/>
                <w:bCs w:val="false"/>
                <w:color w:val="000000"/>
                <w:sz w:val="18"/>
                <w:szCs w:val="18"/>
              </w:rPr>
              <w:t xml:space="preserve">32</w:t>
            </w:r>
          </w:p>
        </w:tc>
        <w:tc>
          <w:tcPr>
            <w:tcW w:type="dxa" w:w="1150"/>
            <w:tcMar>
              <w:top w:type="dxa" w:w="60"/>
              <w:left w:type="dxa" w:w="90"/>
              <w:bottom w:type="dxa" w:w="60"/>
              <w:right w:type="dxa" w:w="90"/>
            </w:tcMar>
          </w:tcPr>
          <w:p>
            <w:r>
              <w:rPr>
                <w:b w:val="false"/>
                <w:bCs w:val="false"/>
                <w:color w:val="000000"/>
                <w:sz w:val="18"/>
                <w:szCs w:val="18"/>
              </w:rPr>
              <w:t xml:space="preserve">49</w:t>
            </w:r>
          </w:p>
        </w:tc>
        <w:tc>
          <w:tcPr>
            <w:tcW w:type="dxa" w:w="1510"/>
            <w:tcMar>
              <w:top w:type="dxa" w:w="60"/>
              <w:left w:type="dxa" w:w="90"/>
              <w:bottom w:type="dxa" w:w="60"/>
              <w:right w:type="dxa" w:w="90"/>
            </w:tcMar>
          </w:tcPr>
          <w:p>
            <w:r>
              <w:rPr>
                <w:b w:val="false"/>
                <w:bCs w:val="false"/>
                <w:color w:val="000000"/>
                <w:sz w:val="18"/>
                <w:szCs w:val="18"/>
              </w:rPr>
              <w:t xml:space="preserve">+0.16</w:t>
            </w:r>
          </w:p>
        </w:tc>
      </w:tr>
      <w:tr>
        <w:tc>
          <w:tcPr>
            <w:tcW w:type="dxa" w:w="3500"/>
            <w:tcMar>
              <w:top w:type="dxa" w:w="60"/>
              <w:left w:type="dxa" w:w="90"/>
              <w:bottom w:type="dxa" w:w="60"/>
              <w:right w:type="dxa" w:w="90"/>
            </w:tcMar>
          </w:tcPr>
          <w:p>
            <w:r>
              <w:rPr>
                <w:b w:val="false"/>
                <w:bCs w:val="false"/>
                <w:color w:val="000000"/>
                <w:sz w:val="18"/>
                <w:szCs w:val="18"/>
              </w:rPr>
              <w:t xml:space="preserve">Train Jan-Jun -&gt; Jul-Aug</w:t>
            </w:r>
          </w:p>
        </w:tc>
        <w:tc>
          <w:tcPr>
            <w:tcW w:type="dxa" w:w="900"/>
            <w:tcMar>
              <w:top w:type="dxa" w:w="60"/>
              <w:left w:type="dxa" w:w="90"/>
              <w:bottom w:type="dxa" w:w="60"/>
              <w:right w:type="dxa" w:w="90"/>
            </w:tcMar>
          </w:tcPr>
          <w:p>
            <w:r>
              <w:rPr>
                <w:b w:val="false"/>
                <w:bCs w:val="false"/>
                <w:color w:val="000000"/>
                <w:sz w:val="18"/>
                <w:szCs w:val="18"/>
              </w:rPr>
              <w:t xml:space="preserve">9671</w:t>
            </w:r>
          </w:p>
        </w:tc>
        <w:tc>
          <w:tcPr>
            <w:tcW w:type="dxa" w:w="1150"/>
            <w:tcMar>
              <w:top w:type="dxa" w:w="60"/>
              <w:left w:type="dxa" w:w="90"/>
              <w:bottom w:type="dxa" w:w="60"/>
              <w:right w:type="dxa" w:w="90"/>
            </w:tcMar>
          </w:tcPr>
          <w:p>
            <w:r>
              <w:rPr>
                <w:b w:val="false"/>
                <w:bCs w:val="false"/>
                <w:color w:val="000000"/>
                <w:sz w:val="18"/>
                <w:szCs w:val="18"/>
              </w:rPr>
              <w:t xml:space="preserve">2.72</w:t>
            </w:r>
          </w:p>
        </w:tc>
        <w:tc>
          <w:tcPr>
            <w:tcW w:type="dxa" w:w="1150"/>
            <w:tcMar>
              <w:top w:type="dxa" w:w="60"/>
              <w:left w:type="dxa" w:w="90"/>
              <w:bottom w:type="dxa" w:w="60"/>
              <w:right w:type="dxa" w:w="90"/>
            </w:tcMar>
          </w:tcPr>
          <w:p>
            <w:r>
              <w:rPr>
                <w:b w:val="false"/>
                <w:bCs w:val="false"/>
                <w:color w:val="000000"/>
                <w:sz w:val="18"/>
                <w:szCs w:val="18"/>
              </w:rPr>
              <w:t xml:space="preserve">69</w:t>
            </w:r>
          </w:p>
        </w:tc>
        <w:tc>
          <w:tcPr>
            <w:tcW w:type="dxa" w:w="1150"/>
            <w:tcMar>
              <w:top w:type="dxa" w:w="60"/>
              <w:left w:type="dxa" w:w="90"/>
              <w:bottom w:type="dxa" w:w="60"/>
              <w:right w:type="dxa" w:w="90"/>
            </w:tcMar>
          </w:tcPr>
          <w:p>
            <w:r>
              <w:rPr>
                <w:b w:val="false"/>
                <w:bCs w:val="false"/>
                <w:color w:val="000000"/>
                <w:sz w:val="18"/>
                <w:szCs w:val="18"/>
              </w:rPr>
              <w:t xml:space="preserve">107</w:t>
            </w:r>
          </w:p>
        </w:tc>
        <w:tc>
          <w:tcPr>
            <w:tcW w:type="dxa" w:w="1510"/>
            <w:tcMar>
              <w:top w:type="dxa" w:w="60"/>
              <w:left w:type="dxa" w:w="90"/>
              <w:bottom w:type="dxa" w:w="60"/>
              <w:right w:type="dxa" w:w="90"/>
            </w:tcMar>
          </w:tcPr>
          <w:p>
            <w:r>
              <w:rPr>
                <w:b w:val="false"/>
                <w:bCs w:val="false"/>
                <w:color w:val="000000"/>
                <w:sz w:val="18"/>
                <w:szCs w:val="18"/>
              </w:rPr>
              <w:t xml:space="preserve">+1.94</w:t>
            </w:r>
          </w:p>
        </w:tc>
      </w:tr>
      <w:tr>
        <w:tc>
          <w:tcPr>
            <w:tcW w:type="dxa" w:w="3500"/>
            <w:tcMar>
              <w:top w:type="dxa" w:w="60"/>
              <w:left w:type="dxa" w:w="90"/>
              <w:bottom w:type="dxa" w:w="60"/>
              <w:right w:type="dxa" w:w="90"/>
            </w:tcMar>
          </w:tcPr>
          <w:p>
            <w:r>
              <w:rPr>
                <w:b w:val="false"/>
                <w:bCs w:val="false"/>
                <w:color w:val="000000"/>
                <w:sz w:val="18"/>
                <w:szCs w:val="18"/>
              </w:rPr>
              <w:t xml:space="preserve">Train Jan-Aug -&gt; Sep-Oct</w:t>
            </w:r>
          </w:p>
        </w:tc>
        <w:tc>
          <w:tcPr>
            <w:tcW w:type="dxa" w:w="900"/>
            <w:tcMar>
              <w:top w:type="dxa" w:w="60"/>
              <w:left w:type="dxa" w:w="90"/>
              <w:bottom w:type="dxa" w:w="60"/>
              <w:right w:type="dxa" w:w="90"/>
            </w:tcMar>
          </w:tcPr>
          <w:p>
            <w:r>
              <w:rPr>
                <w:b w:val="false"/>
                <w:bCs w:val="false"/>
                <w:color w:val="000000"/>
                <w:sz w:val="18"/>
                <w:szCs w:val="18"/>
              </w:rPr>
              <w:t xml:space="preserve">9523</w:t>
            </w:r>
          </w:p>
        </w:tc>
        <w:tc>
          <w:tcPr>
            <w:tcW w:type="dxa" w:w="1150"/>
            <w:tcMar>
              <w:top w:type="dxa" w:w="60"/>
              <w:left w:type="dxa" w:w="90"/>
              <w:bottom w:type="dxa" w:w="60"/>
              <w:right w:type="dxa" w:w="90"/>
            </w:tcMar>
          </w:tcPr>
          <w:p>
            <w:r>
              <w:rPr>
                <w:b w:val="false"/>
                <w:bCs w:val="false"/>
                <w:color w:val="000000"/>
                <w:sz w:val="18"/>
                <w:szCs w:val="18"/>
              </w:rPr>
              <w:t xml:space="preserve">1.56</w:t>
            </w:r>
          </w:p>
        </w:tc>
        <w:tc>
          <w:tcPr>
            <w:tcW w:type="dxa" w:w="1150"/>
            <w:tcMar>
              <w:top w:type="dxa" w:w="60"/>
              <w:left w:type="dxa" w:w="90"/>
              <w:bottom w:type="dxa" w:w="60"/>
              <w:right w:type="dxa" w:w="90"/>
            </w:tcMar>
          </w:tcPr>
          <w:p>
            <w:r>
              <w:rPr>
                <w:b w:val="false"/>
                <w:bCs w:val="false"/>
                <w:color w:val="000000"/>
                <w:sz w:val="18"/>
                <w:szCs w:val="18"/>
              </w:rPr>
              <w:t xml:space="preserve">37</w:t>
            </w:r>
          </w:p>
        </w:tc>
        <w:tc>
          <w:tcPr>
            <w:tcW w:type="dxa" w:w="1150"/>
            <w:tcMar>
              <w:top w:type="dxa" w:w="60"/>
              <w:left w:type="dxa" w:w="90"/>
              <w:bottom w:type="dxa" w:w="60"/>
              <w:right w:type="dxa" w:w="90"/>
            </w:tcMar>
          </w:tcPr>
          <w:p>
            <w:r>
              <w:rPr>
                <w:b w:val="false"/>
                <w:bCs w:val="false"/>
                <w:color w:val="000000"/>
                <w:sz w:val="18"/>
                <w:szCs w:val="18"/>
              </w:rPr>
              <w:t xml:space="preserve">53</w:t>
            </w:r>
          </w:p>
        </w:tc>
        <w:tc>
          <w:tcPr>
            <w:tcW w:type="dxa" w:w="1510"/>
            <w:tcMar>
              <w:top w:type="dxa" w:w="60"/>
              <w:left w:type="dxa" w:w="90"/>
              <w:bottom w:type="dxa" w:w="60"/>
              <w:right w:type="dxa" w:w="90"/>
            </w:tcMar>
          </w:tcPr>
          <w:p>
            <w:r>
              <w:rPr>
                <w:b w:val="false"/>
                <w:bCs w:val="false"/>
                <w:color w:val="000000"/>
                <w:sz w:val="18"/>
                <w:szCs w:val="18"/>
              </w:rPr>
              <w:t xml:space="preserve">-0.67</w:t>
            </w:r>
          </w:p>
        </w:tc>
      </w:tr>
      <w:tr>
        <w:tc>
          <w:tcPr>
            <w:tcW w:type="dxa" w:w="3500"/>
            <w:tcMar>
              <w:top w:type="dxa" w:w="60"/>
              <w:left w:type="dxa" w:w="90"/>
              <w:bottom w:type="dxa" w:w="60"/>
              <w:right w:type="dxa" w:w="90"/>
            </w:tcMar>
          </w:tcPr>
          <w:p>
            <w:r>
              <w:rPr>
                <w:b w:val="false"/>
                <w:bCs w:val="false"/>
                <w:color w:val="000000"/>
                <w:sz w:val="18"/>
                <w:szCs w:val="18"/>
              </w:rPr>
              <w:t xml:space="preserve">Same, 8 cities unseen -&gt; Sep-Oct</w:t>
            </w:r>
          </w:p>
        </w:tc>
        <w:tc>
          <w:tcPr>
            <w:tcW w:type="dxa" w:w="900"/>
            <w:tcMar>
              <w:top w:type="dxa" w:w="60"/>
              <w:left w:type="dxa" w:w="90"/>
              <w:bottom w:type="dxa" w:w="60"/>
              <w:right w:type="dxa" w:w="90"/>
            </w:tcMar>
          </w:tcPr>
          <w:p>
            <w:r>
              <w:rPr>
                <w:b w:val="false"/>
                <w:bCs w:val="false"/>
                <w:color w:val="000000"/>
                <w:sz w:val="18"/>
                <w:szCs w:val="18"/>
              </w:rPr>
              <w:t xml:space="preserve">2124</w:t>
            </w:r>
          </w:p>
        </w:tc>
        <w:tc>
          <w:tcPr>
            <w:tcW w:type="dxa" w:w="1150"/>
            <w:tcMar>
              <w:top w:type="dxa" w:w="60"/>
              <w:left w:type="dxa" w:w="90"/>
              <w:bottom w:type="dxa" w:w="60"/>
              <w:right w:type="dxa" w:w="90"/>
            </w:tcMar>
          </w:tcPr>
          <w:p>
            <w:r>
              <w:rPr>
                <w:b w:val="false"/>
                <w:bCs w:val="false"/>
                <w:color w:val="000000"/>
                <w:sz w:val="18"/>
                <w:szCs w:val="18"/>
              </w:rPr>
              <w:t xml:space="preserve">1.69</w:t>
            </w:r>
          </w:p>
        </w:tc>
        <w:tc>
          <w:tcPr>
            <w:tcW w:type="dxa" w:w="1150"/>
            <w:tcMar>
              <w:top w:type="dxa" w:w="60"/>
              <w:left w:type="dxa" w:w="90"/>
              <w:bottom w:type="dxa" w:w="60"/>
              <w:right w:type="dxa" w:w="90"/>
            </w:tcMar>
          </w:tcPr>
          <w:p>
            <w:r>
              <w:rPr>
                <w:b w:val="false"/>
                <w:bCs w:val="false"/>
                <w:color w:val="000000"/>
                <w:sz w:val="18"/>
                <w:szCs w:val="18"/>
              </w:rPr>
              <w:t xml:space="preserve">43</w:t>
            </w:r>
          </w:p>
        </w:tc>
        <w:tc>
          <w:tcPr>
            <w:tcW w:type="dxa" w:w="1150"/>
            <w:tcMar>
              <w:top w:type="dxa" w:w="60"/>
              <w:left w:type="dxa" w:w="90"/>
              <w:bottom w:type="dxa" w:w="60"/>
              <w:right w:type="dxa" w:w="90"/>
            </w:tcMar>
          </w:tcPr>
          <w:p>
            <w:r>
              <w:rPr>
                <w:b w:val="false"/>
                <w:bCs w:val="false"/>
                <w:color w:val="000000"/>
                <w:sz w:val="18"/>
                <w:szCs w:val="18"/>
              </w:rPr>
              <w:t xml:space="preserve">64</w:t>
            </w:r>
          </w:p>
        </w:tc>
        <w:tc>
          <w:tcPr>
            <w:tcW w:type="dxa" w:w="1510"/>
            <w:tcMar>
              <w:top w:type="dxa" w:w="60"/>
              <w:left w:type="dxa" w:w="90"/>
              <w:bottom w:type="dxa" w:w="60"/>
              <w:right w:type="dxa" w:w="90"/>
            </w:tcMar>
          </w:tcPr>
          <w:p>
            <w:r>
              <w:rPr>
                <w:b w:val="false"/>
                <w:bCs w:val="false"/>
                <w:color w:val="000000"/>
                <w:sz w:val="18"/>
                <w:szCs w:val="18"/>
              </w:rPr>
              <w:t xml:space="preserve">-0.68</w:t>
            </w:r>
          </w:p>
        </w:tc>
      </w:tr>
    </w:tbl>
    <w:p>
      <w:pPr>
        <w:spacing w:after="120"/>
      </w:pPr>
      <w:r>
        <w:t xml:space="preserve"/>
      </w:r>
    </w:p>
    <w:p>
      <w:pPr>
        <w:spacing w:after="120"/>
      </w:pPr>
      <w:r>
        <w:t xml:space="preserve">Including corrupt labels, MAPE rises to 3.6–8.6% and RMSE to about $620 because a few loads are mislabeled by 3x; that part is not predictable from features.</w:t>
      </w:r>
    </w:p>
    <w:p>
      <w:pPr>
        <w:pStyle w:val="Heading1"/>
      </w:pPr>
      <w:r>
        <w:t xml:space="preserve">4. Model and reasoning</w:t>
      </w:r>
    </w:p>
    <w:p>
      <w:pPr>
        <w:pStyle w:val="ListParagraph"/>
        <w:numPr>
          <w:ilvl w:val="0"/>
          <w:numId w:val="2"/>
        </w:numPr>
        <w:spacing w:after="60"/>
      </w:pPr>
      <w:r>
        <w:t xml:space="preserve">LightGBM with Huber loss on log(rate): handles the non-linear distance curve and interactions, is robust to residual label noise, and trains in seconds.</w:t>
      </w:r>
    </w:p>
    <w:p>
      <w:pPr>
        <w:pStyle w:val="ListParagraph"/>
        <w:numPr>
          <w:ilvl w:val="0"/>
          <w:numId w:val="2"/>
        </w:numPr>
        <w:spacing w:after="60"/>
      </w:pPr>
      <w:r>
        <w:t xml:space="preserve">Features: log distance, distance, equipment, weight, market_index, quote_signal, day-level market aggregates (from features only, no labels), day of week, and city coordinates. Coordinates replace city names so unseen cities still get sensible regional effects (error on unseen cities 1.69% vs 1.56% on all).</w:t>
      </w:r>
    </w:p>
    <w:p>
      <w:pPr>
        <w:pStyle w:val="ListParagraph"/>
        <w:numPr>
          <w:ilvl w:val="0"/>
          <w:numId w:val="2"/>
        </w:numPr>
        <w:spacing w:after="60"/>
      </w:pPr>
      <w:r>
        <w:t xml:space="preserve">Time drift: model A (GBM with a time index) holds the last learned level; model B (linear trend + GBM on residuals) extends the trend. Their errors differ in sign across folds, and the average was the best choice on 3 of 4 realistic folds, so the final prediction is the mean of A and B (3 seeds each).</w:t>
      </w:r>
    </w:p>
    <w:p>
      <w:pPr>
        <w:pStyle w:val="Heading1"/>
      </w:pPr>
      <w:r>
        <w:t xml:space="preserve">5. December 2025 prediction chart</w:t>
      </w:r>
    </w:p>
    <w:p>
      <w:pPr>
        <w:spacing w:after="120"/>
      </w:pPr>
      <w:r>
        <w:t xml:space="preserve">Chart produced by the provided score.py (Lexington to Fort Wayne, 360 miles, Dry Van, 32,000 lb). The input file has no market_index / quote_signal, so each day uses that day’s aggregate from validation.csv. Predictions stay between about $826 and $843 ($2.30–$2.34 per mile); the weekly cycle reflects the day-of-week effect seen in training.</w:t>
      </w:r>
    </w:p>
    <w:p>
      <w:pPr>
        <w:spacing w:after="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43175"/>
                    </a:xfrm>
                    <a:prstGeom prst="rect">
                      <a:avLst/>
                    </a:prstGeom>
                  </pic:spPr>
                </pic:pic>
              </a:graphicData>
            </a:graphic>
          </wp:inline>
        </w:drawing>
      </w:r>
    </w:p>
    <w:p>
      <w:pPr>
        <w:pStyle w:val="Heading1"/>
      </w:pPr>
      <w:r>
        <w:t xml:space="preserve">6. Limitations</w:t>
      </w:r>
    </w:p>
    <w:p>
      <w:pPr>
        <w:pStyle w:val="ListParagraph"/>
        <w:numPr>
          <w:ilvl w:val="0"/>
          <w:numId w:val="2"/>
        </w:numPr>
        <w:spacing w:after="60"/>
      </w:pPr>
      <w:r>
        <w:t xml:space="preserve">Unknown holiday effects in late December and any further market drift cannot be learned from Jan–Oct data; fold bias ranged from -0.7% to +1.9% in the later folds.</w:t>
      </w:r>
    </w:p>
    <w:p>
      <w:pPr>
        <w:pStyle w:val="ListParagraph"/>
        <w:numPr>
          <w:ilvl w:val="0"/>
          <w:numId w:val="2"/>
        </w:numPr>
        <w:spacing w:after="60"/>
      </w:pPr>
      <w:r>
        <w:t xml:space="preserve">Day-level market aggregates use feature values from validation.csv (no labels), which is allowed in this setup but would require the day’s loads in a live system.</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64A56"/>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064A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2e9840cea83519b6491bfd52f70c35d50dbaee.png"/><Relationship Id="rId8" Type="http://schemas.openxmlformats.org/officeDocument/2006/relationships/image" Target="media/31ab4059c21547c7a7453020556db900114419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2026-10-01T18:52:44.878Z</dcterms:created>
  <dcterms:modified xsi:type="dcterms:W3CDTF">2026-10-01T18:52:44.878Z</dcterms:modified>
</cp:coreProperties>
</file>

<file path=docProps/custom.xml><?xml version="1.0" encoding="utf-8"?>
<Properties xmlns="http://schemas.openxmlformats.org/officeDocument/2006/custom-properties" xmlns:vt="http://schemas.openxmlformats.org/officeDocument/2006/docPropsVTypes"/>
</file>