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4BF9" w14:textId="77777777" w:rsidR="002847E4" w:rsidRPr="004603E7" w:rsidRDefault="00F90FB1" w:rsidP="0053577F">
      <w:pPr>
        <w:pStyle w:val="Prrafodelista"/>
        <w:tabs>
          <w:tab w:val="left" w:pos="426"/>
        </w:tabs>
        <w:ind w:left="-284" w:right="-142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2847E4" w:rsidRPr="004603E7">
        <w:rPr>
          <w:rFonts w:ascii="Arial" w:hAnsi="Arial" w:cs="Arial"/>
          <w:b/>
          <w:bCs/>
          <w:sz w:val="32"/>
          <w:szCs w:val="32"/>
        </w:rPr>
        <w:t>REPÚ</w:t>
      </w:r>
      <w:r w:rsidR="007076BA" w:rsidRPr="004603E7">
        <w:rPr>
          <w:rFonts w:ascii="Arial" w:hAnsi="Arial" w:cs="Arial"/>
          <w:b/>
          <w:bCs/>
          <w:sz w:val="32"/>
          <w:szCs w:val="32"/>
        </w:rPr>
        <w:t>BLICA TUNECINA</w:t>
      </w:r>
    </w:p>
    <w:p w14:paraId="18FB8D57" w14:textId="77777777" w:rsidR="002847E4" w:rsidRDefault="00F90FB1" w:rsidP="0053577F">
      <w:pPr>
        <w:pStyle w:val="Prrafodelista"/>
        <w:tabs>
          <w:tab w:val="left" w:pos="426"/>
        </w:tabs>
        <w:ind w:left="-284" w:right="-142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LÍNEAS COMUNICACIONALES </w:t>
      </w:r>
    </w:p>
    <w:p w14:paraId="0569FC14" w14:textId="77777777" w:rsidR="00F90FB1" w:rsidRDefault="00F90FB1" w:rsidP="0053577F">
      <w:pPr>
        <w:pStyle w:val="Prrafodelista"/>
        <w:tabs>
          <w:tab w:val="left" w:pos="426"/>
        </w:tabs>
        <w:ind w:left="-284" w:right="-142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</w:p>
    <w:p w14:paraId="4DF84AF4" w14:textId="77777777" w:rsidR="00F90FB1" w:rsidRDefault="00F90FB1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Con la llegada de la revolución Bolivariana se establecieron las relaciones diplomáticas con los 55 países de la Madre África.</w:t>
      </w:r>
    </w:p>
    <w:p w14:paraId="49605B9D" w14:textId="77777777" w:rsidR="00F90FB1" w:rsidRDefault="00F90FB1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La política exterior venezolana ha priorizado la relación con la Madre África en virtud de los estrechos vínculos históricos y culturales entre los pueblos y de las luchas compartidas en el marco del ejercicio de la libre determinación de los pueblos. Desde el año 2005, con la creación del Despacho del </w:t>
      </w:r>
      <w:proofErr w:type="gramStart"/>
      <w:r>
        <w:rPr>
          <w:rFonts w:ascii="Arial" w:eastAsia="Arial" w:hAnsi="Arial" w:cs="Arial"/>
          <w:sz w:val="32"/>
          <w:szCs w:val="32"/>
        </w:rPr>
        <w:t>Viceministro</w:t>
      </w:r>
      <w:proofErr w:type="gramEnd"/>
      <w:r>
        <w:rPr>
          <w:rFonts w:ascii="Arial" w:eastAsia="Arial" w:hAnsi="Arial" w:cs="Arial"/>
          <w:sz w:val="32"/>
          <w:szCs w:val="32"/>
        </w:rPr>
        <w:t xml:space="preserve"> para África, las relaciones con el continente se han incrementado exponencialmente.</w:t>
      </w:r>
    </w:p>
    <w:p w14:paraId="10A7823C" w14:textId="77777777" w:rsidR="00F90FB1" w:rsidRDefault="00F90FB1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 w:rsidRPr="00090CEC">
        <w:rPr>
          <w:rFonts w:ascii="Arial" w:eastAsia="Arial" w:hAnsi="Arial" w:cs="Arial"/>
          <w:sz w:val="32"/>
          <w:szCs w:val="32"/>
        </w:rPr>
        <w:t>Venezuela y Túnez establecieron relaciones diplomáticas el 26 de marzo de 1965</w:t>
      </w:r>
      <w:r w:rsidR="00177C23">
        <w:rPr>
          <w:rFonts w:ascii="Arial" w:eastAsia="Arial" w:hAnsi="Arial" w:cs="Arial"/>
          <w:sz w:val="32"/>
          <w:szCs w:val="32"/>
        </w:rPr>
        <w:t>, este 2025 se cumplieron 60° años de este hito</w:t>
      </w:r>
      <w:r w:rsidRPr="00090CEC">
        <w:rPr>
          <w:rFonts w:ascii="Arial" w:eastAsia="Arial" w:hAnsi="Arial" w:cs="Arial"/>
          <w:sz w:val="32"/>
          <w:szCs w:val="32"/>
        </w:rPr>
        <w:t>.</w:t>
      </w:r>
      <w:r w:rsidR="00177C23">
        <w:rPr>
          <w:rFonts w:ascii="Arial" w:eastAsia="Arial" w:hAnsi="Arial" w:cs="Arial"/>
          <w:sz w:val="32"/>
          <w:szCs w:val="32"/>
        </w:rPr>
        <w:t xml:space="preserve"> </w:t>
      </w:r>
    </w:p>
    <w:p w14:paraId="053BF65E" w14:textId="77777777" w:rsidR="002C1DAF" w:rsidRDefault="002C1DAF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Hasta la fecha se han suscrito</w:t>
      </w:r>
      <w:r w:rsidR="00177C23">
        <w:rPr>
          <w:rFonts w:ascii="Arial" w:eastAsia="Arial" w:hAnsi="Arial" w:cs="Arial"/>
          <w:sz w:val="32"/>
          <w:szCs w:val="32"/>
        </w:rPr>
        <w:t xml:space="preserve"> seis</w:t>
      </w:r>
      <w:r>
        <w:rPr>
          <w:rFonts w:ascii="Arial" w:eastAsia="Arial" w:hAnsi="Arial" w:cs="Arial"/>
          <w:sz w:val="32"/>
          <w:szCs w:val="32"/>
        </w:rPr>
        <w:t xml:space="preserve"> </w:t>
      </w:r>
      <w:r w:rsidR="005724EC">
        <w:rPr>
          <w:rFonts w:ascii="Arial" w:eastAsia="Arial" w:hAnsi="Arial" w:cs="Arial"/>
          <w:sz w:val="32"/>
          <w:szCs w:val="32"/>
        </w:rPr>
        <w:t xml:space="preserve">instrumentos de cooperación que han permitido generar intercambios fructíferos. </w:t>
      </w:r>
    </w:p>
    <w:p w14:paraId="68671AF6" w14:textId="77777777" w:rsidR="00AA39A2" w:rsidRDefault="00AA39A2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El pasado 25 de marzo de 2025, ambos cancilleres sostuvieron un encuentro telefónico, en el marco del 60° aniversario del Establecimiento de las Relaciones Diplomáticas, durante el cual abordaron diversos temas de interés mutuo. </w:t>
      </w:r>
    </w:p>
    <w:p w14:paraId="56822CA7" w14:textId="77777777" w:rsidR="00222F1B" w:rsidRDefault="00222F1B" w:rsidP="00F90FB1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En las perspectivas de cooperación, se encuentra iniciar intercambios comerciales en materia</w:t>
      </w:r>
      <w:r w:rsidR="00177C23">
        <w:rPr>
          <w:rFonts w:ascii="Arial" w:eastAsia="Arial" w:hAnsi="Arial" w:cs="Arial"/>
          <w:sz w:val="32"/>
          <w:szCs w:val="32"/>
        </w:rPr>
        <w:t xml:space="preserve"> comercial, especialmente en la adquisición </w:t>
      </w:r>
      <w:r>
        <w:rPr>
          <w:rFonts w:ascii="Arial" w:eastAsia="Arial" w:hAnsi="Arial" w:cs="Arial"/>
          <w:sz w:val="32"/>
          <w:szCs w:val="32"/>
        </w:rPr>
        <w:t xml:space="preserve">de aceite de oliva, a la vez que realizar intercambio de experiencias en materia turística y pesquera. </w:t>
      </w:r>
    </w:p>
    <w:p w14:paraId="5AF7E1FA" w14:textId="77777777" w:rsidR="00F90FB1" w:rsidRPr="00FE31F3" w:rsidRDefault="002C1DAF" w:rsidP="002C1DAF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 República Bolivariana de Venezuela ratifica su compromiso irrenunciable con la paz y la soberanía de todos los pueblos del mundo, posición asumida en el marco de la </w:t>
      </w:r>
      <w:r>
        <w:rPr>
          <w:rFonts w:ascii="Arial" w:hAnsi="Arial" w:cs="Arial"/>
          <w:b/>
          <w:bCs/>
          <w:sz w:val="32"/>
          <w:szCs w:val="32"/>
        </w:rPr>
        <w:t>Diplomacia Bolivariana de Paz</w:t>
      </w:r>
      <w:r>
        <w:rPr>
          <w:rFonts w:ascii="Arial" w:hAnsi="Arial" w:cs="Arial"/>
          <w:sz w:val="32"/>
          <w:szCs w:val="32"/>
        </w:rPr>
        <w:t>, por los que acompaña los procesos de autodeterminación de los pueblos.</w:t>
      </w:r>
    </w:p>
    <w:p w14:paraId="72A50F74" w14:textId="77777777" w:rsidR="00FE31F3" w:rsidRPr="00FE31F3" w:rsidRDefault="00FE31F3" w:rsidP="00FE31F3">
      <w:pPr>
        <w:spacing w:after="0" w:line="240" w:lineRule="auto"/>
        <w:ind w:left="436"/>
        <w:jc w:val="both"/>
        <w:rPr>
          <w:rFonts w:ascii="Arial" w:eastAsia="Arial" w:hAnsi="Arial" w:cs="Arial"/>
          <w:sz w:val="32"/>
          <w:szCs w:val="32"/>
        </w:rPr>
      </w:pPr>
    </w:p>
    <w:p w14:paraId="414EDAF6" w14:textId="77777777" w:rsidR="00FE31F3" w:rsidRPr="00FE31F3" w:rsidRDefault="00FE31F3" w:rsidP="00FE31F3">
      <w:pPr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sz w:val="32"/>
          <w:szCs w:val="32"/>
        </w:rPr>
      </w:pPr>
      <w:r w:rsidRPr="00FE31F3">
        <w:rPr>
          <w:rFonts w:ascii="Arial" w:eastAsia="Arial" w:hAnsi="Arial" w:cs="Arial"/>
          <w:sz w:val="32"/>
          <w:szCs w:val="32"/>
        </w:rPr>
        <w:lastRenderedPageBreak/>
        <w:t>La cooperación cultural, es el área con mayor fortaleza en el</w:t>
      </w:r>
      <w:r>
        <w:rPr>
          <w:rFonts w:ascii="Arial" w:eastAsia="Arial" w:hAnsi="Arial" w:cs="Arial"/>
          <w:sz w:val="32"/>
          <w:szCs w:val="32"/>
        </w:rPr>
        <w:t xml:space="preserve"> </w:t>
      </w:r>
      <w:r w:rsidRPr="00FE31F3">
        <w:rPr>
          <w:rFonts w:ascii="Arial" w:eastAsia="Arial" w:hAnsi="Arial" w:cs="Arial"/>
          <w:sz w:val="32"/>
          <w:szCs w:val="32"/>
        </w:rPr>
        <w:t>relacionamiento,</w:t>
      </w:r>
      <w:r>
        <w:rPr>
          <w:rFonts w:ascii="Arial" w:eastAsia="Arial" w:hAnsi="Arial" w:cs="Arial"/>
          <w:sz w:val="32"/>
          <w:szCs w:val="32"/>
        </w:rPr>
        <w:t xml:space="preserve"> con el intercambio de visitas de músicos</w:t>
      </w:r>
      <w:r w:rsidR="00FD73DF">
        <w:rPr>
          <w:rFonts w:ascii="Arial" w:eastAsia="Arial" w:hAnsi="Arial" w:cs="Arial"/>
          <w:sz w:val="32"/>
          <w:szCs w:val="32"/>
        </w:rPr>
        <w:t xml:space="preserve"> tunecinos</w:t>
      </w:r>
      <w:r>
        <w:rPr>
          <w:rFonts w:ascii="Arial" w:eastAsia="Arial" w:hAnsi="Arial" w:cs="Arial"/>
          <w:sz w:val="32"/>
          <w:szCs w:val="32"/>
        </w:rPr>
        <w:t xml:space="preserve"> a formarse en El Sistema de Orquestas de Venezuela. </w:t>
      </w:r>
    </w:p>
    <w:p w14:paraId="0932F918" w14:textId="77777777" w:rsidR="003D68CE" w:rsidRPr="002847E4" w:rsidRDefault="00080E54" w:rsidP="0053577F">
      <w:pPr>
        <w:pStyle w:val="Prrafodelista"/>
        <w:tabs>
          <w:tab w:val="left" w:pos="426"/>
        </w:tabs>
        <w:ind w:left="-284" w:right="-142"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 xml:space="preserve"> </w:t>
      </w:r>
    </w:p>
    <w:p w14:paraId="038ACC83" w14:textId="77777777" w:rsidR="00F17D12" w:rsidRPr="004E1101" w:rsidRDefault="00F17D12" w:rsidP="004E1101">
      <w:pPr>
        <w:tabs>
          <w:tab w:val="left" w:pos="426"/>
          <w:tab w:val="left" w:pos="2715"/>
        </w:tabs>
        <w:jc w:val="both"/>
        <w:rPr>
          <w:rFonts w:asciiTheme="minorBidi" w:hAnsiTheme="minorBidi"/>
          <w:sz w:val="32"/>
          <w:szCs w:val="32"/>
          <w:lang w:val="es-MX"/>
        </w:rPr>
      </w:pPr>
    </w:p>
    <w:sectPr w:rsidR="00F17D12" w:rsidRPr="004E1101" w:rsidSect="00360A4C">
      <w:footerReference w:type="default" r:id="rId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B30A0" w14:textId="77777777" w:rsidR="00DB6725" w:rsidRDefault="00DB6725" w:rsidP="00744248">
      <w:pPr>
        <w:spacing w:after="0" w:line="240" w:lineRule="auto"/>
      </w:pPr>
      <w:r>
        <w:separator/>
      </w:r>
    </w:p>
  </w:endnote>
  <w:endnote w:type="continuationSeparator" w:id="0">
    <w:p w14:paraId="18E47C3D" w14:textId="77777777" w:rsidR="00DB6725" w:rsidRDefault="00DB6725" w:rsidP="0074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16468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A410C7D" w14:textId="77777777" w:rsidR="0053577F" w:rsidRDefault="0053577F">
            <w:pPr>
              <w:pStyle w:val="Piedepgina"/>
              <w:jc w:val="right"/>
            </w:pPr>
            <w:r w:rsidRPr="00360A4C">
              <w:rPr>
                <w:rFonts w:ascii="Arial" w:hAnsi="Arial" w:cs="Arial"/>
                <w:sz w:val="18"/>
                <w:szCs w:val="18"/>
              </w:rPr>
              <w:t xml:space="preserve">Página </w: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360A4C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42713" w:rsidRPr="00360A4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60A4C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360A4C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42713" w:rsidRPr="00360A4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="002C7C4D" w:rsidRPr="00360A4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1C88CEB6" w14:textId="77777777" w:rsidR="00744248" w:rsidRDefault="007442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13D85" w14:textId="77777777" w:rsidR="00DB6725" w:rsidRDefault="00DB6725" w:rsidP="00744248">
      <w:pPr>
        <w:spacing w:after="0" w:line="240" w:lineRule="auto"/>
      </w:pPr>
      <w:r>
        <w:separator/>
      </w:r>
    </w:p>
  </w:footnote>
  <w:footnote w:type="continuationSeparator" w:id="0">
    <w:p w14:paraId="508B1F12" w14:textId="77777777" w:rsidR="00DB6725" w:rsidRDefault="00DB6725" w:rsidP="00744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3F6E"/>
    <w:multiLevelType w:val="hybridMultilevel"/>
    <w:tmpl w:val="3E0E309A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27117913"/>
    <w:multiLevelType w:val="hybridMultilevel"/>
    <w:tmpl w:val="5114E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72445"/>
    <w:multiLevelType w:val="hybridMultilevel"/>
    <w:tmpl w:val="D0D64F84"/>
    <w:lvl w:ilvl="0" w:tplc="DED2DD7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6B796024"/>
    <w:multiLevelType w:val="hybridMultilevel"/>
    <w:tmpl w:val="0DC82F60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6D1E7117"/>
    <w:multiLevelType w:val="hybridMultilevel"/>
    <w:tmpl w:val="7E90CF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8786F"/>
    <w:multiLevelType w:val="hybridMultilevel"/>
    <w:tmpl w:val="2ACE7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16B13"/>
    <w:multiLevelType w:val="hybridMultilevel"/>
    <w:tmpl w:val="08E0F75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CE"/>
    <w:rsid w:val="000366C4"/>
    <w:rsid w:val="00064A9C"/>
    <w:rsid w:val="00067D26"/>
    <w:rsid w:val="00080E54"/>
    <w:rsid w:val="00085F2A"/>
    <w:rsid w:val="00096E6E"/>
    <w:rsid w:val="000E7A2C"/>
    <w:rsid w:val="00177C23"/>
    <w:rsid w:val="001A0002"/>
    <w:rsid w:val="001E208C"/>
    <w:rsid w:val="00222F1B"/>
    <w:rsid w:val="00231F90"/>
    <w:rsid w:val="00240B8E"/>
    <w:rsid w:val="0026093B"/>
    <w:rsid w:val="00280671"/>
    <w:rsid w:val="002847E4"/>
    <w:rsid w:val="002945CE"/>
    <w:rsid w:val="002C1DAF"/>
    <w:rsid w:val="002C7C4D"/>
    <w:rsid w:val="00314275"/>
    <w:rsid w:val="00360A4C"/>
    <w:rsid w:val="003D68CE"/>
    <w:rsid w:val="004603E7"/>
    <w:rsid w:val="004C5EFC"/>
    <w:rsid w:val="004D7C8E"/>
    <w:rsid w:val="004E1101"/>
    <w:rsid w:val="0053577F"/>
    <w:rsid w:val="005724EC"/>
    <w:rsid w:val="005D1C20"/>
    <w:rsid w:val="00667EFB"/>
    <w:rsid w:val="00677629"/>
    <w:rsid w:val="00697D70"/>
    <w:rsid w:val="006B38FF"/>
    <w:rsid w:val="006C0731"/>
    <w:rsid w:val="007076BA"/>
    <w:rsid w:val="00744248"/>
    <w:rsid w:val="007711CB"/>
    <w:rsid w:val="0077745E"/>
    <w:rsid w:val="007805BD"/>
    <w:rsid w:val="007E47F3"/>
    <w:rsid w:val="008432CB"/>
    <w:rsid w:val="008446A4"/>
    <w:rsid w:val="00896D2F"/>
    <w:rsid w:val="008A2CA3"/>
    <w:rsid w:val="00A13D80"/>
    <w:rsid w:val="00A45486"/>
    <w:rsid w:val="00AA39A2"/>
    <w:rsid w:val="00AE3EAB"/>
    <w:rsid w:val="00AE4A6E"/>
    <w:rsid w:val="00BD50EE"/>
    <w:rsid w:val="00C206E4"/>
    <w:rsid w:val="00C42713"/>
    <w:rsid w:val="00C93D71"/>
    <w:rsid w:val="00CA2D77"/>
    <w:rsid w:val="00CB5D8C"/>
    <w:rsid w:val="00DB6725"/>
    <w:rsid w:val="00E24F62"/>
    <w:rsid w:val="00E46CD9"/>
    <w:rsid w:val="00EE3626"/>
    <w:rsid w:val="00EE3B09"/>
    <w:rsid w:val="00F17D12"/>
    <w:rsid w:val="00F33F49"/>
    <w:rsid w:val="00F8385D"/>
    <w:rsid w:val="00F90FB1"/>
    <w:rsid w:val="00FD73DF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D05C80"/>
  <w15:docId w15:val="{53710855-03E9-48E2-8B18-F1D88F1D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68CE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0"/>
      <w:szCs w:val="20"/>
      <w:lang w:val="es-MX" w:eastAsia="fr-FR"/>
    </w:rPr>
  </w:style>
  <w:style w:type="paragraph" w:styleId="Encabezado">
    <w:name w:val="header"/>
    <w:basedOn w:val="Normal"/>
    <w:link w:val="EncabezadoCar"/>
    <w:uiPriority w:val="99"/>
    <w:unhideWhenUsed/>
    <w:rsid w:val="007442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248"/>
  </w:style>
  <w:style w:type="paragraph" w:styleId="Piedepgina">
    <w:name w:val="footer"/>
    <w:basedOn w:val="Normal"/>
    <w:link w:val="PiedepginaCar"/>
    <w:uiPriority w:val="99"/>
    <w:unhideWhenUsed/>
    <w:rsid w:val="007442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248"/>
  </w:style>
  <w:style w:type="paragraph" w:styleId="Textodeglobo">
    <w:name w:val="Balloon Text"/>
    <w:basedOn w:val="Normal"/>
    <w:link w:val="TextodegloboCar"/>
    <w:uiPriority w:val="99"/>
    <w:semiHidden/>
    <w:unhideWhenUsed/>
    <w:rsid w:val="00AE4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6E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77C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5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leonardo jose hernandez silva</cp:lastModifiedBy>
  <cp:revision>3</cp:revision>
  <dcterms:created xsi:type="dcterms:W3CDTF">2026-02-06T18:46:00Z</dcterms:created>
  <dcterms:modified xsi:type="dcterms:W3CDTF">2026-05-13T15:44:00Z</dcterms:modified>
</cp:coreProperties>
</file>