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D2822" w14:textId="77777777" w:rsidR="00FA02B8" w:rsidRDefault="00FA02B8" w:rsidP="00FA02B8">
      <w:pPr>
        <w:jc w:val="right"/>
        <w:rPr>
          <w:rFonts w:hint="cs"/>
        </w:rPr>
      </w:pPr>
    </w:p>
    <w:p w14:paraId="01D4CD53" w14:textId="07F9B940" w:rsidR="00FA02B8" w:rsidRPr="00FA02B8" w:rsidRDefault="00FA02B8" w:rsidP="00FA02B8">
      <w:pPr>
        <w:jc w:val="right"/>
        <w:rPr>
          <w:b/>
          <w:bCs/>
          <w:u w:val="single"/>
        </w:rPr>
      </w:pPr>
      <w:r w:rsidRPr="00FA02B8">
        <w:rPr>
          <w:b/>
          <w:bCs/>
          <w:u w:val="single"/>
        </w:rPr>
        <w:t>background</w:t>
      </w:r>
    </w:p>
    <w:p w14:paraId="6EBDF262" w14:textId="694694B8" w:rsidR="008000F6" w:rsidRDefault="00FA02B8" w:rsidP="00581381">
      <w:pPr>
        <w:jc w:val="right"/>
      </w:pPr>
      <w:r>
        <w:t>A</w:t>
      </w:r>
      <w:r w:rsidRPr="00FA02B8">
        <w:t>KTA protein purification systems are widely used in biochemistry and molecular biology for the efficient separation and purification of proteins.</w:t>
      </w:r>
      <w:r>
        <w:t xml:space="preserve"> T</w:t>
      </w:r>
      <w:r w:rsidRPr="00FA02B8">
        <w:t xml:space="preserve">hese systems utilize liquid chromatography techniques to separate proteins based on their physical and chemical properties, such as size, charge, hydrophobicity, or affinity for specific ligands. </w:t>
      </w:r>
      <w:r>
        <w:t xml:space="preserve">The AKTA </w:t>
      </w:r>
      <w:r w:rsidRPr="00FA02B8">
        <w:t>equipped with precise pumps, UV detectors</w:t>
      </w:r>
      <w:r>
        <w:t xml:space="preserve"> and a </w:t>
      </w:r>
      <w:r w:rsidRPr="00FA02B8">
        <w:t>fraction collectors</w:t>
      </w:r>
      <w:r>
        <w:t xml:space="preserve">. </w:t>
      </w:r>
      <w:r w:rsidRPr="00FA02B8">
        <w:t>During the purification process, fractions of the eluted protein solution are collected into individual wells of a multi-well plate or tubes. These wells allow for systematic collection and storage of the eluates, which can then be analyzed to determine the protein concentration and purity.</w:t>
      </w:r>
      <w:r>
        <w:t xml:space="preserve"> The data can be summarized with E</w:t>
      </w:r>
      <w:r w:rsidR="00046B3E">
        <w:t>xcel</w:t>
      </w:r>
      <w:r>
        <w:t xml:space="preserve"> file and analyzed by the user. </w:t>
      </w:r>
      <w:r w:rsidR="00581381" w:rsidRPr="00581381">
        <w:t xml:space="preserve">The Excel file contains data detailing the process progression, correlating absorption levels to the volume (in mL) processed by the </w:t>
      </w:r>
      <w:r w:rsidR="007D130A">
        <w:t>A</w:t>
      </w:r>
      <w:r w:rsidR="00581381" w:rsidRPr="00581381">
        <w:t>KTA system, with results stratified by well distribution.</w:t>
      </w:r>
    </w:p>
    <w:p w14:paraId="6B544F22" w14:textId="77777777" w:rsidR="00E02C9C" w:rsidRPr="00603981" w:rsidRDefault="00E02C9C" w:rsidP="00E02C9C">
      <w:pPr>
        <w:jc w:val="right"/>
        <w:rPr>
          <w:u w:val="single"/>
        </w:rPr>
      </w:pPr>
      <w:r w:rsidRPr="00603981">
        <w:rPr>
          <w:b/>
          <w:bCs/>
          <w:u w:val="single"/>
        </w:rPr>
        <w:t>Functionality</w:t>
      </w:r>
      <w:r w:rsidRPr="00603981">
        <w:rPr>
          <w:u w:val="single"/>
        </w:rPr>
        <w:t>:</w:t>
      </w:r>
    </w:p>
    <w:p w14:paraId="3C00DF05" w14:textId="2C03869F" w:rsidR="00C77D58" w:rsidRDefault="007F7760" w:rsidP="007F7760">
      <w:pPr>
        <w:jc w:val="right"/>
      </w:pPr>
      <w:r w:rsidRPr="007F7760">
        <w:t>The code takes the following inputs from the user: the column and row for mAU (absorbance), fraction (ml), and wells fraction, two well numbers, and an option to select a color. Based on these inputs, the code generates a graph of absorbance (mAU)</w:t>
      </w:r>
      <w:r>
        <w:t xml:space="preserve"> vs</w:t>
      </w:r>
      <w:r w:rsidRPr="007F7760">
        <w:t xml:space="preserve"> fraction (ml), highlighting the positions of the specified wells with respect to the ml values</w:t>
      </w:r>
      <w:r>
        <w:t>.</w:t>
      </w:r>
    </w:p>
    <w:p w14:paraId="4E0C4CA6" w14:textId="62F722F8" w:rsidR="00603981" w:rsidRPr="00603981" w:rsidRDefault="00603981" w:rsidP="00603981">
      <w:pPr>
        <w:jc w:val="right"/>
        <w:rPr>
          <w:u w:val="single"/>
        </w:rPr>
      </w:pPr>
      <w:r w:rsidRPr="00603981">
        <w:rPr>
          <w:b/>
          <w:bCs/>
          <w:u w:val="single"/>
        </w:rPr>
        <w:t>Required Libraries</w:t>
      </w:r>
      <w:r w:rsidRPr="00603981">
        <w:rPr>
          <w:u w:val="single"/>
        </w:rPr>
        <w:t>:</w:t>
      </w:r>
    </w:p>
    <w:p w14:paraId="48E557F1" w14:textId="77777777" w:rsidR="00603981" w:rsidRPr="00603981" w:rsidRDefault="00603981" w:rsidP="00603981">
      <w:pPr>
        <w:ind w:left="360"/>
        <w:jc w:val="right"/>
        <w:rPr>
          <w:rFonts w:hint="cs"/>
          <w:rtl/>
        </w:rPr>
      </w:pPr>
      <w:r w:rsidRPr="00603981">
        <w:t>Pandas: For data manipulation and reading Excel files.</w:t>
      </w:r>
    </w:p>
    <w:p w14:paraId="216B9803" w14:textId="5056EEF2" w:rsidR="00603981" w:rsidRPr="00603981" w:rsidRDefault="00603981" w:rsidP="00603981">
      <w:pPr>
        <w:ind w:left="4140"/>
        <w:jc w:val="right"/>
      </w:pPr>
      <w:r w:rsidRPr="00603981">
        <w:t>Matplotlib/Seaborn: For generating plots and graphs</w:t>
      </w:r>
      <w:r w:rsidRPr="0080161D">
        <w:t>.</w:t>
      </w:r>
    </w:p>
    <w:p w14:paraId="37B36E4D" w14:textId="77777777" w:rsidR="00603981" w:rsidRPr="00603981" w:rsidRDefault="00603981" w:rsidP="00603981">
      <w:pPr>
        <w:ind w:left="4140"/>
        <w:jc w:val="right"/>
        <w:rPr>
          <w:rFonts w:hint="cs"/>
          <w:rtl/>
        </w:rPr>
      </w:pPr>
      <w:r w:rsidRPr="00603981">
        <w:t>OpenPyXL: For interacting with Excel files.</w:t>
      </w:r>
    </w:p>
    <w:p w14:paraId="799B5730" w14:textId="77777777" w:rsidR="00603981" w:rsidRPr="0080161D" w:rsidRDefault="00603981" w:rsidP="00603981">
      <w:pPr>
        <w:ind w:left="4140"/>
        <w:jc w:val="right"/>
      </w:pPr>
      <w:r w:rsidRPr="00603981">
        <w:t>NumPy: For efficient numerical operations.</w:t>
      </w:r>
    </w:p>
    <w:p w14:paraId="2B4F5ED5" w14:textId="72AD0538" w:rsidR="00603981" w:rsidRPr="00603981" w:rsidRDefault="00603981" w:rsidP="00603981">
      <w:pPr>
        <w:ind w:left="4140"/>
        <w:jc w:val="right"/>
      </w:pPr>
      <w:r w:rsidRPr="0080161D">
        <w:t xml:space="preserve">Tkinter: for graphical user interface. </w:t>
      </w:r>
    </w:p>
    <w:p w14:paraId="703C4FE8" w14:textId="13D65E26" w:rsidR="00603981" w:rsidRPr="00603981" w:rsidRDefault="00603981" w:rsidP="00603981">
      <w:pPr>
        <w:jc w:val="right"/>
        <w:rPr>
          <w:b/>
          <w:bCs/>
          <w:u w:val="single"/>
        </w:rPr>
      </w:pPr>
      <w:r w:rsidRPr="00603981">
        <w:rPr>
          <w:b/>
          <w:bCs/>
          <w:u w:val="single"/>
        </w:rPr>
        <w:t>User-specified parameters:</w:t>
      </w:r>
    </w:p>
    <w:p w14:paraId="54D26580" w14:textId="77777777" w:rsidR="00603981" w:rsidRPr="00603981" w:rsidRDefault="00603981" w:rsidP="00603981">
      <w:pPr>
        <w:ind w:left="360"/>
        <w:jc w:val="right"/>
        <w:rPr>
          <w:rFonts w:hint="cs"/>
          <w:rtl/>
        </w:rPr>
      </w:pPr>
      <w:r w:rsidRPr="00603981">
        <w:t>Columns and rows for mAU, fraction, and well data.</w:t>
      </w:r>
    </w:p>
    <w:p w14:paraId="268CC0D5" w14:textId="77777777" w:rsidR="00603981" w:rsidRPr="00603981" w:rsidRDefault="00603981" w:rsidP="00603981">
      <w:pPr>
        <w:ind w:left="360"/>
        <w:jc w:val="right"/>
        <w:rPr>
          <w:rFonts w:hint="cs"/>
          <w:rtl/>
        </w:rPr>
      </w:pPr>
      <w:r w:rsidRPr="00603981">
        <w:t>Well numbers to highlight.</w:t>
      </w:r>
    </w:p>
    <w:p w14:paraId="00CE8359" w14:textId="77777777" w:rsidR="00603981" w:rsidRPr="00603981" w:rsidRDefault="00603981" w:rsidP="00603981">
      <w:pPr>
        <w:ind w:left="360"/>
        <w:jc w:val="right"/>
        <w:rPr>
          <w:rFonts w:hint="cs"/>
          <w:rtl/>
        </w:rPr>
      </w:pPr>
      <w:r w:rsidRPr="00603981">
        <w:t>Color selection for graph highlights.</w:t>
      </w:r>
    </w:p>
    <w:p w14:paraId="17A37644" w14:textId="77777777" w:rsidR="00603981" w:rsidRPr="00603981" w:rsidRDefault="00603981" w:rsidP="00603981">
      <w:pPr>
        <w:ind w:left="360"/>
        <w:jc w:val="right"/>
        <w:rPr>
          <w:u w:val="single"/>
        </w:rPr>
      </w:pPr>
      <w:r w:rsidRPr="00603981">
        <w:rPr>
          <w:b/>
          <w:bCs/>
          <w:u w:val="single"/>
        </w:rPr>
        <w:t>Visualization</w:t>
      </w:r>
      <w:r w:rsidRPr="00603981">
        <w:rPr>
          <w:u w:val="single"/>
        </w:rPr>
        <w:t>:</w:t>
      </w:r>
    </w:p>
    <w:p w14:paraId="74FCC65F" w14:textId="77777777" w:rsidR="00603981" w:rsidRPr="00603981" w:rsidRDefault="00603981" w:rsidP="00603981">
      <w:pPr>
        <w:ind w:left="1080"/>
        <w:jc w:val="right"/>
        <w:rPr>
          <w:rFonts w:hint="cs"/>
          <w:rtl/>
        </w:rPr>
      </w:pPr>
      <w:r w:rsidRPr="00603981">
        <w:t>Plot absorbance (mAU) vs. fraction volume (mL).</w:t>
      </w:r>
    </w:p>
    <w:p w14:paraId="20532925" w14:textId="77777777" w:rsidR="00603981" w:rsidRPr="00603981" w:rsidRDefault="00603981" w:rsidP="00603981">
      <w:pPr>
        <w:ind w:left="1080"/>
        <w:jc w:val="right"/>
      </w:pPr>
      <w:r w:rsidRPr="00603981">
        <w:t>Highlight specified well fractions with the selected color.</w:t>
      </w:r>
    </w:p>
    <w:p w14:paraId="182AD7EC" w14:textId="77777777" w:rsidR="00603981" w:rsidRPr="00603981" w:rsidRDefault="00603981" w:rsidP="007F7760">
      <w:pPr>
        <w:jc w:val="right"/>
        <w:rPr>
          <w:rFonts w:hint="cs"/>
          <w:rtl/>
        </w:rPr>
      </w:pPr>
    </w:p>
    <w:sectPr w:rsidR="00603981" w:rsidRPr="00603981" w:rsidSect="0003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20E"/>
    <w:multiLevelType w:val="multilevel"/>
    <w:tmpl w:val="017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C23BB"/>
    <w:multiLevelType w:val="multilevel"/>
    <w:tmpl w:val="ED64CAB4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366B2"/>
    <w:multiLevelType w:val="multilevel"/>
    <w:tmpl w:val="138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186854">
    <w:abstractNumId w:val="1"/>
  </w:num>
  <w:num w:numId="2" w16cid:durableId="1166826335">
    <w:abstractNumId w:val="2"/>
  </w:num>
  <w:num w:numId="3" w16cid:durableId="104841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8"/>
    <w:rsid w:val="0003214B"/>
    <w:rsid w:val="00046B3E"/>
    <w:rsid w:val="001D4804"/>
    <w:rsid w:val="002D1E73"/>
    <w:rsid w:val="00581381"/>
    <w:rsid w:val="00603981"/>
    <w:rsid w:val="006D35A3"/>
    <w:rsid w:val="00750686"/>
    <w:rsid w:val="007B226F"/>
    <w:rsid w:val="007D130A"/>
    <w:rsid w:val="007F7760"/>
    <w:rsid w:val="008000F6"/>
    <w:rsid w:val="0080161D"/>
    <w:rsid w:val="0083689A"/>
    <w:rsid w:val="00C77D58"/>
    <w:rsid w:val="00E02C9C"/>
    <w:rsid w:val="00F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AC62"/>
  <w15:chartTrackingRefBased/>
  <w15:docId w15:val="{73592247-5823-4C03-B54F-3DD72BB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0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0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0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02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02B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02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02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02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02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02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2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2B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02B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0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8388</TotalTime>
  <Pages>1</Pages>
  <Words>311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cuchacovich</dc:creator>
  <cp:keywords/>
  <dc:description/>
  <cp:lastModifiedBy>raz cuchacovich</cp:lastModifiedBy>
  <cp:revision>1</cp:revision>
  <dcterms:created xsi:type="dcterms:W3CDTF">2024-12-29T08:34:00Z</dcterms:created>
  <dcterms:modified xsi:type="dcterms:W3CDTF">2025-01-19T07:32:00Z</dcterms:modified>
</cp:coreProperties>
</file>