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240" w:after="160"/>
      </w:pPr>
      <w:r>
        <w:rPr>
          <w:rFonts w:ascii="Arial" w:cs="Arial" w:eastAsia="Arial" w:hAnsi="Arial"/>
          <w:b/>
          <w:bCs/>
          <w:color w:val="111827"/>
          <w:sz w:val="28"/>
          <w:szCs w:val="28"/>
        </w:rPr>
        <w:t xml:space="preserve">Summary</w:t>
      </w:r>
    </w:p>
    <w:p>
      <w:pPr>
        <w:spacing w:after="120"/>
      </w:pPr>
      <w:r>
        <w:rPr>
          <w:rFonts w:ascii="Arial" w:cs="Arial" w:eastAsia="Arial" w:hAnsi="Arial"/>
          <w:sz w:val="22"/>
          <w:szCs w:val="22"/>
        </w:rPr>
        <w:t xml:space="preserve">The video addresses the significant challenges and solutions related to scaling large language model (LLM) inference for millions of users, focusing on optimizing GPU usage, latency, and costs. It emphasizes that although today's large models like GPT or LLaMA require extensive GPU memory (up to 80 GB) and computational power, serving them efficiently at scale without prohibitive costs is achievable through strategic infrastructure improvements.</w:t>
      </w:r>
    </w:p>
    <w:p>
      <w:pPr>
        <w:pStyle w:val="Heading3"/>
        <w:spacing w:before="240" w:after="160"/>
      </w:pPr>
      <w:r>
        <w:rPr>
          <w:rFonts w:ascii="Arial" w:cs="Arial" w:eastAsia="Arial" w:hAnsi="Arial"/>
          <w:b/>
          <w:bCs/>
          <w:color w:val="111827"/>
          <w:sz w:val="28"/>
          <w:szCs w:val="28"/>
        </w:rPr>
        <w:t xml:space="preserve">Key Points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Scaling Challenge</w:t>
      </w:r>
      <w:r>
        <w:rPr>
          <w:rFonts w:ascii="Arial" w:cs="Arial" w:eastAsia="Arial" w:hAnsi="Arial"/>
          <w:sz w:val="22"/>
          <w:szCs w:val="22"/>
        </w:rPr>
        <w:t xml:space="preserve">: Serving LLMs that require large GPU memory (e.g., 80 GB for some models) to millions of users results in major latency spikes and unsustainable costs. For example, processing a 500-token response token-by-token on a single GPU takes about 15 seconds, and every other request queues sequentially, causing bottlenecks.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Cost Implications</w:t>
      </w:r>
      <w:r>
        <w:rPr>
          <w:rFonts w:ascii="Arial" w:cs="Arial" w:eastAsia="Arial" w:hAnsi="Arial"/>
          <w:sz w:val="22"/>
          <w:szCs w:val="22"/>
        </w:rPr>
        <w:t xml:space="preserve">: An NVIDIA A100 GPU costs approximately $2/hour. Sequential token processing limits throughput to about 240 requests per GPU per hour. To handle 10,000 requests per hour, 42 GPUs are required, costing around $60,000 monthly. Most of this GPU time is spent idle during waiting periods between tokens.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Real-World Failures</w:t>
      </w:r>
      <w:r>
        <w:rPr>
          <w:rFonts w:ascii="Arial" w:cs="Arial" w:eastAsia="Arial" w:hAnsi="Arial"/>
          <w:sz w:val="22"/>
          <w:szCs w:val="22"/>
        </w:rPr>
        <w:t xml:space="preserve">: Companies like Character.AI faced crushing inference costs (millions/month) in 2023, and Meta had to rebuild their inference stack entirely to serve LLaMA at scale.</w:t>
      </w:r>
    </w:p>
    <w:p>
      <w:pPr>
        <w:pStyle w:val="Heading3"/>
        <w:spacing w:before="240" w:after="160"/>
      </w:pPr>
      <w:r>
        <w:rPr>
          <w:rFonts w:ascii="Arial" w:cs="Arial" w:eastAsia="Arial" w:hAnsi="Arial"/>
          <w:b/>
          <w:bCs/>
          <w:color w:val="111827"/>
          <w:sz w:val="28"/>
          <w:szCs w:val="28"/>
        </w:rPr>
        <w:t xml:space="preserve">Five Crucial Techniques for Production-Scale LLM Inference</w:t>
      </w:r>
    </w:p>
    <w:p>
      <w:pPr>
        <w:pStyle w:val="Heading3"/>
        <w:spacing w:before="240" w:after="160"/>
      </w:pPr>
      <w:r>
        <w:rPr>
          <w:rFonts w:ascii="Arial" w:cs="Arial" w:eastAsia="Arial" w:hAnsi="Arial"/>
          <w:b/>
          <w:bCs/>
          <w:color w:val="111827"/>
          <w:sz w:val="28"/>
          <w:szCs w:val="28"/>
        </w:rPr>
        <w:t xml:space="preserve">Optimization Principles &amp; Metrics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Measure Before Optimize</w:t>
      </w:r>
      <w:r>
        <w:rPr>
          <w:rFonts w:ascii="Arial" w:cs="Arial" w:eastAsia="Arial" w:hAnsi="Arial"/>
          <w:sz w:val="22"/>
          <w:szCs w:val="22"/>
        </w:rPr>
        <w:t xml:space="preserve">: Key metrics to track include: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GPU Utilization</w:t>
      </w:r>
      <w:r>
        <w:rPr>
          <w:rFonts w:ascii="Arial" w:cs="Arial" w:eastAsia="Arial" w:hAnsi="Arial"/>
          <w:sz w:val="22"/>
          <w:szCs w:val="22"/>
        </w:rPr>
        <w:t xml:space="preserve"> — how efficiently the GPU is used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Time to First Token</w:t>
      </w:r>
      <w:r>
        <w:rPr>
          <w:rFonts w:ascii="Arial" w:cs="Arial" w:eastAsia="Arial" w:hAnsi="Arial"/>
          <w:sz w:val="22"/>
          <w:szCs w:val="22"/>
        </w:rPr>
        <w:t xml:space="preserve"> — latency until first token is generated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Tokens per Second</w:t>
      </w:r>
      <w:r>
        <w:rPr>
          <w:rFonts w:ascii="Arial" w:cs="Arial" w:eastAsia="Arial" w:hAnsi="Arial"/>
          <w:sz w:val="22"/>
          <w:szCs w:val="22"/>
        </w:rPr>
        <w:t xml:space="preserve"> — throughput of token generation</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Understanding Latency Budgets</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For chatbots, sub-second latency to first token is critical.</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Batch pipelines can tolerate higher latencies (e.g., ~5 seconds) to achieve greater throughput.</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Trade-offs</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Quantization reduces costs but may degrade reasoning accuracy.</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Continuous batching boosts throughput but can increase latency for individual requests.</w:t>
      </w:r>
    </w:p>
    <w:p>
      <w:pPr>
        <w:pStyle w:val="Heading3"/>
        <w:spacing w:before="240" w:after="160"/>
      </w:pPr>
      <w:r>
        <w:rPr>
          <w:rFonts w:ascii="Arial" w:cs="Arial" w:eastAsia="Arial" w:hAnsi="Arial"/>
          <w:b/>
          <w:bCs/>
          <w:color w:val="111827"/>
          <w:sz w:val="28"/>
          <w:szCs w:val="28"/>
        </w:rPr>
        <w:t xml:space="preserve">Core Insights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Continuous batching is non-negotiable for scale</w:t>
      </w:r>
      <w:r>
        <w:rPr>
          <w:rFonts w:ascii="Arial" w:cs="Arial" w:eastAsia="Arial" w:hAnsi="Arial"/>
          <w:sz w:val="22"/>
          <w:szCs w:val="22"/>
        </w:rPr>
        <w:t xml:space="preserve"> because serving single requests sequentially wastes about 90% of GPU time.</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Quantization offers the biggest cost reduction</w:t>
      </w:r>
      <w:r>
        <w:rPr>
          <w:rFonts w:ascii="Arial" w:cs="Arial" w:eastAsia="Arial" w:hAnsi="Arial"/>
          <w:sz w:val="22"/>
          <w:szCs w:val="22"/>
        </w:rPr>
        <w:t xml:space="preserve">, reducing GPU memory and latency costs by up to 75%.</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Tailor optimizations to application needs</w:t>
      </w:r>
      <w:r>
        <w:rPr>
          <w:rFonts w:ascii="Arial" w:cs="Arial" w:eastAsia="Arial" w:hAnsi="Arial"/>
          <w:sz w:val="22"/>
          <w:szCs w:val="22"/>
        </w:rPr>
        <w:t xml:space="preserve">, balancing quality, latency, and throughput according to product requirements.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Infrastructure bottlenecks can only be optimized after measurement</w:t>
      </w:r>
      <w:r>
        <w:rPr>
          <w:rFonts w:ascii="Arial" w:cs="Arial" w:eastAsia="Arial" w:hAnsi="Arial"/>
          <w:sz w:val="22"/>
          <w:szCs w:val="22"/>
        </w:rPr>
        <w:t xml:space="preserve">, underscoring the need for robust monitoring.</w:t>
      </w:r>
    </w:p>
    <w:p>
      <w:pPr>
        <w:pStyle w:val="Heading3"/>
        <w:spacing w:before="240" w:after="160"/>
      </w:pPr>
      <w:r>
        <w:rPr>
          <w:rFonts w:ascii="Arial" w:cs="Arial" w:eastAsia="Arial" w:hAnsi="Arial"/>
          <w:b/>
          <w:bCs/>
          <w:color w:val="111827"/>
          <w:sz w:val="28"/>
          <w:szCs w:val="28"/>
        </w:rPr>
        <w:t xml:space="preserve">Summary Table: Cost and Performance Overview</w:t>
      </w:r>
    </w:p>
    <w:p>
      <w:pPr>
        <w:pStyle w:val="Heading3"/>
        <w:spacing w:before="240" w:after="160"/>
      </w:pPr>
      <w:r>
        <w:rPr>
          <w:rFonts w:ascii="Arial" w:cs="Arial" w:eastAsia="Arial" w:hAnsi="Arial"/>
          <w:b/>
          <w:bCs/>
          <w:color w:val="111827"/>
          <w:sz w:val="28"/>
          <w:szCs w:val="28"/>
        </w:rPr>
        <w:t xml:space="preserve">Conclusion</w:t>
      </w:r>
    </w:p>
    <w:p>
      <w:pPr>
        <w:spacing w:after="120"/>
      </w:pPr>
      <w:r>
        <w:rPr>
          <w:rFonts w:ascii="Arial" w:cs="Arial" w:eastAsia="Arial" w:hAnsi="Arial"/>
          <w:sz w:val="22"/>
          <w:szCs w:val="22"/>
        </w:rPr>
        <w:t xml:space="preserve">Efficient production deployment of large language models requires a combination of advanced inference infrastructure methods including </w:t>
      </w:r>
      <w:r>
        <w:rPr>
          <w:rFonts w:ascii="Arial" w:cs="Arial" w:eastAsia="Arial" w:hAnsi="Arial"/>
          <w:b/>
          <w:bCs/>
          <w:sz w:val="22"/>
          <w:szCs w:val="22"/>
        </w:rPr>
        <w:t xml:space="preserve">continuous batching, cache management, quantization, model parallelism, and intelligent routing</w:t>
      </w:r>
      <w:r>
        <w:rPr>
          <w:rFonts w:ascii="Arial" w:cs="Arial" w:eastAsia="Arial" w:hAnsi="Arial"/>
          <w:sz w:val="22"/>
          <w:szCs w:val="22"/>
        </w:rPr>
        <w:t xml:space="preserve">. These techniques drastically reduce operational costs, boost throughput, and maintain user experience within strict latency budgets. Measuring GPU utilization and latency metrics is critical before optimizing to identify bottlenecks effectively. Without these optimizations, scaling LLMs to millions of users is prohibitively expensive and impractical.</w:t>
      </w:r>
    </w:p>
    <w:p>
      <w:pPr>
        <w:spacing w:after="120"/>
      </w:pPr>
      <w:r>
        <w:rPr>
          <w:rFonts w:ascii="Arial" w:cs="Arial" w:eastAsia="Arial" w:hAnsi="Arial"/>
          <w:sz w:val="22"/>
          <w:szCs w:val="22"/>
        </w:rPr>
        <w:t xml:space="preserve">For those building large-scale AI services, </w:t>
      </w:r>
      <w:r>
        <w:rPr>
          <w:rFonts w:ascii="Arial" w:cs="Arial" w:eastAsia="Arial" w:hAnsi="Arial"/>
          <w:b/>
          <w:bCs/>
          <w:sz w:val="22"/>
          <w:szCs w:val="22"/>
        </w:rPr>
        <w:t xml:space="preserve">understanding and implementing these innovations is essential to achieve affordable, high-quality inference at scale</w:t>
      </w:r>
      <w:r>
        <w:rPr>
          <w:rFonts w:ascii="Arial" w:cs="Arial" w:eastAsia="Arial" w:hAnsi="Arial"/>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2026-07-04T11:45:16.925Z</dcterms:created>
  <dcterms:modified xsi:type="dcterms:W3CDTF">2026-07-04T11:45:16.925Z</dcterms:modified>
</cp:coreProperties>
</file>

<file path=docProps/custom.xml><?xml version="1.0" encoding="utf-8"?>
<Properties xmlns="http://schemas.openxmlformats.org/officeDocument/2006/custom-properties" xmlns:vt="http://schemas.openxmlformats.org/officeDocument/2006/docPropsVTypes"/>
</file>