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669E9" w:rsidRDefault="000669E9" w:rsidP="000669E9">
      <w:pPr>
        <w:pStyle w:val="NormalWeb"/>
        <w:spacing w:before="0" w:beforeAutospacing="0" w:after="180" w:afterAutospacing="0"/>
        <w:ind w:firstLine="720"/>
        <w:jc w:val="both"/>
        <w:rPr>
          <w:rFonts w:asciiTheme="minorHAnsi" w:hAnsiTheme="minorHAnsi" w:cstheme="minorHAnsi"/>
          <w:lang w:val="sr-Latn-RS"/>
        </w:rPr>
      </w:pPr>
      <w:bookmarkStart w:id="0" w:name="_GoBack"/>
      <w:bookmarkEnd w:id="0"/>
      <w:r>
        <w:rPr>
          <w:rFonts w:asciiTheme="minorHAnsi" w:hAnsiTheme="minorHAnsi" w:cstheme="minorHAnsi"/>
          <w:lang w:val="sr-Latn-RS"/>
        </w:rPr>
        <w:t>PRAVILA O DISKVALIFIKOVA</w:t>
      </w:r>
      <w:r w:rsidR="005D006D">
        <w:rPr>
          <w:rFonts w:asciiTheme="minorHAnsi" w:hAnsiTheme="minorHAnsi" w:cstheme="minorHAnsi"/>
          <w:lang w:val="sr-Latn-RS"/>
        </w:rPr>
        <w:t>CIJI DIREKTOR</w:t>
      </w:r>
      <w:r>
        <w:rPr>
          <w:rFonts w:asciiTheme="minorHAnsi" w:hAnsiTheme="minorHAnsi" w:cstheme="minorHAnsi"/>
          <w:lang w:val="sr-Latn-RS"/>
        </w:rPr>
        <w:t>A</w:t>
      </w:r>
    </w:p>
    <w:p w:rsidR="000669E9" w:rsidRPr="000669E9" w:rsidRDefault="000669E9" w:rsidP="000669E9">
      <w:pPr>
        <w:pStyle w:val="NormalWeb"/>
        <w:spacing w:before="0" w:beforeAutospacing="0" w:after="180" w:afterAutospacing="0"/>
        <w:ind w:firstLine="720"/>
        <w:jc w:val="both"/>
        <w:rPr>
          <w:rFonts w:asciiTheme="minorHAnsi" w:hAnsiTheme="minorHAnsi" w:cstheme="minorHAnsi"/>
          <w:b/>
          <w:bCs/>
          <w:lang w:val="sr-Latn-RS"/>
        </w:rPr>
      </w:pPr>
      <w:r>
        <w:rPr>
          <w:rFonts w:asciiTheme="minorHAnsi" w:hAnsiTheme="minorHAnsi" w:cstheme="minorHAnsi"/>
          <w:lang w:val="sr-Latn-RS"/>
        </w:rPr>
        <w:t xml:space="preserve">Uspostavljanje evidencije diskvalifikovanih direktora je obaveza koja je predviđena Direktivom 2019/1151. </w:t>
      </w:r>
      <w:r>
        <w:rPr>
          <w:rFonts w:asciiTheme="minorHAnsi" w:hAnsiTheme="minorHAnsi" w:cstheme="minorHAnsi"/>
          <w:b/>
          <w:bCs/>
          <w:lang w:val="sr-Latn-RS"/>
        </w:rPr>
        <w:t xml:space="preserve">Države članice moraju omogućiti da nadležni organ, prilikom provjere uslova za imenovanje direktora </w:t>
      </w:r>
      <w:r>
        <w:rPr>
          <w:rFonts w:asciiTheme="minorHAnsi" w:eastAsia="Times New Roman" w:hAnsiTheme="minorHAnsi" w:cstheme="minorHAnsi"/>
          <w:b/>
          <w:bCs/>
          <w:lang w:val="sr-Latn-RS"/>
        </w:rPr>
        <w:t>provjeri da li je lice diskvalifikovano u drugoj državi članici, i odbije imenovanje, ukoliko je diskvalifikacija relevantna prema nacionalnom pravu države u kojoj se društvo osniva ili posluje.</w:t>
      </w:r>
      <w:r>
        <w:rPr>
          <w:rFonts w:asciiTheme="minorHAnsi" w:hAnsiTheme="minorHAnsi" w:cstheme="minorHAnsi"/>
          <w:b/>
          <w:bCs/>
          <w:lang w:val="sr-Latn-RS"/>
        </w:rPr>
        <w:t xml:space="preserve"> </w:t>
      </w:r>
      <w:r>
        <w:rPr>
          <w:rFonts w:asciiTheme="minorHAnsi" w:hAnsiTheme="minorHAnsi" w:cstheme="minorHAnsi"/>
          <w:lang w:val="sr-Latn-RS"/>
        </w:rPr>
        <w:t xml:space="preserve">Na ovaj način se sprječava praksa da lica diskvalifikovana u jednoj državi „zaobiđu“ zabranu osnivanjem ili preuzimanjem upravljačke funkcije u drugoj državi članici. U tom kontekstu, ova evidencija je u naročito u funkciji </w:t>
      </w:r>
      <w:r>
        <w:rPr>
          <w:rFonts w:asciiTheme="minorHAnsi" w:eastAsia="Times New Roman" w:hAnsiTheme="minorHAnsi" w:cstheme="minorHAnsi"/>
          <w:lang w:val="sr-Latn-RS"/>
        </w:rPr>
        <w:t>zaštite povjerilaca, investitora i trećih lica, jačanja povjerenja u poslovne registre i očuvanja integriteta unutrašnjeg tržišta.</w:t>
      </w:r>
      <w:r>
        <w:rPr>
          <w:rFonts w:asciiTheme="minorHAnsi" w:hAnsiTheme="minorHAnsi" w:cstheme="minorHAnsi"/>
          <w:lang w:val="sr-Latn-RS"/>
        </w:rPr>
        <w:t xml:space="preserve"> Digitalna razmjena informacija o diskvalifikacijama ima preventivnu funkciju i doprinosi </w:t>
      </w:r>
      <w:r>
        <w:rPr>
          <w:rFonts w:asciiTheme="minorHAnsi" w:eastAsia="Times New Roman" w:hAnsiTheme="minorHAnsi" w:cstheme="minorHAnsi"/>
          <w:lang w:val="sr-Latn-RS"/>
        </w:rPr>
        <w:t>transparentnijem korporativnom okruženju, smanjenju rizika od prevara i zloupotreba i jačanju odgovornosti lica koja upravljaju privrednim društvima.</w:t>
      </w:r>
    </w:p>
    <w:p w:rsidR="000669E9" w:rsidRDefault="000669E9" w:rsidP="000669E9">
      <w:pPr>
        <w:pStyle w:val="NormalWeb"/>
        <w:spacing w:before="0" w:beforeAutospacing="0" w:after="180" w:afterAutospacing="0"/>
        <w:jc w:val="both"/>
        <w:rPr>
          <w:rFonts w:asciiTheme="minorHAnsi" w:hAnsiTheme="minorHAnsi" w:cstheme="minorHAnsi"/>
          <w:lang w:val="sr-Latn-RS"/>
        </w:rPr>
      </w:pPr>
      <w:r>
        <w:rPr>
          <w:rFonts w:asciiTheme="minorHAnsi" w:hAnsiTheme="minorHAnsi" w:cstheme="minorHAnsi"/>
          <w:lang w:val="sr-Latn-RS"/>
        </w:rPr>
        <w:t>Usklađivanje sa Direktivom 2019/1151 zahtijeva da nacionalni okvir:</w:t>
      </w:r>
    </w:p>
    <w:p w:rsidR="000669E9" w:rsidRDefault="000669E9" w:rsidP="000669E9">
      <w:pPr>
        <w:numPr>
          <w:ilvl w:val="0"/>
          <w:numId w:val="1"/>
        </w:numPr>
        <w:spacing w:after="0" w:line="240" w:lineRule="auto"/>
        <w:jc w:val="both"/>
        <w:rPr>
          <w:rFonts w:cstheme="minorHAnsi"/>
          <w:sz w:val="24"/>
          <w:szCs w:val="24"/>
          <w:lang w:val="sr-Latn-RS"/>
        </w:rPr>
      </w:pPr>
      <w:r>
        <w:rPr>
          <w:rFonts w:eastAsia="Times New Roman" w:cstheme="minorHAnsi"/>
          <w:sz w:val="24"/>
          <w:szCs w:val="24"/>
          <w:lang w:val="sr-Latn-RS"/>
        </w:rPr>
        <w:t>omogući provjeru diskvalifikacija direktora u drugim državama članicama,</w:t>
      </w:r>
    </w:p>
    <w:p w:rsidR="000669E9" w:rsidRDefault="000669E9" w:rsidP="000669E9">
      <w:pPr>
        <w:numPr>
          <w:ilvl w:val="0"/>
          <w:numId w:val="1"/>
        </w:numPr>
        <w:spacing w:after="0" w:line="240" w:lineRule="auto"/>
        <w:jc w:val="both"/>
        <w:rPr>
          <w:rFonts w:cstheme="minorHAnsi"/>
          <w:sz w:val="24"/>
          <w:szCs w:val="24"/>
          <w:lang w:val="sr-Latn-RS"/>
        </w:rPr>
      </w:pPr>
      <w:r>
        <w:rPr>
          <w:rFonts w:eastAsia="Times New Roman" w:cstheme="minorHAnsi"/>
          <w:sz w:val="24"/>
          <w:szCs w:val="24"/>
          <w:lang w:val="sr-Latn-RS"/>
        </w:rPr>
        <w:t>jasno definiše nadležni organ i postupak provjere,</w:t>
      </w:r>
    </w:p>
    <w:p w:rsidR="000669E9" w:rsidRDefault="000669E9" w:rsidP="000669E9">
      <w:pPr>
        <w:numPr>
          <w:ilvl w:val="0"/>
          <w:numId w:val="1"/>
        </w:numPr>
        <w:spacing w:after="0" w:line="240" w:lineRule="auto"/>
        <w:jc w:val="both"/>
        <w:rPr>
          <w:rFonts w:cstheme="minorHAnsi"/>
          <w:sz w:val="24"/>
          <w:szCs w:val="24"/>
          <w:lang w:val="sr-Latn-RS"/>
        </w:rPr>
      </w:pPr>
      <w:r>
        <w:rPr>
          <w:rFonts w:eastAsia="Times New Roman" w:cstheme="minorHAnsi"/>
          <w:sz w:val="24"/>
          <w:szCs w:val="24"/>
          <w:lang w:val="sr-Latn-RS"/>
        </w:rPr>
        <w:t>obezbijedi digitalnu razmjenu podataka putem poslovnih registara (npr. kroz BRIS),</w:t>
      </w:r>
    </w:p>
    <w:p w:rsidR="000669E9" w:rsidRDefault="000669E9" w:rsidP="000669E9">
      <w:pPr>
        <w:numPr>
          <w:ilvl w:val="0"/>
          <w:numId w:val="1"/>
        </w:numPr>
        <w:spacing w:after="0" w:line="240" w:lineRule="auto"/>
        <w:jc w:val="both"/>
        <w:rPr>
          <w:rFonts w:cstheme="minorHAnsi"/>
          <w:sz w:val="24"/>
          <w:szCs w:val="24"/>
          <w:lang w:val="sr-Latn-RS"/>
        </w:rPr>
      </w:pPr>
      <w:r>
        <w:rPr>
          <w:rFonts w:eastAsia="Times New Roman" w:cstheme="minorHAnsi"/>
          <w:sz w:val="24"/>
          <w:szCs w:val="24"/>
          <w:lang w:val="sr-Latn-RS"/>
        </w:rPr>
        <w:t>precizira pravne posljedice utvrđene diskvalifikacije po domaćem pravu.</w:t>
      </w:r>
    </w:p>
    <w:p w:rsidR="000669E9" w:rsidRDefault="000669E9" w:rsidP="000669E9">
      <w:pPr>
        <w:jc w:val="both"/>
        <w:rPr>
          <w:rFonts w:cstheme="minorHAnsi"/>
          <w:lang w:val="sr-Latn-RS"/>
        </w:rPr>
      </w:pPr>
    </w:p>
    <w:p w:rsidR="000669E9" w:rsidRDefault="000669E9" w:rsidP="000669E9">
      <w:pPr>
        <w:ind w:firstLine="720"/>
        <w:jc w:val="both"/>
        <w:rPr>
          <w:rFonts w:cstheme="minorHAnsi"/>
          <w:sz w:val="24"/>
          <w:szCs w:val="24"/>
          <w:lang w:val="sr-Latn-RS"/>
        </w:rPr>
      </w:pPr>
      <w:r>
        <w:rPr>
          <w:rFonts w:cstheme="minorHAnsi"/>
          <w:sz w:val="24"/>
          <w:szCs w:val="24"/>
          <w:lang w:val="sr-Latn-RS"/>
        </w:rPr>
        <w:t xml:space="preserve">U Zakonu o privrednim društvima, članom 309 </w:t>
      </w:r>
      <w:r>
        <w:rPr>
          <w:rFonts w:ascii="Calibri" w:hAnsi="Calibri" w:cs="Calibri"/>
          <w:sz w:val="24"/>
          <w:szCs w:val="24"/>
          <w:lang w:val="sr-Latn-RS"/>
        </w:rPr>
        <w:t>(Uslovi za imenovanje članova organa upravljanja akcionarskog društva), stav 2 propisano je:</w:t>
      </w:r>
    </w:p>
    <w:p w:rsidR="000669E9" w:rsidRDefault="000669E9" w:rsidP="000669E9">
      <w:pPr>
        <w:autoSpaceDE w:val="0"/>
        <w:autoSpaceDN w:val="0"/>
        <w:adjustRightInd w:val="0"/>
        <w:spacing w:after="0"/>
        <w:jc w:val="both"/>
        <w:rPr>
          <w:rFonts w:ascii="Calibri" w:hAnsi="Calibri" w:cs="Calibri"/>
          <w:i/>
          <w:iCs/>
          <w:sz w:val="24"/>
          <w:szCs w:val="24"/>
          <w:lang w:val="sr-Latn-RS"/>
        </w:rPr>
      </w:pPr>
      <w:r>
        <w:rPr>
          <w:rFonts w:ascii="Calibri" w:hAnsi="Calibri" w:cs="Calibri"/>
          <w:i/>
          <w:iCs/>
          <w:sz w:val="24"/>
          <w:szCs w:val="24"/>
          <w:lang w:val="sr-Latn-RS"/>
        </w:rPr>
        <w:t xml:space="preserve"> (2) Član organa upravljanja akcionarskog društva ne može biti:</w:t>
      </w:r>
    </w:p>
    <w:p w:rsidR="000669E9" w:rsidRDefault="000669E9" w:rsidP="000669E9">
      <w:pPr>
        <w:autoSpaceDE w:val="0"/>
        <w:autoSpaceDN w:val="0"/>
        <w:adjustRightInd w:val="0"/>
        <w:spacing w:after="0"/>
        <w:jc w:val="both"/>
        <w:rPr>
          <w:rFonts w:ascii="Calibri" w:hAnsi="Calibri" w:cs="Calibri"/>
          <w:i/>
          <w:iCs/>
          <w:sz w:val="24"/>
          <w:szCs w:val="24"/>
          <w:lang w:val="sr-Latn-RS"/>
        </w:rPr>
      </w:pPr>
      <w:r>
        <w:rPr>
          <w:rFonts w:ascii="Calibri" w:hAnsi="Calibri" w:cs="Calibri"/>
          <w:i/>
          <w:iCs/>
          <w:sz w:val="24"/>
          <w:szCs w:val="24"/>
          <w:lang w:val="sr-Latn-RS"/>
        </w:rPr>
        <w:t xml:space="preserve">   1) lice koje je osuđivano za krivična djela protiv: prava iz rada, intelektualne svojine, platnog prometa i privrednog poslovanja, imovine i službene dužnosti, dok traju pravne posljedice osude;</w:t>
      </w:r>
    </w:p>
    <w:p w:rsidR="000669E9" w:rsidRDefault="000669E9" w:rsidP="000669E9">
      <w:pPr>
        <w:autoSpaceDE w:val="0"/>
        <w:autoSpaceDN w:val="0"/>
        <w:adjustRightInd w:val="0"/>
        <w:spacing w:after="0"/>
        <w:jc w:val="both"/>
        <w:rPr>
          <w:rFonts w:ascii="Calibri" w:hAnsi="Calibri" w:cs="Calibri"/>
          <w:i/>
          <w:iCs/>
          <w:sz w:val="24"/>
          <w:szCs w:val="24"/>
          <w:lang w:val="sr-Latn-RS"/>
        </w:rPr>
      </w:pPr>
      <w:r>
        <w:rPr>
          <w:rFonts w:ascii="Calibri" w:hAnsi="Calibri" w:cs="Calibri"/>
          <w:i/>
          <w:iCs/>
          <w:sz w:val="24"/>
          <w:szCs w:val="24"/>
          <w:lang w:val="sr-Latn-RS"/>
        </w:rPr>
        <w:t xml:space="preserve">   2) revizor društva ili lice koje je bilo angažovano u vršenju revizije finansijskih izvještaja akcionarskog društva, do isteka roka u skladu sa posebnim zakonom;</w:t>
      </w:r>
    </w:p>
    <w:p w:rsidR="000669E9" w:rsidRDefault="000669E9" w:rsidP="000669E9">
      <w:pPr>
        <w:autoSpaceDE w:val="0"/>
        <w:autoSpaceDN w:val="0"/>
        <w:adjustRightInd w:val="0"/>
        <w:spacing w:after="0"/>
        <w:jc w:val="both"/>
        <w:rPr>
          <w:rFonts w:ascii="Calibri" w:hAnsi="Calibri" w:cs="Calibri"/>
          <w:i/>
          <w:iCs/>
          <w:sz w:val="24"/>
          <w:szCs w:val="24"/>
          <w:lang w:val="sr-Latn-RS"/>
        </w:rPr>
      </w:pPr>
      <w:r>
        <w:rPr>
          <w:rFonts w:ascii="Calibri" w:hAnsi="Calibri" w:cs="Calibri"/>
          <w:i/>
          <w:iCs/>
          <w:sz w:val="24"/>
          <w:szCs w:val="24"/>
          <w:lang w:val="sr-Latn-RS"/>
        </w:rPr>
        <w:t xml:space="preserve">   3) lice kome je izrečena mjera bezbjednosti zabrana obavljanja djelatnosti koja čini pretežnu djelatnost društva, za vrijeme dok ta mjera traje;</w:t>
      </w:r>
    </w:p>
    <w:p w:rsidR="000669E9" w:rsidRDefault="000669E9" w:rsidP="000669E9">
      <w:pPr>
        <w:autoSpaceDE w:val="0"/>
        <w:autoSpaceDN w:val="0"/>
        <w:adjustRightInd w:val="0"/>
        <w:spacing w:after="0"/>
        <w:jc w:val="both"/>
        <w:rPr>
          <w:rFonts w:ascii="Calibri" w:hAnsi="Calibri" w:cs="Calibri"/>
          <w:i/>
          <w:iCs/>
          <w:sz w:val="24"/>
          <w:szCs w:val="24"/>
          <w:lang w:val="sr-Latn-RS"/>
        </w:rPr>
      </w:pPr>
      <w:r>
        <w:rPr>
          <w:rFonts w:ascii="Calibri" w:hAnsi="Calibri" w:cs="Calibri"/>
          <w:i/>
          <w:iCs/>
          <w:sz w:val="24"/>
          <w:szCs w:val="24"/>
          <w:lang w:val="sr-Latn-RS"/>
        </w:rPr>
        <w:t xml:space="preserve">   4) lice kome je u državi članici Evropske unije izrečena mjera zabrana obavljanja djelatnosti ili zabrana obavljanja funkcije člana organa upravljanja, u skladu sa propisima te države članice.</w:t>
      </w:r>
    </w:p>
    <w:p w:rsidR="000669E9" w:rsidRDefault="000669E9" w:rsidP="000669E9">
      <w:pPr>
        <w:autoSpaceDE w:val="0"/>
        <w:autoSpaceDN w:val="0"/>
        <w:adjustRightInd w:val="0"/>
        <w:ind w:firstLine="720"/>
        <w:jc w:val="both"/>
        <w:rPr>
          <w:rFonts w:ascii="Calibri" w:hAnsi="Calibri" w:cs="Calibri"/>
          <w:sz w:val="24"/>
          <w:szCs w:val="24"/>
          <w:lang w:val="sr-Latn-RS"/>
        </w:rPr>
      </w:pPr>
      <w:r>
        <w:rPr>
          <w:rFonts w:ascii="Calibri" w:hAnsi="Calibri" w:cs="Calibri"/>
          <w:sz w:val="24"/>
          <w:szCs w:val="24"/>
          <w:lang w:val="sr-Latn-RS"/>
        </w:rPr>
        <w:t>Pored toga, stavom 4 i 5 istog člana propisano je sljedeće:</w:t>
      </w:r>
    </w:p>
    <w:p w:rsidR="000669E9" w:rsidRDefault="000669E9" w:rsidP="000669E9">
      <w:pPr>
        <w:autoSpaceDE w:val="0"/>
        <w:autoSpaceDN w:val="0"/>
        <w:adjustRightInd w:val="0"/>
        <w:spacing w:after="0"/>
        <w:jc w:val="both"/>
        <w:rPr>
          <w:rFonts w:ascii="Calibri" w:hAnsi="Calibri" w:cs="Calibri"/>
          <w:i/>
          <w:iCs/>
          <w:sz w:val="24"/>
          <w:szCs w:val="24"/>
          <w:lang w:val="sr-Latn-RS"/>
        </w:rPr>
      </w:pPr>
      <w:r>
        <w:rPr>
          <w:rFonts w:ascii="Calibri" w:hAnsi="Calibri" w:cs="Calibri"/>
          <w:i/>
          <w:iCs/>
          <w:sz w:val="24"/>
          <w:szCs w:val="24"/>
          <w:lang w:val="sr-Latn-RS"/>
        </w:rPr>
        <w:t>(4) Sud, odnosno drugi nadležni organ dužan je da odluku da je lice osuđeno za krivično djelo iz stava 2 tačka 1 ovog člana, odnosno da mu je izrečena mjera bezbjednosti iz stava 2 tačka 3 ovog člana dostavi organu nadležnom za registraciju u CRPS, u roku od 15 dana od dana pravosnažnosti odluke.</w:t>
      </w:r>
    </w:p>
    <w:p w:rsidR="000669E9" w:rsidRDefault="000669E9" w:rsidP="000669E9">
      <w:pPr>
        <w:autoSpaceDE w:val="0"/>
        <w:autoSpaceDN w:val="0"/>
        <w:adjustRightInd w:val="0"/>
        <w:spacing w:after="0"/>
        <w:jc w:val="both"/>
        <w:rPr>
          <w:rFonts w:ascii="Calibri" w:hAnsi="Calibri" w:cs="Calibri"/>
          <w:i/>
          <w:iCs/>
          <w:sz w:val="24"/>
          <w:szCs w:val="24"/>
          <w:lang w:val="sr-Latn-RS"/>
        </w:rPr>
      </w:pPr>
      <w:r>
        <w:rPr>
          <w:rFonts w:ascii="Calibri" w:hAnsi="Calibri" w:cs="Calibri"/>
          <w:i/>
          <w:iCs/>
          <w:sz w:val="24"/>
          <w:szCs w:val="24"/>
          <w:lang w:val="sr-Latn-RS"/>
        </w:rPr>
        <w:t>(5) Ako za vrijeme trajanja mandata član organa upravljanja akcionarskog društva prestane da ispunjava uslove za imenovanje, dužan je da o tome, bez odlaganja, obavijesti organ upravljanja čiji je član, koji će o ovoj činjenici obavijestiti skupštinu akcionarskog društva, odnosno organ upravljanja koji je imenovao tog člana.</w:t>
      </w:r>
    </w:p>
    <w:p w:rsidR="000669E9" w:rsidRDefault="000669E9" w:rsidP="000669E9">
      <w:pPr>
        <w:autoSpaceDE w:val="0"/>
        <w:autoSpaceDN w:val="0"/>
        <w:adjustRightInd w:val="0"/>
        <w:spacing w:after="0"/>
        <w:jc w:val="both"/>
        <w:rPr>
          <w:rFonts w:ascii="Calibri" w:hAnsi="Calibri" w:cs="Calibri"/>
          <w:sz w:val="24"/>
          <w:szCs w:val="24"/>
          <w:lang w:val="sr-Latn-RS"/>
        </w:rPr>
      </w:pPr>
      <w:r>
        <w:rPr>
          <w:rFonts w:ascii="Calibri" w:hAnsi="Calibri" w:cs="Calibri"/>
          <w:sz w:val="24"/>
          <w:szCs w:val="24"/>
          <w:lang w:val="sr-Latn-RS"/>
        </w:rPr>
        <w:t xml:space="preserve"> Stavovima 17-22 istog člana uređena je obaveza postupanja nadležnog organa za registraciju:</w:t>
      </w:r>
    </w:p>
    <w:p w:rsidR="000669E9" w:rsidRDefault="000669E9" w:rsidP="000669E9">
      <w:pPr>
        <w:autoSpaceDE w:val="0"/>
        <w:autoSpaceDN w:val="0"/>
        <w:adjustRightInd w:val="0"/>
        <w:spacing w:after="0"/>
        <w:jc w:val="both"/>
        <w:rPr>
          <w:rFonts w:ascii="Calibri" w:hAnsi="Calibri" w:cs="Calibri"/>
          <w:i/>
          <w:iCs/>
          <w:sz w:val="24"/>
          <w:szCs w:val="24"/>
          <w:lang w:val="sr-Latn-RS"/>
        </w:rPr>
      </w:pPr>
      <w:r>
        <w:rPr>
          <w:rFonts w:ascii="Calibri" w:hAnsi="Calibri" w:cs="Calibri"/>
          <w:i/>
          <w:iCs/>
          <w:sz w:val="24"/>
          <w:szCs w:val="24"/>
          <w:lang w:val="sr-Latn-RS"/>
        </w:rPr>
        <w:lastRenderedPageBreak/>
        <w:t>(17) Organ nadležan za registraciju u CRPS odbiće zahtjev za registraciju člana organa upravljanja ako lice na koje se zahtjev odnosi ne ispunjava uslove iz st. 1, 2 i 3 ovog člana.</w:t>
      </w:r>
    </w:p>
    <w:p w:rsidR="000669E9" w:rsidRDefault="000669E9" w:rsidP="000669E9">
      <w:pPr>
        <w:autoSpaceDE w:val="0"/>
        <w:autoSpaceDN w:val="0"/>
        <w:adjustRightInd w:val="0"/>
        <w:spacing w:after="0"/>
        <w:jc w:val="both"/>
        <w:rPr>
          <w:rFonts w:ascii="Calibri" w:hAnsi="Calibri" w:cs="Calibri"/>
          <w:i/>
          <w:iCs/>
          <w:sz w:val="24"/>
          <w:szCs w:val="24"/>
          <w:lang w:val="sr-Latn-RS"/>
        </w:rPr>
      </w:pPr>
      <w:r>
        <w:rPr>
          <w:rFonts w:ascii="Calibri" w:hAnsi="Calibri" w:cs="Calibri"/>
          <w:i/>
          <w:iCs/>
          <w:sz w:val="24"/>
          <w:szCs w:val="24"/>
          <w:lang w:val="sr-Latn-RS"/>
        </w:rPr>
        <w:t>(18) Organ nadležan za registraciju u CRPS unosi podatke o licima koja, u smislu stava 2 tač. 1, 3 i 4 ovog člana ne mogu biti članovi organa upravljanja (diskvalifikovani direktor), pravnom osnovu i vremenskom trajanju zabrane, odnosno nemogućnosti imenovanja.</w:t>
      </w:r>
    </w:p>
    <w:p w:rsidR="000669E9" w:rsidRDefault="000669E9" w:rsidP="000669E9">
      <w:pPr>
        <w:autoSpaceDE w:val="0"/>
        <w:autoSpaceDN w:val="0"/>
        <w:adjustRightInd w:val="0"/>
        <w:spacing w:after="0"/>
        <w:jc w:val="both"/>
        <w:rPr>
          <w:rFonts w:ascii="Calibri" w:hAnsi="Calibri" w:cs="Calibri"/>
          <w:i/>
          <w:iCs/>
          <w:sz w:val="24"/>
          <w:szCs w:val="24"/>
          <w:lang w:val="sr-Latn-RS"/>
        </w:rPr>
      </w:pPr>
      <w:r>
        <w:rPr>
          <w:rFonts w:ascii="Calibri" w:hAnsi="Calibri" w:cs="Calibri"/>
          <w:i/>
          <w:iCs/>
          <w:sz w:val="24"/>
          <w:szCs w:val="24"/>
          <w:lang w:val="sr-Latn-RS"/>
        </w:rPr>
        <w:t>(19) Kad istekne vremenski period zabrane, odnosno nemogućnosti imenovanja ili na drugi način prestane zabrana imenovanja u organu upravljanja akcionarskog društva, organ nadležan za registraciju u CRPS će, na zahtjev zainteresovanog lica, brisati podatke o diskvalifikovanom direktoru.</w:t>
      </w:r>
    </w:p>
    <w:p w:rsidR="000669E9" w:rsidRDefault="000669E9" w:rsidP="000669E9">
      <w:pPr>
        <w:autoSpaceDE w:val="0"/>
        <w:autoSpaceDN w:val="0"/>
        <w:adjustRightInd w:val="0"/>
        <w:spacing w:after="0"/>
        <w:jc w:val="both"/>
        <w:rPr>
          <w:rFonts w:ascii="Calibri" w:hAnsi="Calibri" w:cs="Calibri"/>
          <w:i/>
          <w:iCs/>
          <w:sz w:val="24"/>
          <w:szCs w:val="24"/>
          <w:lang w:val="sr-Latn-RS"/>
        </w:rPr>
      </w:pPr>
      <w:r>
        <w:rPr>
          <w:rFonts w:ascii="Calibri" w:hAnsi="Calibri" w:cs="Calibri"/>
          <w:i/>
          <w:iCs/>
          <w:sz w:val="24"/>
          <w:szCs w:val="24"/>
          <w:lang w:val="sr-Latn-RS"/>
        </w:rPr>
        <w:t>(20) Organ nadležan za registraciju u CRPS dužan je da, bez odlaganja, na zahtjev nadležnog registra iz druge države članice Evropske unije, putem sistema interkonekcije registara, dostavi podatke iz stava 18 ovog člana.</w:t>
      </w:r>
    </w:p>
    <w:p w:rsidR="000669E9" w:rsidRDefault="000669E9" w:rsidP="000669E9">
      <w:pPr>
        <w:autoSpaceDE w:val="0"/>
        <w:autoSpaceDN w:val="0"/>
        <w:adjustRightInd w:val="0"/>
        <w:spacing w:after="0"/>
        <w:jc w:val="both"/>
        <w:rPr>
          <w:rFonts w:ascii="Calibri" w:hAnsi="Calibri" w:cs="Calibri"/>
          <w:i/>
          <w:iCs/>
          <w:sz w:val="24"/>
          <w:szCs w:val="24"/>
          <w:lang w:val="sr-Latn-RS"/>
        </w:rPr>
      </w:pPr>
      <w:r>
        <w:rPr>
          <w:rFonts w:ascii="Calibri" w:hAnsi="Calibri" w:cs="Calibri"/>
          <w:i/>
          <w:iCs/>
          <w:sz w:val="24"/>
          <w:szCs w:val="24"/>
          <w:lang w:val="sr-Latn-RS"/>
        </w:rPr>
        <w:t>(21) Lični podaci kandidata za direktora čuvaju se samo onoliko koliko je nužno za sprovođenje provjere da li ta lica mogu biti imenovana za članove organa upravljanja, a najduže koliko traju rokovi za čuvanje podataka u skladu sa zakonom kojim se uređuje registracija privrednih i drugih subjekata.</w:t>
      </w:r>
    </w:p>
    <w:p w:rsidR="000669E9" w:rsidRDefault="000669E9" w:rsidP="000669E9">
      <w:pPr>
        <w:autoSpaceDE w:val="0"/>
        <w:autoSpaceDN w:val="0"/>
        <w:adjustRightInd w:val="0"/>
        <w:spacing w:after="0"/>
        <w:jc w:val="both"/>
        <w:rPr>
          <w:rFonts w:ascii="Calibri" w:hAnsi="Calibri" w:cs="Calibri"/>
          <w:i/>
          <w:iCs/>
          <w:sz w:val="24"/>
          <w:szCs w:val="24"/>
          <w:lang w:val="sr-Latn-RS"/>
        </w:rPr>
      </w:pPr>
      <w:r>
        <w:rPr>
          <w:rFonts w:ascii="Calibri" w:hAnsi="Calibri" w:cs="Calibri"/>
          <w:i/>
          <w:iCs/>
          <w:sz w:val="24"/>
          <w:szCs w:val="24"/>
          <w:lang w:val="sr-Latn-RS"/>
        </w:rPr>
        <w:t>(22) Lični podaci lica iz stava 18 ovog člana čuvaju se dok traje period zabrane, odnosno nemogućnosti imenovanja, a najduže koliko traju rokovi za čuvanje podataka u skladu sa zakonom kojim se uređuje registracija privrednih i drugih subjekata.</w:t>
      </w:r>
    </w:p>
    <w:p w:rsidR="000669E9" w:rsidRDefault="000669E9" w:rsidP="000669E9">
      <w:pPr>
        <w:jc w:val="both"/>
        <w:rPr>
          <w:rFonts w:cstheme="minorHAnsi"/>
          <w:lang w:val="sr-Latn-RS"/>
        </w:rPr>
      </w:pPr>
    </w:p>
    <w:p w:rsidR="000669E9" w:rsidRDefault="000669E9" w:rsidP="000669E9">
      <w:pPr>
        <w:ind w:firstLine="720"/>
        <w:jc w:val="both"/>
        <w:rPr>
          <w:rFonts w:cstheme="minorHAnsi"/>
          <w:sz w:val="24"/>
          <w:szCs w:val="24"/>
          <w:lang w:val="sr-Latn-RS"/>
        </w:rPr>
      </w:pPr>
      <w:r>
        <w:rPr>
          <w:rFonts w:cstheme="minorHAnsi"/>
          <w:sz w:val="24"/>
          <w:szCs w:val="24"/>
          <w:lang w:val="sr-Latn-RS"/>
        </w:rPr>
        <w:t xml:space="preserve">U Zakonu o registraciji, članom 9 </w:t>
      </w:r>
      <w:r>
        <w:rPr>
          <w:rFonts w:ascii="Calibri" w:hAnsi="Calibri" w:cs="Calibri"/>
          <w:sz w:val="24"/>
          <w:szCs w:val="24"/>
          <w:lang w:val="sr-Latn-RS"/>
        </w:rPr>
        <w:t>(Sadržaj registara)</w:t>
      </w:r>
      <w:r>
        <w:rPr>
          <w:rFonts w:cstheme="minorHAnsi"/>
          <w:sz w:val="24"/>
          <w:szCs w:val="24"/>
          <w:lang w:val="sr-Latn-RS"/>
        </w:rPr>
        <w:t>, propisano je da</w:t>
      </w:r>
      <w:r>
        <w:rPr>
          <w:rFonts w:ascii="Calibri" w:hAnsi="Calibri" w:cs="Calibri"/>
          <w:sz w:val="24"/>
          <w:szCs w:val="24"/>
          <w:lang w:val="sr-Latn-RS"/>
        </w:rPr>
        <w:t xml:space="preserve"> Registar privrednih subjekata sadrži podatke (između ostalog) i o diskvalifikovanim direktorima. Pored toga, Pravilnikom o bližem sadržaju i načinu vođenja Registra privrednih subjekata, Registra drugih subjekata i Registra stečajnih masa, u članu 4, stav 2 propisano je:</w:t>
      </w:r>
    </w:p>
    <w:p w:rsidR="000669E9" w:rsidRPr="000669E9" w:rsidRDefault="000669E9" w:rsidP="000669E9">
      <w:pPr>
        <w:autoSpaceDE w:val="0"/>
        <w:autoSpaceDN w:val="0"/>
        <w:adjustRightInd w:val="0"/>
        <w:jc w:val="both"/>
        <w:rPr>
          <w:rFonts w:ascii="Calibri" w:hAnsi="Calibri" w:cs="Calibri"/>
          <w:i/>
          <w:iCs/>
          <w:sz w:val="24"/>
          <w:szCs w:val="24"/>
          <w:lang w:val="sr-Latn-RS"/>
        </w:rPr>
      </w:pPr>
      <w:r>
        <w:rPr>
          <w:rFonts w:ascii="Calibri" w:hAnsi="Calibri" w:cs="Calibri"/>
          <w:i/>
          <w:iCs/>
          <w:sz w:val="24"/>
          <w:szCs w:val="24"/>
          <w:lang w:val="sr-Latn-RS"/>
        </w:rPr>
        <w:t xml:space="preserve"> (2) Pored podataka iz člana 3 ovog pravilnika Registar privrednih subjekata sadrži podatke o diskvalifikovanim direktorima, i to: ime i prezime diskvalifikovanog direktora, datum rođenja, dodatne identifikacione podatke (jedinstveni matični broj, odnosno broj pasoša), razloge za diskvalifikaciju u skladu sa zakonom kojim se uređuju privredna društva, pravnom osnovu, datum odluke, period trajanja zabrane shodno pravosnažnoj sudskoj oduci, broj predmeta odnosno spisa, naziv nadležnog organa koji je donio odluku o diskvalifikaciji direktora kao i informacije o svim ograničenjima diskvalifikacije.</w:t>
      </w:r>
    </w:p>
    <w:p w:rsidR="000669E9" w:rsidRDefault="000669E9" w:rsidP="000669E9">
      <w:pPr>
        <w:pStyle w:val="NormalWeb"/>
        <w:spacing w:before="0" w:beforeAutospacing="0" w:after="180" w:afterAutospacing="0"/>
        <w:ind w:firstLine="720"/>
        <w:jc w:val="both"/>
        <w:rPr>
          <w:rFonts w:asciiTheme="minorHAnsi" w:hAnsiTheme="minorHAnsi" w:cstheme="minorHAnsi"/>
          <w:lang w:val="sr-Latn-RS"/>
        </w:rPr>
      </w:pPr>
      <w:r>
        <w:rPr>
          <w:rFonts w:asciiTheme="minorHAnsi" w:hAnsiTheme="minorHAnsi" w:cstheme="minorHAnsi"/>
          <w:lang w:val="sr-Latn-RS"/>
        </w:rPr>
        <w:t>Zakon o privrednim društvima jasno prepoznaje diskvalifikacije izrečene u državama članicama i propisuje obavezu njihovog evidentiranja,  postupanje organa nadležnog za registraciju prilikom imenovanja direktora, kao i pravila čuvanja podataka. Istovremeno, Zakon o registraciji i podzakonski akti obezbjeđuju postojanje posebne evidencije diskvalifikovanih direktora sa definisanim sadržajem. Time se obezbjeđuju preduslovi za efikasnu digitalnu razmjenu informacija putem sistema interkonekcije registara, u skladu sa ciljevima Direktive. Ovakvo rješenje doprinosi jačanju pravne sigurnosti, zaštiti povjerilaca i investitora i sprječavanju zloupotreba u prekograničnom poslovanju. U cjelini, uspostavljeni sistem predstavlja važan mehanizam za jačanje transparentnosti korporativnog upravljanja, unapređenje povjerenja u poslovne registre i očuvanje integriteta unutrašnjeg tržišta.</w:t>
      </w:r>
    </w:p>
    <w:p w:rsidR="000669E9" w:rsidRPr="000669E9" w:rsidRDefault="000669E9" w:rsidP="000669E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sr-Latn-RS"/>
        </w:rPr>
      </w:pPr>
      <w:r w:rsidRPr="000669E9">
        <w:rPr>
          <w:rFonts w:ascii="Times New Roman" w:hAnsi="Times New Roman" w:cs="Times New Roman"/>
          <w:sz w:val="24"/>
          <w:szCs w:val="24"/>
          <w:lang w:val="sr-Latn-RS"/>
        </w:rPr>
        <w:t xml:space="preserve"> </w:t>
      </w:r>
    </w:p>
    <w:p w:rsidR="00866BC7" w:rsidRPr="0022724C" w:rsidRDefault="00866BC7">
      <w:pPr>
        <w:rPr>
          <w:lang w:val="sr-Latn-RS"/>
        </w:rPr>
      </w:pPr>
    </w:p>
    <w:sectPr w:rsidR="00866BC7" w:rsidRPr="002272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7DF56E1"/>
    <w:multiLevelType w:val="multilevel"/>
    <w:tmpl w:val="6A640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trackRevision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24C"/>
    <w:rsid w:val="000669E9"/>
    <w:rsid w:val="0022724C"/>
    <w:rsid w:val="005D006D"/>
    <w:rsid w:val="006C63BF"/>
    <w:rsid w:val="00866BC7"/>
    <w:rsid w:val="008C7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CA924D1-E550-41CE-AE0F-AF135B90E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2724C"/>
    <w:rPr>
      <w:rFonts w:eastAsiaTheme="minorHAnsi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669E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GB" w:eastAsia="zh-TW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669E9"/>
    <w:pPr>
      <w:spacing w:after="0" w:line="240" w:lineRule="auto"/>
    </w:pPr>
    <w:rPr>
      <w:rFonts w:ascii="Calibri" w:hAnsi="Calibri" w:cs="Calibr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669E9"/>
    <w:rPr>
      <w:rFonts w:ascii="Calibri" w:eastAsiaTheme="minorHAnsi" w:hAnsi="Calibri" w:cs="Calibri"/>
      <w:sz w:val="20"/>
      <w:szCs w:val="20"/>
      <w:lang w:val="en-US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0669E9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69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69E9"/>
    <w:rPr>
      <w:rFonts w:ascii="Segoe UI" w:eastAsiaTheme="minorHAns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930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955</Words>
  <Characters>5446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</dc:creator>
  <cp:keywords/>
  <dc:description/>
  <cp:lastModifiedBy>Dijana Filipovic</cp:lastModifiedBy>
  <cp:revision>2</cp:revision>
  <dcterms:created xsi:type="dcterms:W3CDTF">2026-02-06T07:58:00Z</dcterms:created>
  <dcterms:modified xsi:type="dcterms:W3CDTF">2026-02-06T07:58:00Z</dcterms:modified>
</cp:coreProperties>
</file>