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4"/>
        </w:rPr>
        <w:t>BAB III</w:t>
      </w:r>
    </w:p>
    <w:p>
      <w:pPr>
        <w:spacing w:before="0" w:after="80" w:line="360" w:lineRule="auto"/>
        <w:jc w:val="center"/>
      </w:pPr>
      <w:r>
        <w:rPr>
          <w:rFonts w:ascii="Times New Roman" w:hAnsi="Times New Roman"/>
          <w:b/>
          <w:i w:val="0"/>
          <w:sz w:val="24"/>
        </w:rPr>
        <w:t>METODOLOGI</w:t>
      </w:r>
    </w:p>
    <w:p>
      <w:pPr>
        <w:spacing w:before="280" w:after="160" w:line="360" w:lineRule="auto"/>
        <w:jc w:val="left"/>
      </w:pPr>
      <w:r>
        <w:rPr>
          <w:rFonts w:ascii="Times New Roman" w:hAnsi="Times New Roman"/>
          <w:b/>
          <w:i w:val="0"/>
          <w:sz w:val="24"/>
        </w:rPr>
        <w:t>3.1</w:t>
        <w:tab/>
        <w:t>Jenis Penelitian</w:t>
      </w:r>
    </w:p>
    <w:p>
      <w:pPr>
        <w:spacing w:before="0" w:after="120" w:line="360" w:lineRule="auto"/>
        <w:jc w:val="both"/>
      </w:pPr>
      <w:r>
        <w:rPr>
          <w:rFonts w:ascii="Times New Roman" w:hAnsi="Times New Roman"/>
          <w:b w:val="0"/>
          <w:i w:val="0"/>
          <w:sz w:val="24"/>
        </w:rPr>
        <w:t>Studi ini dikategorikan sebagai studi dengan pendekatan metode kuantitatif. Data curah hujan historis diolah secara statistik untuk menentukan intensitas curah hujan rencana dan selanjutnya digunakan dalam perhitungan debit limpasan permukaan. Pemodelan hidrolika memanfaatkan prinsip-prinsip kuantitatif untuk mendesain dimensi optimal sistem drainase dan kolam retensi berdasarkan volume tampungan yang dibutuhkan. Analisis dilakukan pada satu basis data terpadu (SQLite) yang menjadi sumber kebenaran seluruh angka, sehingga setiap keluaran dapat ditelusuri, dihitung ulang, dan divalidasi silang terhadap berkas kerja spreadsheet. Dengan demikian, data numerik dan analisis statistik menjadi fondasi dalam menghasilkan spesifikasi teknis perancangan.</w:t>
      </w:r>
    </w:p>
    <w:p>
      <w:pPr>
        <w:spacing w:before="280" w:after="160" w:line="360" w:lineRule="auto"/>
        <w:jc w:val="left"/>
      </w:pPr>
      <w:r>
        <w:rPr>
          <w:rFonts w:ascii="Times New Roman" w:hAnsi="Times New Roman"/>
          <w:b/>
          <w:i w:val="0"/>
          <w:sz w:val="24"/>
        </w:rPr>
        <w:t>3.2</w:t>
        <w:tab/>
        <w:t>Lokasi Perencanaan</w:t>
      </w:r>
    </w:p>
    <w:p>
      <w:pPr>
        <w:spacing w:before="0" w:after="120" w:line="360" w:lineRule="auto"/>
        <w:jc w:val="both"/>
      </w:pPr>
      <w:r>
        <w:rPr>
          <w:rFonts w:ascii="Times New Roman" w:hAnsi="Times New Roman"/>
          <w:b w:val="0"/>
          <w:i w:val="0"/>
          <w:sz w:val="24"/>
        </w:rPr>
        <w:t>Perencanaan ini berfokus pada kawasan perumahan Rajawali Residence yang berada di Jalan Wonodadi 2, Kecamatan Sungai Raya, Kabupaten Kubu Raya, sebagaimana ditunjukkan pada Gambar 3.1. Kawasan perumahan ini terdiri atas 160 unit residensial dengan tipologi bangunan tunggal Tipe 36, dengan luas kawasan 2,88 hektar (28.800 m²) dan luas atap rata-rata 65 m² per unit (total 10.400 m² atau 36,1% luas kawasan). Perancangan sistem dilakukan berdasarkan data dan analisis tersebut.</w:t>
      </w:r>
    </w:p>
    <w:p>
      <w:pPr>
        <w:spacing w:before="0" w:after="120" w:line="360" w:lineRule="auto"/>
        <w:jc w:val="center"/>
      </w:pPr>
      <w:r>
        <w:rPr>
          <w:rFonts w:ascii="Times New Roman" w:hAnsi="Times New Roman"/>
          <w:b w:val="0"/>
          <w:i/>
          <w:sz w:val="24"/>
        </w:rPr>
        <w:t>Gambar 3.1 Lokasi Perencanaan</w:t>
      </w:r>
    </w:p>
    <w:p>
      <w:pPr>
        <w:spacing w:before="0" w:after="120" w:line="360" w:lineRule="auto"/>
        <w:jc w:val="center"/>
      </w:pPr>
      <w:r>
        <w:rPr>
          <w:rFonts w:ascii="Times New Roman" w:hAnsi="Times New Roman"/>
          <w:b w:val="0"/>
          <w:i/>
          <w:sz w:val="24"/>
        </w:rPr>
        <w:t>Gambar 3.2 Siteplan</w:t>
      </w:r>
    </w:p>
    <w:p>
      <w:pPr>
        <w:spacing w:before="280" w:after="160" w:line="360" w:lineRule="auto"/>
        <w:jc w:val="left"/>
      </w:pPr>
      <w:r>
        <w:rPr>
          <w:rFonts w:ascii="Times New Roman" w:hAnsi="Times New Roman"/>
          <w:b/>
          <w:i w:val="0"/>
          <w:sz w:val="24"/>
        </w:rPr>
        <w:t>3.3</w:t>
        <w:tab/>
        <w:t>Data dan Alat yang Dibutuhkan</w:t>
      </w:r>
    </w:p>
    <w:p>
      <w:pPr>
        <w:spacing w:before="200" w:after="120" w:line="360" w:lineRule="auto"/>
        <w:jc w:val="left"/>
      </w:pPr>
      <w:r>
        <w:rPr>
          <w:rFonts w:ascii="Times New Roman" w:hAnsi="Times New Roman"/>
          <w:b/>
          <w:i w:val="0"/>
          <w:sz w:val="24"/>
        </w:rPr>
        <w:t>3.3.1</w:t>
        <w:tab/>
        <w:t>Data Primer</w:t>
      </w:r>
    </w:p>
    <w:p>
      <w:pPr>
        <w:spacing w:before="0" w:after="120" w:line="360" w:lineRule="auto"/>
        <w:jc w:val="both"/>
      </w:pPr>
      <w:r>
        <w:rPr>
          <w:rFonts w:ascii="Times New Roman" w:hAnsi="Times New Roman"/>
          <w:b w:val="0"/>
          <w:i w:val="0"/>
          <w:sz w:val="24"/>
        </w:rPr>
        <w:t>Data primer yang wajib dikumpulkan dalam studi perencanaan ini meliputi:</w:t>
      </w:r>
    </w:p>
    <w:p>
      <w:pPr>
        <w:spacing w:before="0" w:after="80" w:line="360" w:lineRule="auto"/>
        <w:ind w:left="567" w:hanging="340"/>
        <w:jc w:val="both"/>
      </w:pPr>
      <w:r>
        <w:rPr>
          <w:rFonts w:ascii="Times New Roman" w:hAnsi="Times New Roman"/>
          <w:b w:val="0"/>
          <w:i w:val="0"/>
          <w:sz w:val="24"/>
        </w:rPr>
        <w:t>•</w:t>
        <w:tab/>
        <w:t>Dimensi saluran drainase eksisting (lebar dan tinggi saluran), diperoleh melalui pengukuran langsung di lapangan menggunakan meteran.</w:t>
      </w:r>
    </w:p>
    <w:p>
      <w:pPr>
        <w:spacing w:before="0" w:after="80" w:line="360" w:lineRule="auto"/>
        <w:ind w:left="567" w:hanging="340"/>
        <w:jc w:val="both"/>
      </w:pPr>
      <w:r>
        <w:rPr>
          <w:rFonts w:ascii="Times New Roman" w:hAnsi="Times New Roman"/>
          <w:b w:val="0"/>
          <w:i w:val="0"/>
          <w:sz w:val="24"/>
        </w:rPr>
        <w:t>•</w:t>
        <w:tab/>
        <w:t>Elevasi/beda tinggi antara titik talang atap dan titik rencana kolam retensi, diperoleh melalui pengukuran langsung menggunakan waterpass.</w:t>
      </w:r>
    </w:p>
    <w:p>
      <w:pPr>
        <w:spacing w:before="0" w:after="80" w:line="360" w:lineRule="auto"/>
        <w:ind w:left="567" w:hanging="340"/>
        <w:jc w:val="both"/>
      </w:pPr>
      <w:r>
        <w:rPr>
          <w:rFonts w:ascii="Times New Roman" w:hAnsi="Times New Roman"/>
          <w:b w:val="0"/>
          <w:i w:val="0"/>
          <w:sz w:val="24"/>
        </w:rPr>
        <w:t>•</w:t>
        <w:tab/>
        <w:t>Dokumentasi kondisi eksisting kawasan, diperoleh melalui pemotretan langsung di lapangan.</w:t>
      </w:r>
    </w:p>
    <w:p>
      <w:pPr>
        <w:spacing w:before="200" w:after="120" w:line="360" w:lineRule="auto"/>
        <w:jc w:val="left"/>
      </w:pPr>
      <w:r>
        <w:rPr>
          <w:rFonts w:ascii="Times New Roman" w:hAnsi="Times New Roman"/>
          <w:b/>
          <w:i w:val="0"/>
          <w:sz w:val="24"/>
        </w:rPr>
        <w:t>3.3.2</w:t>
        <w:tab/>
        <w:t>Data Sekunder</w:t>
      </w:r>
    </w:p>
    <w:p>
      <w:pPr>
        <w:spacing w:before="0" w:after="120" w:line="360" w:lineRule="auto"/>
        <w:jc w:val="both"/>
      </w:pPr>
      <w:r>
        <w:rPr>
          <w:rFonts w:ascii="Times New Roman" w:hAnsi="Times New Roman"/>
          <w:b w:val="0"/>
          <w:i w:val="0"/>
          <w:sz w:val="24"/>
        </w:rPr>
        <w:t>Data sekunder yang wajib dikumpulkan dalam studi perencanaan ini meliputi:</w:t>
      </w:r>
    </w:p>
    <w:p>
      <w:pPr>
        <w:spacing w:before="0" w:after="80" w:line="360" w:lineRule="auto"/>
        <w:ind w:left="567" w:hanging="340"/>
        <w:jc w:val="both"/>
      </w:pPr>
      <w:r>
        <w:rPr>
          <w:rFonts w:ascii="Times New Roman" w:hAnsi="Times New Roman"/>
          <w:b w:val="0"/>
          <w:i w:val="0"/>
          <w:sz w:val="24"/>
        </w:rPr>
        <w:t>•</w:t>
        <w:tab/>
        <w:t>Data curah hujan harian dari Stasiun BWSK Sungai Ambawang periode 2012–2025 (14 tahun). Data ini dipakai untuk menyusun hujan harian maksimum tahunan, uji homogenitas, uji konsistensi, analisis frekuensi, dan neraca air bulanan. Panjang data 14 tahun dipilih dengan pertimbangan bahwa SNI 2415:2016 §4.2.1 menyarankan panjang data lebih dari 20 tahun, sedangkan pedoman perencanaan Direktorat Jenderal Cipta Karya mensyaratkan minimum 10 tahun; dengan demikian 14 tahun memenuhi syarat minimum pedoman perencanaan. Data harian Stasiun Meteorologi Supadio tidak dipakai untuk hujan rencana karena arsip hariannya tidak tersedia secara utuh di repositori penelitian.</w:t>
      </w:r>
    </w:p>
    <w:p>
      <w:pPr>
        <w:spacing w:before="0" w:after="80" w:line="360" w:lineRule="auto"/>
        <w:ind w:left="567" w:hanging="340"/>
        <w:jc w:val="both"/>
      </w:pPr>
      <w:r>
        <w:rPr>
          <w:rFonts w:ascii="Times New Roman" w:hAnsi="Times New Roman"/>
          <w:b w:val="0"/>
          <w:i w:val="0"/>
          <w:sz w:val="24"/>
        </w:rPr>
        <w:t>•</w:t>
        <w:tab/>
        <w:t>Data iklim untuk perhitungan evaporasi kolam (suhu udara, kelembapan relatif, kecepatan angin, dan tekanan udara) dari arsip Integrated Surface Database (ISD) NOAA Stasiun Supadio (WMO 96581) periode 2012–2025, serta radiasi matahari (Rs) dari NASA POWER (produk CERES). NASA POWER merupakan produk satelit/reanalisis, bukan pengamatan stasiun; penggunaannya dinyatakan secara eksplisit dan polanya diverifikasi konsisten terhadap pola musiman iklim setempat. Data iklim ini dipakai untuk menghitung evaporasi muka air dengan metode Penman (1948).</w:t>
      </w:r>
    </w:p>
    <w:p>
      <w:pPr>
        <w:spacing w:before="0" w:after="80" w:line="360" w:lineRule="auto"/>
        <w:ind w:left="567" w:hanging="340"/>
        <w:jc w:val="both"/>
      </w:pPr>
      <w:r>
        <w:rPr>
          <w:rFonts w:ascii="Times New Roman" w:hAnsi="Times New Roman"/>
          <w:b w:val="0"/>
          <w:i w:val="0"/>
          <w:sz w:val="24"/>
        </w:rPr>
        <w:t>•</w:t>
        <w:tab/>
        <w:t>Siteplan dan gambar teknis kawasan perumahan, diperoleh dari pengembang Rajawali Residence.</w:t>
      </w:r>
    </w:p>
    <w:p>
      <w:pPr>
        <w:spacing w:before="0" w:after="80" w:line="360" w:lineRule="auto"/>
        <w:ind w:left="567" w:hanging="340"/>
        <w:jc w:val="both"/>
      </w:pPr>
      <w:r>
        <w:rPr>
          <w:rFonts w:ascii="Times New Roman" w:hAnsi="Times New Roman"/>
          <w:b w:val="0"/>
          <w:i w:val="0"/>
          <w:sz w:val="24"/>
        </w:rPr>
        <w:t>•</w:t>
        <w:tab/>
        <w:t>Standar dan pedoman teknis, meliputi SNI 03-7065-2005, SNI 2415:2016, koefisien kekasaran Manning, dan pedoman perencanaan drainase/kolam retensi.</w:t>
      </w:r>
    </w:p>
    <w:p>
      <w:pPr>
        <w:spacing w:before="0" w:after="120" w:line="360" w:lineRule="auto"/>
        <w:jc w:val="both"/>
      </w:pPr>
      <w:r>
        <w:rPr>
          <w:rFonts w:ascii="Times New Roman" w:hAnsi="Times New Roman"/>
          <w:b w:val="0"/>
          <w:i w:val="0"/>
          <w:sz w:val="24"/>
        </w:rPr>
        <w:t>Pengendalian mutu data hujan dilakukan dengan aturan tertulis. Nilai yang bertanda meragukan atau tidak konsisten dengan akumulasi sub-harian ditolak. Hari tanpa data dibiarkan kosong (NULL) dan tidak diisi dengan nilai sintetis, sejalan dengan SNI 2415:2016 §4.2.3 (data kosong tidak perlu dilakukan pengisian data) dan WMO-168 §9.7.2 (hindari pengisian data sintetis). Pada seri 2012–2025 terdapat 12 hari tanpa data (0,23%).</w:t>
      </w:r>
    </w:p>
    <w:p>
      <w:pPr>
        <w:spacing w:before="200" w:after="120" w:line="360" w:lineRule="auto"/>
        <w:jc w:val="left"/>
      </w:pPr>
      <w:r>
        <w:rPr>
          <w:rFonts w:ascii="Times New Roman" w:hAnsi="Times New Roman"/>
          <w:b/>
          <w:i w:val="0"/>
          <w:sz w:val="24"/>
        </w:rPr>
        <w:t>3.3.3</w:t>
        <w:tab/>
        <w:t>Alat yang Dibutuhkan</w:t>
      </w:r>
    </w:p>
    <w:p>
      <w:pPr>
        <w:spacing w:before="0" w:after="120" w:line="360" w:lineRule="auto"/>
        <w:jc w:val="both"/>
      </w:pPr>
      <w:r>
        <w:rPr>
          <w:rFonts w:ascii="Times New Roman" w:hAnsi="Times New Roman"/>
          <w:b w:val="0"/>
          <w:i w:val="0"/>
          <w:sz w:val="24"/>
        </w:rPr>
        <w:t>Alat-alat yang digunakan dalam penelitian ini meliputi:</w:t>
      </w:r>
    </w:p>
    <w:p>
      <w:pPr>
        <w:spacing w:before="0" w:after="80" w:line="360" w:lineRule="auto"/>
        <w:ind w:left="567" w:hanging="340"/>
        <w:jc w:val="both"/>
      </w:pPr>
      <w:r>
        <w:rPr>
          <w:rFonts w:ascii="Times New Roman" w:hAnsi="Times New Roman"/>
          <w:b w:val="0"/>
          <w:i w:val="0"/>
          <w:sz w:val="24"/>
        </w:rPr>
        <w:t>•</w:t>
        <w:tab/>
        <w:t>Perangkat keras (hardware): komputer/laptop untuk pengolahan data dan penyusunan laporan, serta peralatan survei (meteran, alat tulis, kamera).</w:t>
      </w:r>
    </w:p>
    <w:p>
      <w:pPr>
        <w:spacing w:before="0" w:after="80" w:line="360" w:lineRule="auto"/>
        <w:ind w:left="567" w:hanging="340"/>
        <w:jc w:val="both"/>
      </w:pPr>
      <w:r>
        <w:rPr>
          <w:rFonts w:ascii="Times New Roman" w:hAnsi="Times New Roman"/>
          <w:b w:val="0"/>
          <w:i w:val="0"/>
          <w:sz w:val="24"/>
        </w:rPr>
        <w:t>•</w:t>
        <w:tab/>
        <w:t>Perangkat lunak (software): pengolah data spreadsheet (Microsoft Excel) untuk berkas kerja berformula hidup; bahasa pemrograman Python beserta pustaka analisis data (pandas, numpy, matplotlib) dan basis data SQLite sebagai sumber kebenaran; serta perangkat lunak desain teknik Computer-Aided Design (CAD/AutoCAD) untuk gambar perancangan.</w:t>
      </w:r>
    </w:p>
    <w:p>
      <w:pPr>
        <w:spacing w:before="280" w:after="160" w:line="360" w:lineRule="auto"/>
        <w:jc w:val="left"/>
      </w:pPr>
      <w:r>
        <w:rPr>
          <w:rFonts w:ascii="Times New Roman" w:hAnsi="Times New Roman"/>
          <w:b/>
          <w:i w:val="0"/>
          <w:sz w:val="24"/>
        </w:rPr>
        <w:t>3.4</w:t>
        <w:tab/>
        <w:t>Analisis Data</w:t>
      </w:r>
    </w:p>
    <w:p>
      <w:pPr>
        <w:spacing w:before="0" w:after="120" w:line="360" w:lineRule="auto"/>
        <w:jc w:val="both"/>
      </w:pPr>
      <w:r>
        <w:rPr>
          <w:rFonts w:ascii="Times New Roman" w:hAnsi="Times New Roman"/>
          <w:b w:val="0"/>
          <w:i w:val="0"/>
          <w:sz w:val="24"/>
        </w:rPr>
        <w:t>Tahapan analisis dalam perancangan ini dilakukan untuk membuat desain sistem perpipaan beserta fasilitas pendukung, dengan mempertimbangkan berbagai aspek tambahan seperti faktor keselamatan.</w:t>
      </w:r>
    </w:p>
    <w:p>
      <w:pPr>
        <w:spacing w:before="0" w:after="80" w:line="360" w:lineRule="auto"/>
        <w:ind w:left="567" w:hanging="340"/>
        <w:jc w:val="both"/>
      </w:pPr>
      <w:r>
        <w:rPr>
          <w:rFonts w:ascii="Times New Roman" w:hAnsi="Times New Roman"/>
          <w:b w:val="0"/>
          <w:i w:val="0"/>
          <w:sz w:val="24"/>
        </w:rPr>
        <w:t>•</w:t>
        <w:tab/>
        <w:t>Analisis hidrologi bertujuan menentukan besaran debit limpasan yang masuk ke sistem yang direncanakan. Proses dimulai dengan evaluasi data curah hujan, meliputi uji homogenitas (Uji-t dua arah pada α = 5%), uji konsistensi (deviasi kumulatif), analisis frekuensi, dan penentuan intensitas curah hujan rencana kala ulang 10 tahun. Uji kecocokan Chi-Kuadrat dilakukan dengan lima kelas yang dibatasi hujan rencana kala ulang 2, 5, 10, dan 25 tahun, dengan peluang kelas yang menjumlah satu (0,50; 0,20; 0,10; 0,06; dan 0,14) dan syarat frekuensi harapan E ≥ 5 dipenuhi melalui penggabungan kelas. Debit inflow dihitung dengan Metode Rasional dan intensitas hujan diperoleh melalui konversi curah hujan harian maksimum menggunakan metode Mononobe. Debit inflow selanjutnya menjadi dasar perencanaan dimensi pipa dan kapasitas tampungan kolam retensi.</w:t>
      </w:r>
    </w:p>
    <w:p>
      <w:pPr>
        <w:spacing w:before="0" w:after="80" w:line="360" w:lineRule="auto"/>
        <w:ind w:left="567" w:hanging="340"/>
        <w:jc w:val="both"/>
      </w:pPr>
      <w:r>
        <w:rPr>
          <w:rFonts w:ascii="Times New Roman" w:hAnsi="Times New Roman"/>
          <w:b w:val="0"/>
          <w:i w:val="0"/>
          <w:sz w:val="24"/>
        </w:rPr>
        <w:t>•</w:t>
        <w:tab/>
        <w:t>Analisis hidrolika mencakup penentuan dimensi pipa (koefisien Manning, kemiringan, geometri penampang basah), kapasitas aliran maksimum, tinggi jagaan (freeboard), dan perencanaan kolam tampungan. Untuk keperluan perancangan awal, pipa diperlakukan sebagai pipa kontinu yang dialiri penuh dengan kemiringan tetap; kehilangan energi di ujung pipa dan gesekan lokal ditinjau pada tahap teknis lanjutan. Bangunan pelimpah (overflow) direncanakan untuk mengendalikan muka air maksimum pada kolam agar sistem tetap aman pada kondisi hujan ekstrem.</w:t>
      </w:r>
    </w:p>
    <w:p>
      <w:pPr>
        <w:spacing w:before="0" w:after="80" w:line="360" w:lineRule="auto"/>
        <w:ind w:left="567" w:hanging="340"/>
        <w:jc w:val="both"/>
      </w:pPr>
      <w:r>
        <w:rPr>
          <w:rFonts w:ascii="Times New Roman" w:hAnsi="Times New Roman"/>
          <w:b w:val="0"/>
          <w:i w:val="0"/>
          <w:sz w:val="24"/>
        </w:rPr>
        <w:t>•</w:t>
        <w:tab/>
        <w:t>Analisis ekonomi teknik meliputi penyusunan Rencana Anggaran Biaya (RAB) sebagai biaya investasi awal, estimasi biaya operasional dan pemeliharaan, serta analisis potensi pendapatan dari retribusi air hujan, untuk menentukan titik keseimbangan (Break Even Point) sebagai dasar penilaian kelayakan investasi dari sudut pandang pengembang.</w:t>
      </w:r>
    </w:p>
    <w:p>
      <w:pPr>
        <w:spacing w:before="0" w:after="80" w:line="360" w:lineRule="auto"/>
        <w:ind w:left="567" w:hanging="340"/>
        <w:jc w:val="both"/>
      </w:pPr>
      <w:r>
        <w:rPr>
          <w:rFonts w:ascii="Times New Roman" w:hAnsi="Times New Roman"/>
          <w:b w:val="0"/>
          <w:i w:val="0"/>
          <w:sz w:val="24"/>
        </w:rPr>
        <w:t>•</w:t>
        <w:tab/>
        <w:t>Hasil visual dari perancangan berupa gambar-gambar teknis yang merinci struktur utama dan bangunan pelengkap pada sistem drainase dan kolam retensi.</w:t>
      </w:r>
    </w:p>
    <w:p>
      <w:pPr>
        <w:spacing w:before="200" w:after="120" w:line="360" w:lineRule="auto"/>
        <w:jc w:val="left"/>
      </w:pPr>
      <w:r>
        <w:rPr>
          <w:rFonts w:ascii="Times New Roman" w:hAnsi="Times New Roman"/>
          <w:b/>
          <w:i w:val="0"/>
          <w:sz w:val="24"/>
        </w:rPr>
        <w:t>3.4.1</w:t>
        <w:tab/>
        <w:t>Analisis Kebutuhan Air dan Neraca Air</w:t>
      </w:r>
    </w:p>
    <w:p>
      <w:pPr>
        <w:spacing w:before="0" w:after="120" w:line="360" w:lineRule="auto"/>
        <w:jc w:val="both"/>
      </w:pPr>
      <w:r>
        <w:rPr>
          <w:rFonts w:ascii="Times New Roman" w:hAnsi="Times New Roman"/>
          <w:b w:val="0"/>
          <w:i w:val="0"/>
          <w:sz w:val="24"/>
        </w:rPr>
        <w:t>Tahap ini menjawab kebutuhan penyimpanan air baku kawasan. Kebutuhan air harian total dihitung dari jumlah unit rumah, rata-rata jumlah penghuni per unit, dan standar kebutuhan air domestik (Persamaan 3.1):</w:t>
      </w:r>
    </w:p>
    <w:p>
      <w:pPr>
        <w:spacing w:before="0" w:after="120" w:line="360" w:lineRule="auto"/>
        <w:jc w:val="center"/>
      </w:pPr>
      <w:r>
        <w:rPr>
          <w:rFonts w:ascii="Times New Roman" w:hAnsi="Times New Roman"/>
          <w:b w:val="0"/>
          <w:i/>
          <w:sz w:val="24"/>
        </w:rPr>
        <w:t>Qharian = n_unit · n_jiwa · q (3.1)</w:t>
      </w:r>
    </w:p>
    <w:p>
      <w:pPr>
        <w:spacing w:before="0" w:after="120" w:line="360" w:lineRule="auto"/>
        <w:jc w:val="both"/>
      </w:pPr>
      <w:r>
        <w:rPr>
          <w:rFonts w:ascii="Times New Roman" w:hAnsi="Times New Roman"/>
          <w:b w:val="0"/>
          <w:i w:val="0"/>
          <w:sz w:val="24"/>
        </w:rPr>
        <w:t>dengan Qharian = kebutuhan air harian total kawasan (liter/hari), n_unit = jumlah unit rumah, n_jiwa = rata-rata jumlah penghuni per unit, dan q = standar kebutuhan air domestik (liter/jiwa/hari).</w:t>
      </w:r>
    </w:p>
    <w:p>
      <w:pPr>
        <w:spacing w:before="0" w:after="120" w:line="360" w:lineRule="auto"/>
        <w:jc w:val="both"/>
      </w:pPr>
      <w:r>
        <w:rPr>
          <w:rFonts w:ascii="Times New Roman" w:hAnsi="Times New Roman"/>
          <w:b w:val="0"/>
          <w:i w:val="0"/>
          <w:sz w:val="24"/>
        </w:rPr>
        <w:t>Selanjutnya disusun neraca air bulanan dengan membandingkan volume pasokan air hujan (Vsupply) terhadap volume kebutuhan (Vdemand) untuk setiap bulan, menggunakan Persamaan 2.23 sampai 2.25 pada Bab II. Volume pasokan berasal dari limpasan atap (C · A · R) ditambah hujan yang jatuh langsung di permukaan kolam (P · Ap). Dari neraca kumulatif tersebut, volume kebutuhan penyimpanan (Vs) ditentukan sebagai selisih antara tampungan kumulatif tertinggi dan terendah (Persamaan 2.26), yang secara grafis diperoleh melalui metode kurva massa (diagram Rippl). Keandalan sistem dievaluasi sebagai persentase bulan yang kebutuhannya terpenuhi sepenuhnya (Persamaan 2.27).</w:t>
      </w:r>
    </w:p>
    <w:p>
      <w:pPr>
        <w:spacing w:before="0" w:after="120" w:line="360" w:lineRule="auto"/>
        <w:jc w:val="both"/>
      </w:pPr>
      <w:r>
        <w:rPr>
          <w:rFonts w:ascii="Times New Roman" w:hAnsi="Times New Roman"/>
          <w:b w:val="0"/>
          <w:i w:val="0"/>
          <w:sz w:val="24"/>
        </w:rPr>
        <w:t>Karena air hujan dibatasi untuk kebutuhan non-potabel (Subbab 2.1), neraca air dihitung untuk beberapa fraksi kebutuhan yang dilayani (100%, 70%, 65%, 60%, dan 50%) dengan fraksi desain 65%, yaitu titik tengah rentang 60–70% kebutuhan non-potabel; batas bawah 50% mengacu pada Vovk dkk. (2023).</w:t>
      </w:r>
    </w:p>
    <w:p>
      <w:pPr>
        <w:spacing w:before="0" w:after="120" w:line="360" w:lineRule="auto"/>
        <w:jc w:val="both"/>
      </w:pPr>
      <w:r>
        <w:rPr>
          <w:rFonts w:ascii="Times New Roman" w:hAnsi="Times New Roman"/>
          <w:b w:val="0"/>
          <w:i w:val="0"/>
          <w:sz w:val="24"/>
        </w:rPr>
        <w:t>Evaporasi permukaan kolam dihitung dengan metode Penman (1948) untuk muka air terbuka, bukan dengan pendekatan evapotranspirasi acuan rumput. Sehubungan dengan itu, istilah yang dipakai pada naskah ini adalah “evaporasi” dan bukan “ET0” atau “E0”. Karena luas permukaan kolam (Ap) memengaruhi besarnya evaporasi dan hujan langsung yang masuk, sedangkan volume kolam (Vs) menentukan Ap, maka Ap dan Vs saling bergantung; keduanya diselesaikan secara iteratif sampai mencapai titik tetap.</w:t>
      </w:r>
    </w:p>
    <w:p>
      <w:pPr>
        <w:spacing w:before="200" w:after="120" w:line="360" w:lineRule="auto"/>
        <w:jc w:val="left"/>
      </w:pPr>
      <w:r>
        <w:rPr>
          <w:rFonts w:ascii="Times New Roman" w:hAnsi="Times New Roman"/>
          <w:b/>
          <w:i w:val="0"/>
          <w:sz w:val="24"/>
        </w:rPr>
        <w:t>3.4.2</w:t>
        <w:tab/>
        <w:t>Perhitungan Debit Limpasan Rencana (Q)</w:t>
      </w:r>
    </w:p>
    <w:p>
      <w:pPr>
        <w:spacing w:before="0" w:after="120" w:line="360" w:lineRule="auto"/>
        <w:jc w:val="both"/>
      </w:pPr>
      <w:r>
        <w:rPr>
          <w:rFonts w:ascii="Times New Roman" w:hAnsi="Times New Roman"/>
          <w:b w:val="0"/>
          <w:i w:val="0"/>
          <w:sz w:val="24"/>
        </w:rPr>
        <w:t>Debit limpasan dihitung dengan Metode Rasional sesuai Persamaan 2.22:</w:t>
      </w:r>
    </w:p>
    <w:p>
      <w:pPr>
        <w:spacing w:before="0" w:after="120" w:line="360" w:lineRule="auto"/>
        <w:jc w:val="center"/>
      </w:pPr>
      <w:r>
        <w:rPr>
          <w:rFonts w:ascii="Times New Roman" w:hAnsi="Times New Roman"/>
          <w:b w:val="0"/>
          <w:i/>
          <w:sz w:val="24"/>
        </w:rPr>
        <w:t>QT = 0,278 · C · I · A (3.2)</w:t>
      </w:r>
    </w:p>
    <w:p>
      <w:pPr>
        <w:spacing w:before="0" w:after="120" w:line="360" w:lineRule="auto"/>
        <w:jc w:val="both"/>
      </w:pPr>
      <w:r>
        <w:rPr>
          <w:rFonts w:ascii="Times New Roman" w:hAnsi="Times New Roman"/>
          <w:b w:val="0"/>
          <w:i w:val="0"/>
          <w:sz w:val="24"/>
        </w:rPr>
        <w:t>dengan QT = debit rencana (m³/detik), C = koefisien pengaliran sesuai material atap, I = intensitas hujan (mm/jam) dari Persamaan 2.18, dan A = luas total atap (km²).</w:t>
      </w:r>
    </w:p>
    <w:p>
      <w:pPr>
        <w:spacing w:before="0" w:after="120" w:line="360" w:lineRule="auto"/>
        <w:jc w:val="both"/>
      </w:pPr>
      <w:r>
        <w:rPr>
          <w:rFonts w:ascii="Times New Roman" w:hAnsi="Times New Roman"/>
          <w:b w:val="0"/>
          <w:i w:val="0"/>
          <w:sz w:val="24"/>
        </w:rPr>
        <w:t>Kala ulang hujan rencana ditetapkan T = 10 tahun. Penetapan ini bersifat konservatif dan dipertanggungjawabkan melalui beberapa dasar: (a) pedoman perencanaan drainase Direktorat Jenderal Cipta Karya menetapkan kala ulang sekitar 2 tahun untuk daerah tangkapan berukuran kecil (kurang dari 10 ha), sehingga T = 10 tahun berada di sisi aman; (b) Tata Cara Perencanaan Kolam Retensi mengarahkan pemilihan kala ulang berdasarkan tingkat risiko yang diterima; (c) praktik penelitian kolam retensi kawasan permukiman (antara lain studi Bangkinang dan Roy dkk., 2019) memakai kala ulang pada kisaran ini; dan (d) rumus risiko r = 1 − (1 − 1/T)^n menunjukkan bahwa untuk T = 10 tahun dengan umur layan n = 20 tahun, peluang terjadinya paling sedikit satu kejadian hujan yang menyamai atau melampaui hujan rencana adalah sekitar 87,8%.</w:t>
      </w:r>
    </w:p>
    <w:p>
      <w:pPr>
        <w:spacing w:before="200" w:after="120" w:line="360" w:lineRule="auto"/>
        <w:jc w:val="left"/>
      </w:pPr>
      <w:r>
        <w:rPr>
          <w:rFonts w:ascii="Times New Roman" w:hAnsi="Times New Roman"/>
          <w:b/>
          <w:i w:val="0"/>
          <w:sz w:val="24"/>
        </w:rPr>
        <w:t>3.4.3</w:t>
        <w:tab/>
        <w:t>Penentuan Volume Kolam Retensi (Kriteria Ganda)</w:t>
      </w:r>
    </w:p>
    <w:p>
      <w:pPr>
        <w:spacing w:before="0" w:after="120" w:line="360" w:lineRule="auto"/>
        <w:jc w:val="both"/>
      </w:pPr>
      <w:r>
        <w:rPr>
          <w:rFonts w:ascii="Times New Roman" w:hAnsi="Times New Roman"/>
          <w:b w:val="0"/>
          <w:i w:val="0"/>
          <w:sz w:val="24"/>
        </w:rPr>
        <w:t>Sesuai fungsi ganda kolam sebagai reservoir air baku dan sarana atenuasi limpasan, volume kolam ditentukan berdasarkan dua kriteria. Kriteria pertama adalah volume kebutuhan penyimpanan (Vs) dari analisis neraca air (Subbab 3.4.1). Kriteria kedua adalah volume atenuasi limpasan (Va) yang dihitung dari akumulasi debit puncak selama durasi hujan efektif (Persamaan 2.30 dan 2.31 pada Bab II). Volume desain kolam ditetapkan sebagai nilai terbesar di antara keduanya (Persamaan 2.32 pada Bab II), sehingga kolam mampu memenuhi kedua fungsi sekaligus. Durasi hujan efektif th pada Persamaan 2.31 ditetapkan sebagai kriteria desain sebesar 1 jam dan diuji sensitivitasnya pada 0,5 sampai 3 jam. Dimensi geometri kolam, tinggi jagaan, dan bangunan pelimpah (overflow) kemudian ditentukan berdasarkan volume desain tersebut, dengan mempertimbangkan bahwa kolam dirancang kedap (lined) mengingat kondisi tanah gambut di kawasan studi.</w:t>
      </w:r>
    </w:p>
    <w:p>
      <w:pPr>
        <w:spacing w:before="200" w:after="120" w:line="360" w:lineRule="auto"/>
        <w:jc w:val="left"/>
      </w:pPr>
      <w:r>
        <w:rPr>
          <w:rFonts w:ascii="Times New Roman" w:hAnsi="Times New Roman"/>
          <w:b/>
          <w:i w:val="0"/>
          <w:sz w:val="24"/>
        </w:rPr>
        <w:t>3.4.4</w:t>
        <w:tab/>
        <w:t>Perhitungan dan Verifikasi Dimensi Pipa</w:t>
      </w:r>
    </w:p>
    <w:p>
      <w:pPr>
        <w:spacing w:before="0" w:after="120" w:line="360" w:lineRule="auto"/>
        <w:jc w:val="both"/>
      </w:pPr>
      <w:r>
        <w:rPr>
          <w:rFonts w:ascii="Times New Roman" w:hAnsi="Times New Roman"/>
          <w:b w:val="0"/>
          <w:i w:val="0"/>
          <w:sz w:val="24"/>
        </w:rPr>
        <w:t>Diameter teoritis pipa dihitung menggunakan Persamaan Manning untuk kondisi aliran penuh (full flow) agar memiliki faktor aman.</w:t>
      </w:r>
    </w:p>
    <w:p>
      <w:pPr>
        <w:spacing w:before="0" w:after="120" w:line="360" w:lineRule="auto"/>
        <w:jc w:val="center"/>
      </w:pPr>
      <w:r>
        <w:rPr>
          <w:rFonts w:ascii="Times New Roman" w:hAnsi="Times New Roman"/>
          <w:b w:val="0"/>
          <w:i/>
          <w:sz w:val="24"/>
        </w:rPr>
        <w:t>D = (4 · Q · n / (π · S^0,5))^(3/8) (3.3)</w:t>
      </w:r>
    </w:p>
    <w:p>
      <w:pPr>
        <w:spacing w:before="0" w:after="120" w:line="360" w:lineRule="auto"/>
        <w:jc w:val="both"/>
      </w:pPr>
      <w:r>
        <w:rPr>
          <w:rFonts w:ascii="Times New Roman" w:hAnsi="Times New Roman"/>
          <w:b w:val="0"/>
          <w:i w:val="0"/>
          <w:sz w:val="24"/>
        </w:rPr>
        <w:t>Diameter teoritis (D) dibulatkan ke atas ke ukuran pipa standar yang tersedia di pasaran. Setelah diameter komersial (Dkomersial) dipilih, kecepatan aliran aktual di dalam pipa diverifikasi untuk memastikan kinerja yang baik:</w:t>
      </w:r>
    </w:p>
    <w:p>
      <w:pPr>
        <w:spacing w:before="0" w:after="120" w:line="360" w:lineRule="auto"/>
        <w:jc w:val="center"/>
      </w:pPr>
      <w:r>
        <w:rPr>
          <w:rFonts w:ascii="Times New Roman" w:hAnsi="Times New Roman"/>
          <w:b w:val="0"/>
          <w:i/>
          <w:sz w:val="24"/>
        </w:rPr>
        <w:t>V = Qrencana / Apipa (3.4)</w:t>
      </w:r>
    </w:p>
    <w:p>
      <w:pPr>
        <w:spacing w:before="0" w:after="120" w:line="360" w:lineRule="auto"/>
        <w:jc w:val="both"/>
      </w:pPr>
      <w:r>
        <w:rPr>
          <w:rFonts w:ascii="Times New Roman" w:hAnsi="Times New Roman"/>
          <w:b w:val="0"/>
          <w:i w:val="0"/>
          <w:sz w:val="24"/>
        </w:rPr>
        <w:t>dengan V = kecepatan aliran (m/detik), Qrencana = debit rencana pada pipa (m³/detik), dan Apipa = luas penampang pipa (m²).</w:t>
      </w:r>
    </w:p>
    <w:p>
      <w:pPr>
        <w:spacing w:before="0" w:after="120" w:line="360" w:lineRule="auto"/>
        <w:jc w:val="both"/>
      </w:pPr>
      <w:r>
        <w:rPr>
          <w:rFonts w:ascii="Times New Roman" w:hAnsi="Times New Roman"/>
          <w:b w:val="0"/>
          <w:i w:val="0"/>
          <w:sz w:val="24"/>
        </w:rPr>
        <w:t>Pada tahap perancangan ini, pipa diperlakukan sebagai pipa kontinu dengan kemiringan tetap; skema aliran adalah gravitasi untuk jalur atap menuju kolam, sedangkan jalur kolam menuju rumah warga dilayani dengan pompa. Perancangan jaringan pipa distribusi bertekanan dan pemilihan pompa dilakukan pada tahap perancangan teknis lanjutan, sedangkan Bab IV memuat analisis hidrologi, neraca air, dan penentuan dimensi kolam serta pipa penyalur.</w:t>
      </w:r>
    </w:p>
    <w:p>
      <w:pPr>
        <w:spacing w:before="200" w:after="120" w:line="360" w:lineRule="auto"/>
        <w:jc w:val="left"/>
      </w:pPr>
      <w:r>
        <w:rPr>
          <w:rFonts w:ascii="Times New Roman" w:hAnsi="Times New Roman"/>
          <w:b/>
          <w:i w:val="0"/>
          <w:sz w:val="24"/>
        </w:rPr>
        <w:t>3.4.5</w:t>
        <w:tab/>
        <w:t>Perhitungan Break Even Point (BEP)</w:t>
      </w:r>
    </w:p>
    <w:p>
      <w:pPr>
        <w:spacing w:before="0" w:after="120" w:line="360" w:lineRule="auto"/>
        <w:jc w:val="both"/>
      </w:pPr>
      <w:r>
        <w:rPr>
          <w:rFonts w:ascii="Times New Roman" w:hAnsi="Times New Roman"/>
          <w:b w:val="0"/>
          <w:i w:val="0"/>
          <w:sz w:val="24"/>
        </w:rPr>
        <w:t>Perhitungan Break Even Point (BEP) digunakan untuk mengetahui jangka waktu yang diperlukan agar investasi awal dapat kembali melalui keuntungan bersih yang dihasilkan sistem. Analisis BEP dilakukan dengan pendekatan waktu pengembalian modal (Payback Period), yaitu membandingkan total investasi awal terhadap keuntungan bersih per tahun. Keuntungan bersih diperoleh dari selisih antara total pendapatan retribusi air hujan dan total biaya operasional tahunan. Hasil perhitungan BEP selanjutnya disajikan dalam bentuk tabel kumulatif dan divisualisasikan dalam grafik hubungan antara biaya dan pendapatan terhadap waktu, sehingga dapat ditentukan titik pertemuan antara total biaya dan total pendapatan sebagai titik BEP (Persamaan 3.5).</w:t>
      </w:r>
    </w:p>
    <w:p>
      <w:pPr>
        <w:spacing w:before="0" w:after="120" w:line="360" w:lineRule="auto"/>
        <w:jc w:val="center"/>
      </w:pPr>
      <w:r>
        <w:rPr>
          <w:rFonts w:ascii="Times New Roman" w:hAnsi="Times New Roman"/>
          <w:b w:val="0"/>
          <w:i/>
          <w:sz w:val="24"/>
        </w:rPr>
        <w:t>BEP = Investasi awal / Keuntungan bersih per tahun (3.5)</w:t>
      </w:r>
    </w:p>
    <w:p>
      <w:pPr>
        <w:spacing w:before="280" w:after="160" w:line="360" w:lineRule="auto"/>
        <w:jc w:val="left"/>
      </w:pPr>
      <w:r>
        <w:rPr>
          <w:rFonts w:ascii="Times New Roman" w:hAnsi="Times New Roman"/>
          <w:b/>
          <w:i w:val="0"/>
          <w:sz w:val="24"/>
        </w:rPr>
        <w:t>3.5</w:t>
        <w:tab/>
        <w:t>Bagan Alir Perancangan</w:t>
      </w:r>
    </w:p>
    <w:p>
      <w:pPr>
        <w:spacing w:before="0" w:after="120" w:line="360" w:lineRule="auto"/>
        <w:jc w:val="both"/>
      </w:pPr>
      <w:r>
        <w:rPr>
          <w:rFonts w:ascii="Times New Roman" w:hAnsi="Times New Roman"/>
          <w:b w:val="0"/>
          <w:i w:val="0"/>
          <w:sz w:val="24"/>
        </w:rPr>
        <w:t>Tahapan penelitian ini digambarkan pada bagan alir perancangan (Gambar 3.3), mulai dari pengumpulan data primer dan sekunder, pengendalian mutu data, analisis hidrologi (uji homogenitas dan konsistensi, analisis frekuensi, penetapan hujan rencana), perhitungan intensitas dan debit rencana, analisis neraca air dan penentuan volume kolam, verifikasi dimensi pipa, hingga perancangan teknis dan analisis kelayakan ekonomi.</w:t>
      </w:r>
    </w:p>
    <w:p>
      <w:pPr>
        <w:spacing w:before="0" w:after="120" w:line="360" w:lineRule="auto"/>
        <w:jc w:val="center"/>
      </w:pPr>
      <w:r>
        <w:rPr>
          <w:rFonts w:ascii="Times New Roman" w:hAnsi="Times New Roman"/>
          <w:b w:val="0"/>
          <w:i/>
          <w:sz w:val="24"/>
        </w:rPr>
        <w:t>Gambar 3.3 Bagan Alir Perancangan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