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360" w:lineRule="auto"/>
        <w:jc w:val="center"/>
      </w:pPr>
      <w:r>
        <w:rPr>
          <w:rFonts w:ascii="Times New Roman" w:hAnsi="Times New Roman"/>
          <w:b/>
          <w:i w:val="0"/>
          <w:sz w:val="24"/>
        </w:rPr>
        <w:t>BAB V</w:t>
      </w:r>
    </w:p>
    <w:p>
      <w:pPr>
        <w:spacing w:before="0" w:after="480" w:line="360" w:lineRule="auto"/>
        <w:jc w:val="center"/>
      </w:pPr>
      <w:r>
        <w:rPr>
          <w:rFonts w:ascii="Times New Roman" w:hAnsi="Times New Roman"/>
          <w:b/>
          <w:i w:val="0"/>
          <w:sz w:val="24"/>
        </w:rPr>
        <w:t>KESIMPULAN DAN SARAN</w:t>
      </w:r>
    </w:p>
    <w:p>
      <w:pPr>
        <w:spacing w:before="0" w:after="240" w:line="360" w:lineRule="auto"/>
        <w:jc w:val="both"/>
      </w:pPr>
      <w:r>
        <w:rPr>
          <w:rFonts w:ascii="Times New Roman" w:hAnsi="Times New Roman"/>
          <w:b/>
          <w:i w:val="0"/>
          <w:sz w:val="24"/>
        </w:rPr>
        <w:t>5.1</w:t>
        <w:tab/>
        <w:t>Kesimpulan</w:t>
      </w:r>
    </w:p>
    <w:p>
      <w:pPr>
        <w:spacing w:before="0" w:after="120" w:line="360" w:lineRule="auto"/>
        <w:jc w:val="both"/>
      </w:pPr>
      <w:r>
        <w:rPr>
          <w:rFonts w:ascii="Times New Roman" w:hAnsi="Times New Roman"/>
          <w:b w:val="0"/>
          <w:i w:val="0"/>
          <w:sz w:val="24"/>
        </w:rPr>
        <w:t>Berdasarkan hasil analisis hidrologi, pemodelan hidraulika jaringan perpipaan, simulasi neraca air harian, perancangan geometri kolam retensi kriteria ganda di Lahan FASOS, serta evaluasi kelayakan tekno-ekonomi yang telah diuraikan pada Bab IV, dapat ditarik beberapa kesimpulan utama sebagai berikut:</w:t>
      </w:r>
    </w:p>
    <w:p>
      <w:pPr>
        <w:spacing w:before="0" w:after="120" w:line="360" w:lineRule="auto"/>
        <w:ind w:left="720" w:hanging="720"/>
        <w:jc w:val="both"/>
      </w:pPr>
      <w:r>
        <w:rPr>
          <w:rFonts w:ascii="Times New Roman" w:hAnsi="Times New Roman"/>
          <w:b/>
          <w:i w:val="0"/>
          <w:sz w:val="24"/>
        </w:rPr>
        <w:t>1.</w:t>
        <w:tab/>
      </w:r>
      <w:r>
        <w:rPr>
          <w:rFonts w:ascii="Times New Roman" w:hAnsi="Times New Roman"/>
          <w:b/>
          <w:i w:val="0"/>
          <w:sz w:val="24"/>
        </w:rPr>
        <w:t xml:space="preserve">Potensi Pemanenan Air Hujan Kawasan: </w:t>
      </w:r>
      <w:r>
        <w:rPr>
          <w:rFonts w:ascii="Times New Roman" w:hAnsi="Times New Roman"/>
          <w:b w:val="0"/>
          <w:i w:val="0"/>
          <w:sz w:val="24"/>
        </w:rPr>
        <w:t xml:space="preserve">Kawasan Perumahan Subsidi Rajawali Residence di Desa Wonodadi 2, Kecamatan Sungai Raya, memiliki luas wilayah 2,88 hektar dengan 160 unit rumah Tipe 36. Total luas tangkapan atap bangunan mencapai </w:t>
      </w:r>
      <w:r>
        <w:rPr>
          <w:rFonts w:ascii="Times New Roman" w:hAnsi="Times New Roman"/>
          <w:b/>
          <w:i w:val="0"/>
          <w:sz w:val="24"/>
          <w:highlight w:val="yellow"/>
        </w:rPr>
        <w:t>10.400 m²</w:t>
      </w:r>
      <w:r>
        <w:rPr>
          <w:rFonts w:ascii="Times New Roman" w:hAnsi="Times New Roman"/>
          <w:b w:val="0"/>
          <w:i w:val="0"/>
          <w:sz w:val="24"/>
        </w:rPr>
        <w:t xml:space="preserve"> (1,04 ha atau 36,1% dari luas kawasan). Berdasarkan data resmi BPS Kabupaten Kubu Raya (Kubu Raya Dalam Angka), curah hujan tahunan rata-rata mencapai </w:t>
      </w:r>
      <w:r>
        <w:rPr>
          <w:rFonts w:ascii="Times New Roman" w:hAnsi="Times New Roman"/>
          <w:b/>
          <w:i w:val="0"/>
          <w:sz w:val="24"/>
          <w:highlight w:val="yellow"/>
        </w:rPr>
        <w:t>3.385,2 mm/tahun dengan 228 hari hujan/tahun</w:t>
      </w:r>
      <w:r>
        <w:rPr>
          <w:rFonts w:ascii="Times New Roman" w:hAnsi="Times New Roman"/>
          <w:b w:val="0"/>
          <w:i w:val="0"/>
          <w:sz w:val="24"/>
        </w:rPr>
        <w:t xml:space="preserve"> (didukung rata-rata Stasiun Meteorologi Supadio sebesar 3.080 mm/tahun). Dengan koefisien limpasan atap metal C = 0,80, potensi pasokan air hujan bruto tangkapan atap kawasan mencapai </w:t>
      </w:r>
      <w:r>
        <w:rPr>
          <w:rFonts w:ascii="Times New Roman" w:hAnsi="Times New Roman"/>
          <w:b/>
          <w:i w:val="0"/>
          <w:sz w:val="24"/>
          <w:highlight w:val="yellow"/>
        </w:rPr>
        <w:t>28.163 m³/tahun</w:t>
      </w:r>
      <w:r>
        <w:rPr>
          <w:rFonts w:ascii="Times New Roman" w:hAnsi="Times New Roman"/>
          <w:b w:val="0"/>
          <w:i w:val="0"/>
          <w:sz w:val="24"/>
        </w:rPr>
        <w:t>, yang membuktikan bahwa sumber daya air hujan di kawasan ini sangat berlimpah dan potensial untuk dikonservasi.</w:t>
      </w:r>
    </w:p>
    <w:p>
      <w:pPr>
        <w:spacing w:before="0" w:after="120" w:line="360" w:lineRule="auto"/>
        <w:ind w:left="720" w:hanging="720"/>
        <w:jc w:val="both"/>
      </w:pPr>
      <w:r>
        <w:rPr>
          <w:rFonts w:ascii="Times New Roman" w:hAnsi="Times New Roman"/>
          <w:b/>
          <w:i w:val="0"/>
          <w:sz w:val="24"/>
        </w:rPr>
        <w:t>2.</w:t>
        <w:tab/>
      </w:r>
      <w:r>
        <w:rPr>
          <w:rFonts w:ascii="Times New Roman" w:hAnsi="Times New Roman"/>
          <w:b/>
          <w:i w:val="0"/>
          <w:sz w:val="24"/>
        </w:rPr>
        <w:t xml:space="preserve">Kebutuhan Air Bersih dan Keandalan Pelayanan (Reliability): </w:t>
      </w:r>
      <w:r>
        <w:rPr>
          <w:rFonts w:ascii="Times New Roman" w:hAnsi="Times New Roman"/>
          <w:b w:val="0"/>
          <w:i w:val="0"/>
          <w:sz w:val="24"/>
        </w:rPr>
        <w:t xml:space="preserve">Kebutuhan air bersih domestik non-potabel (cuci, sanitasi/flushing, dan siram) yang dilayani oleh sistem pemanenan air hujan ditetapkan sebesar </w:t>
      </w:r>
      <w:r>
        <w:rPr>
          <w:rFonts w:ascii="Times New Roman" w:hAnsi="Times New Roman"/>
          <w:b/>
          <w:i w:val="0"/>
          <w:sz w:val="24"/>
          <w:highlight w:val="yellow"/>
        </w:rPr>
        <w:t>60 liter/jiwa/hari (240 liter/hari per kepala keluarga)</w:t>
      </w:r>
      <w:r>
        <w:rPr>
          <w:rFonts w:ascii="Times New Roman" w:hAnsi="Times New Roman"/>
          <w:b w:val="0"/>
          <w:i w:val="0"/>
          <w:sz w:val="24"/>
        </w:rPr>
        <w:t xml:space="preserve">, sehingga kebutuhan harian total 160 unit rumah adalah </w:t>
      </w:r>
      <w:r>
        <w:rPr>
          <w:rFonts w:ascii="Times New Roman" w:hAnsi="Times New Roman"/>
          <w:b/>
          <w:i w:val="0"/>
          <w:sz w:val="24"/>
          <w:highlight w:val="yellow"/>
        </w:rPr>
        <w:t>38,4 m³/hari (14.016 m³/tahun)</w:t>
      </w:r>
      <w:r>
        <w:rPr>
          <w:rFonts w:ascii="Times New Roman" w:hAnsi="Times New Roman"/>
          <w:b w:val="0"/>
          <w:i w:val="0"/>
          <w:sz w:val="24"/>
        </w:rPr>
        <w:t xml:space="preserve">. Berdasarkan simulasi neraca air harian riil (daily water balance model) periode multi-tahun dengan kapasitas tampungan air baku efektif </w:t>
      </w:r>
      <w:r>
        <w:rPr>
          <w:rFonts w:ascii="Times New Roman" w:hAnsi="Times New Roman"/>
          <w:b/>
          <w:i w:val="0"/>
          <w:sz w:val="24"/>
          <w:highlight w:val="yellow"/>
        </w:rPr>
        <w:t>Vs = 516,6 m³ (~517 m³)</w:t>
      </w:r>
      <w:r>
        <w:rPr>
          <w:rFonts w:ascii="Times New Roman" w:hAnsi="Times New Roman"/>
          <w:b w:val="0"/>
          <w:i w:val="0"/>
          <w:sz w:val="24"/>
        </w:rPr>
        <w:t xml:space="preserve">, sistem mencapai tingkat keandalan pelayanan pasokan sebesar </w:t>
      </w:r>
      <w:r>
        <w:rPr>
          <w:rFonts w:ascii="Times New Roman" w:hAnsi="Times New Roman"/>
          <w:b/>
          <w:i w:val="0"/>
          <w:sz w:val="24"/>
          <w:highlight w:val="yellow"/>
        </w:rPr>
        <w:t>87,4%</w:t>
      </w:r>
      <w:r>
        <w:rPr>
          <w:rFonts w:ascii="Times New Roman" w:hAnsi="Times New Roman"/>
          <w:b w:val="0"/>
          <w:i w:val="0"/>
          <w:sz w:val="24"/>
        </w:rPr>
        <w:t xml:space="preserve"> dengan volume air bersih yang berhasil dipasok mencapai </w:t>
      </w:r>
      <w:r>
        <w:rPr>
          <w:rFonts w:ascii="Times New Roman" w:hAnsi="Times New Roman"/>
          <w:b/>
          <w:i w:val="0"/>
          <w:sz w:val="24"/>
          <w:highlight w:val="yellow"/>
        </w:rPr>
        <w:t>12.082 m³/tahun</w:t>
      </w:r>
      <w:r>
        <w:rPr>
          <w:rFonts w:ascii="Times New Roman" w:hAnsi="Times New Roman"/>
          <w:b w:val="0"/>
          <w:i w:val="0"/>
          <w:sz w:val="24"/>
        </w:rPr>
        <w:t>. Kapasitas tampungan ini terbukti tangguh mengatasi periode defisit pada musim kemarau tipikal Kalimantan Barat hingga 14–20 hari tanpa hujan.</w:t>
      </w:r>
    </w:p>
    <w:p>
      <w:pPr>
        <w:spacing w:before="0" w:after="120" w:line="360" w:lineRule="auto"/>
        <w:ind w:left="720" w:hanging="720"/>
        <w:jc w:val="both"/>
      </w:pPr>
      <w:r>
        <w:rPr>
          <w:rFonts w:ascii="Times New Roman" w:hAnsi="Times New Roman"/>
          <w:b/>
          <w:i w:val="0"/>
          <w:sz w:val="24"/>
        </w:rPr>
        <w:t>3.</w:t>
        <w:tab/>
      </w:r>
      <w:r>
        <w:rPr>
          <w:rFonts w:ascii="Times New Roman" w:hAnsi="Times New Roman"/>
          <w:b/>
          <w:i w:val="0"/>
          <w:sz w:val="24"/>
        </w:rPr>
        <w:t xml:space="preserve">Efektivitas Atenuasi Banjir dan Dimensi Realistis di Lahan FASOS: </w:t>
      </w:r>
      <w:r>
        <w:rPr>
          <w:rFonts w:ascii="Times New Roman" w:hAnsi="Times New Roman"/>
          <w:b w:val="0"/>
          <w:i w:val="0"/>
          <w:sz w:val="24"/>
        </w:rPr>
        <w:t xml:space="preserve">Hujan rencana harian maksimum kala ulang 10 tahun (R10th) Stasiun Supadio terpilih menurut distribusi Log Pearson Tipe III adalah </w:t>
      </w:r>
      <w:r>
        <w:rPr>
          <w:rFonts w:ascii="Times New Roman" w:hAnsi="Times New Roman"/>
          <w:b/>
          <w:i w:val="0"/>
          <w:sz w:val="24"/>
          <w:highlight w:val="yellow"/>
        </w:rPr>
        <w:t>R24 = 153,5 mm</w:t>
      </w:r>
      <w:r>
        <w:rPr>
          <w:rFonts w:ascii="Times New Roman" w:hAnsi="Times New Roman"/>
          <w:b w:val="0"/>
          <w:i w:val="0"/>
          <w:sz w:val="24"/>
        </w:rPr>
        <w:t xml:space="preserve">. Untuk durasi badai standar drainase kawasan perumahan 1 jam (I = 53,22 mm/jam), debit puncak limpasan masuk atap total kawasan adalah </w:t>
      </w:r>
      <w:r>
        <w:rPr>
          <w:rFonts w:ascii="Times New Roman" w:hAnsi="Times New Roman"/>
          <w:b/>
          <w:i w:val="0"/>
          <w:sz w:val="24"/>
          <w:highlight w:val="yellow"/>
        </w:rPr>
        <w:t>Qin = 0,1231 m³/detik (123,1 L/s)</w:t>
      </w:r>
      <w:r>
        <w:rPr>
          <w:rFonts w:ascii="Times New Roman" w:hAnsi="Times New Roman"/>
          <w:b w:val="0"/>
          <w:i w:val="0"/>
          <w:sz w:val="24"/>
        </w:rPr>
        <w:t xml:space="preserve"> dengan total volume limpasan masuk sebesar 442,8 m³. Dengan mendesain struktur pelimpah ambang (weir outflow) terkontrol sebesar </w:t>
      </w:r>
      <w:r>
        <w:rPr>
          <w:rFonts w:ascii="Times New Roman" w:hAnsi="Times New Roman"/>
          <w:b/>
          <w:i w:val="0"/>
          <w:sz w:val="24"/>
          <w:highlight w:val="yellow"/>
        </w:rPr>
        <w:t>Qout = 0,050 m³/detik (50 L/s)</w:t>
      </w:r>
      <w:r>
        <w:rPr>
          <w:rFonts w:ascii="Times New Roman" w:hAnsi="Times New Roman"/>
          <w:b w:val="0"/>
          <w:i w:val="0"/>
          <w:sz w:val="24"/>
        </w:rPr>
        <w:t xml:space="preserve"> ke saluran drainase primer, kolam retensi kriteria ganda berhasil mereduksi debit banjir puncak kawasan sebesar </w:t>
      </w:r>
      <w:r>
        <w:rPr>
          <w:rFonts w:ascii="Times New Roman" w:hAnsi="Times New Roman"/>
          <w:b/>
          <w:i w:val="0"/>
          <w:sz w:val="24"/>
          <w:highlight w:val="yellow"/>
        </w:rPr>
        <w:t>59,3%</w:t>
      </w:r>
      <w:r>
        <w:rPr>
          <w:rFonts w:ascii="Times New Roman" w:hAnsi="Times New Roman"/>
          <w:b w:val="0"/>
          <w:i w:val="0"/>
          <w:sz w:val="24"/>
        </w:rPr>
        <w:t xml:space="preserve">, dengan volume tampungan sementara atenuasi banjir yang dibutuhkan sebesar </w:t>
      </w:r>
      <w:r>
        <w:rPr>
          <w:rFonts w:ascii="Times New Roman" w:hAnsi="Times New Roman"/>
          <w:b/>
          <w:i w:val="0"/>
          <w:sz w:val="24"/>
          <w:highlight w:val="yellow"/>
        </w:rPr>
        <w:t>Va = 350,0 m³</w:t>
      </w:r>
      <w:r>
        <w:rPr>
          <w:rFonts w:ascii="Times New Roman" w:hAnsi="Times New Roman"/>
          <w:b w:val="0"/>
          <w:i w:val="0"/>
          <w:sz w:val="24"/>
        </w:rPr>
        <w:t>.</w:t>
        <w:br/>
        <w:br/>
        <w:t xml:space="preserve">Total kapasitas tampungan kolam kriteria ganda terpadu adalah </w:t>
      </w:r>
      <w:r>
        <w:rPr>
          <w:rFonts w:ascii="Times New Roman" w:hAnsi="Times New Roman"/>
          <w:b/>
          <w:i w:val="0"/>
          <w:sz w:val="24"/>
          <w:highlight w:val="yellow"/>
        </w:rPr>
        <w:t>Vdesain = Vs (517 m³) + Va (350 m³) + Vsedimen (55 m³) = 921,4 m³ (~876,8 m³ kapasitas muka air efektif)</w:t>
      </w:r>
      <w:r>
        <w:rPr>
          <w:rFonts w:ascii="Times New Roman" w:hAnsi="Times New Roman"/>
          <w:b w:val="0"/>
          <w:i w:val="0"/>
          <w:sz w:val="24"/>
        </w:rPr>
        <w:t xml:space="preserve">. Kolam retensi ini </w:t>
      </w:r>
      <w:r>
        <w:rPr>
          <w:rFonts w:ascii="Times New Roman" w:hAnsi="Times New Roman"/>
          <w:b/>
          <w:i w:val="0"/>
          <w:sz w:val="24"/>
          <w:highlight w:val="yellow"/>
        </w:rPr>
        <w:t>100% pas dan tepat dialokasikan pada kavling Lahan FASOS seluas 814,0 m² (22,0 m × 37,0 m)</w:t>
      </w:r>
      <w:r>
        <w:rPr>
          <w:rFonts w:ascii="Times New Roman" w:hAnsi="Times New Roman"/>
          <w:b w:val="0"/>
          <w:i w:val="0"/>
          <w:sz w:val="24"/>
        </w:rPr>
        <w:t xml:space="preserve"> sesuai Siteplan Resmi PBG 2022 (luas muka air tertinggi HWL 646 m², luas dasar kolam 450 m², kedalaman total 2,00 m, talud batu kali miring 1:1, dan cerucuk kayu dolken L = 4,0 m), sehingga memecahkan benturan spasial fatal pada draf awal dan sama sekali tidak menggusur kavling rumah subsidi warga di Row 6.</w:t>
      </w:r>
    </w:p>
    <w:p>
      <w:pPr>
        <w:spacing w:before="0" w:after="120" w:line="360" w:lineRule="auto"/>
        <w:ind w:left="720" w:hanging="720"/>
        <w:jc w:val="both"/>
      </w:pPr>
      <w:r>
        <w:rPr>
          <w:rFonts w:ascii="Times New Roman" w:hAnsi="Times New Roman"/>
          <w:b/>
          <w:i w:val="0"/>
          <w:sz w:val="24"/>
        </w:rPr>
        <w:t>4.</w:t>
        <w:tab/>
      </w:r>
      <w:r>
        <w:rPr>
          <w:rFonts w:ascii="Times New Roman" w:hAnsi="Times New Roman"/>
          <w:b/>
          <w:i w:val="0"/>
          <w:sz w:val="24"/>
        </w:rPr>
        <w:t xml:space="preserve">Desain Jaringan Perpipaan Kolektor dan Distribusi: </w:t>
      </w:r>
      <w:r>
        <w:rPr>
          <w:rFonts w:ascii="Times New Roman" w:hAnsi="Times New Roman"/>
          <w:b w:val="0"/>
          <w:i w:val="0"/>
          <w:sz w:val="24"/>
        </w:rPr>
        <w:t xml:space="preserve">Jaringan pipa kolektor air hujan gravitasi dirancang pada bahu jalan sisi utara dengan pipa utama </w:t>
      </w:r>
      <w:r>
        <w:rPr>
          <w:rFonts w:ascii="Times New Roman" w:hAnsi="Times New Roman"/>
          <w:b/>
          <w:i w:val="0"/>
          <w:sz w:val="24"/>
          <w:highlight w:val="yellow"/>
        </w:rPr>
        <w:t>PVC SNI S-12.5 Ø 350 mm (14 inci)</w:t>
      </w:r>
      <w:r>
        <w:rPr>
          <w:rFonts w:ascii="Times New Roman" w:hAnsi="Times New Roman"/>
          <w:b w:val="0"/>
          <w:i w:val="0"/>
          <w:sz w:val="24"/>
        </w:rPr>
        <w:t xml:space="preserve"> (kemiringan S = 0,5%, kapasitas penuh 148 L/s, kecepatan v = 1,54 m/s yang memenuhi syarat self-cleansing), pipa cabang blok </w:t>
      </w:r>
      <w:r>
        <w:rPr>
          <w:rFonts w:ascii="Times New Roman" w:hAnsi="Times New Roman"/>
          <w:b/>
          <w:i w:val="0"/>
          <w:sz w:val="24"/>
          <w:highlight w:val="yellow"/>
        </w:rPr>
        <w:t>PVC SNI Ø 200 mm (8 inci)</w:t>
      </w:r>
      <w:r>
        <w:rPr>
          <w:rFonts w:ascii="Times New Roman" w:hAnsi="Times New Roman"/>
          <w:b w:val="0"/>
          <w:i w:val="0"/>
          <w:sz w:val="24"/>
        </w:rPr>
        <w:t xml:space="preserve">, dan 16 titik manhole beton Ø 800 mm, mengoreksi rancangan awal pipa beton 36 inci yang over-engineered. Sedangkan jaringan distribusi air bersih bertekanan ditanam pada bahu jalan sisi selatan menggunakan pipa utama </w:t>
      </w:r>
      <w:r>
        <w:rPr>
          <w:rFonts w:ascii="Times New Roman" w:hAnsi="Times New Roman"/>
          <w:b/>
          <w:i w:val="0"/>
          <w:sz w:val="24"/>
          <w:highlight w:val="yellow"/>
        </w:rPr>
        <w:t>HDPE PE-100 PN-10 Ø 90 mm (3 inci)</w:t>
      </w:r>
      <w:r>
        <w:rPr>
          <w:rFonts w:ascii="Times New Roman" w:hAnsi="Times New Roman"/>
          <w:b w:val="0"/>
          <w:i w:val="0"/>
          <w:sz w:val="24"/>
        </w:rPr>
        <w:t xml:space="preserve"> dan retikulasi blok </w:t>
      </w:r>
      <w:r>
        <w:rPr>
          <w:rFonts w:ascii="Times New Roman" w:hAnsi="Times New Roman"/>
          <w:b/>
          <w:i w:val="0"/>
          <w:sz w:val="24"/>
          <w:highlight w:val="yellow"/>
        </w:rPr>
        <w:t>HDPE Ø 63 mm (2 inci)</w:t>
      </w:r>
      <w:r>
        <w:rPr>
          <w:rFonts w:ascii="Times New Roman" w:hAnsi="Times New Roman"/>
          <w:b w:val="0"/>
          <w:i w:val="0"/>
          <w:sz w:val="24"/>
        </w:rPr>
        <w:t xml:space="preserve"> yang dilayani oleh Rumah Pompa WTP (sand filter, activated carbon filter, desinfeksi sinar UV, dan ground reservoir 30 m³).</w:t>
      </w:r>
    </w:p>
    <w:p>
      <w:pPr>
        <w:spacing w:before="0" w:after="120" w:line="360" w:lineRule="auto"/>
        <w:ind w:left="720" w:hanging="720"/>
        <w:jc w:val="both"/>
      </w:pPr>
      <w:r>
        <w:rPr>
          <w:rFonts w:ascii="Times New Roman" w:hAnsi="Times New Roman"/>
          <w:b/>
          <w:i w:val="0"/>
          <w:sz w:val="24"/>
        </w:rPr>
        <w:t>5.</w:t>
        <w:tab/>
      </w:r>
      <w:r>
        <w:rPr>
          <w:rFonts w:ascii="Times New Roman" w:hAnsi="Times New Roman"/>
          <w:b/>
          <w:i w:val="0"/>
          <w:sz w:val="24"/>
        </w:rPr>
        <w:t xml:space="preserve">Kelayakan Tekno-Ekonomi dan Manfaat Finansial Warga: </w:t>
      </w:r>
      <w:r>
        <w:rPr>
          <w:rFonts w:ascii="Times New Roman" w:hAnsi="Times New Roman"/>
          <w:b w:val="0"/>
          <w:i w:val="0"/>
          <w:sz w:val="24"/>
        </w:rPr>
        <w:t xml:space="preserve">Total biaya investasi awal (CAPEX) sistem terpadu adalah </w:t>
      </w:r>
      <w:r>
        <w:rPr>
          <w:rFonts w:ascii="Times New Roman" w:hAnsi="Times New Roman"/>
          <w:b/>
          <w:i w:val="0"/>
          <w:sz w:val="24"/>
          <w:highlight w:val="yellow"/>
        </w:rPr>
        <w:t>Rp 953.757.000 (setara Rp 5.960.981 per unit rumah)</w:t>
      </w:r>
      <w:r>
        <w:rPr>
          <w:rFonts w:ascii="Times New Roman" w:hAnsi="Times New Roman"/>
          <w:b w:val="0"/>
          <w:i w:val="0"/>
          <w:sz w:val="24"/>
        </w:rPr>
        <w:t xml:space="preserve">, dan biaya operasional-pemeliharaan tahunan (OPEX) adalah </w:t>
      </w:r>
      <w:r>
        <w:rPr>
          <w:rFonts w:ascii="Times New Roman" w:hAnsi="Times New Roman"/>
          <w:b/>
          <w:i w:val="0"/>
          <w:sz w:val="24"/>
          <w:highlight w:val="yellow"/>
        </w:rPr>
        <w:t>Rp 28.608.000/tahun (setara Rp 14.900/bulan per KK)</w:t>
      </w:r>
      <w:r>
        <w:rPr>
          <w:rFonts w:ascii="Times New Roman" w:hAnsi="Times New Roman"/>
          <w:b w:val="0"/>
          <w:i w:val="0"/>
          <w:sz w:val="24"/>
        </w:rPr>
        <w:t xml:space="preserve">. Dengan penetapan iuran air bersih warga sebesar Rp 12.500/m³ (menghemat 64% dibanding tarif air tangki swasta Rp 35.000/m³), sistem menghasilkan penghematan biaya air bagi warga kawasan sebesar </w:t>
      </w:r>
      <w:r>
        <w:rPr>
          <w:rFonts w:ascii="Times New Roman" w:hAnsi="Times New Roman"/>
          <w:b/>
          <w:i w:val="0"/>
          <w:sz w:val="24"/>
          <w:highlight w:val="yellow"/>
        </w:rPr>
        <w:t>Rp 271.845.000 per tahun (hemat Rp 141.500/bulan per KK)</w:t>
      </w:r>
      <w:r>
        <w:rPr>
          <w:rFonts w:ascii="Times New Roman" w:hAnsi="Times New Roman"/>
          <w:b w:val="0"/>
          <w:i w:val="0"/>
          <w:sz w:val="24"/>
        </w:rPr>
        <w:t>. Pada umur teknis 20 tahun dan discount rate 6,5%, seluruh indikator kelayakan finansial terpenuhi dengan sangat baik:</w:t>
        <w:br/>
      </w:r>
    </w:p>
    <w:p>
      <w:pPr>
        <w:spacing w:before="0" w:after="360" w:line="360" w:lineRule="auto"/>
        <w:ind w:left="1080"/>
        <w:jc w:val="both"/>
      </w:pPr>
      <w:r>
        <w:rPr>
          <w:rFonts w:ascii="Times New Roman" w:hAnsi="Times New Roman"/>
          <w:b/>
          <w:i w:val="0"/>
          <w:sz w:val="24"/>
          <w:highlight w:val="yellow"/>
        </w:rPr>
        <w:t>a.</w:t>
        <w:tab/>
        <w:t>Net Present Value (NPV) = + Rp 395.095.000  (NPV &gt; 0 → Sangat Layak)</w:t>
        <w:br/>
        <w:t>b.</w:t>
        <w:tab/>
        <w:t>Benefit-Cost Ratio (BCR) = 1,31  (BCR &gt; 1,0 → Sangat Layak)</w:t>
        <w:br/>
        <w:t>c.</w:t>
        <w:tab/>
        <w:t>Payback Period (PBP) = 7,79 tahun  (PBP jauh lebih pendek dari umur teknis 20 tahun)</w:t>
        <w:br/>
        <w:t>d.</w:t>
        <w:tab/>
        <w:t>Break-Even Point (BEP) tarif air impas = Rp 9.532 / m³  (&lt; tarif applied Rp 12.500 / m³)</w:t>
      </w:r>
    </w:p>
    <w:p>
      <w:pPr>
        <w:spacing w:before="0" w:after="240" w:line="360" w:lineRule="auto"/>
        <w:jc w:val="both"/>
      </w:pPr>
      <w:r>
        <w:rPr>
          <w:rFonts w:ascii="Times New Roman" w:hAnsi="Times New Roman"/>
          <w:b/>
          <w:i w:val="0"/>
          <w:sz w:val="24"/>
        </w:rPr>
        <w:t>5.2</w:t>
        <w:tab/>
        <w:t>Saran</w:t>
      </w:r>
    </w:p>
    <w:p>
      <w:pPr>
        <w:spacing w:before="0" w:after="120" w:line="360" w:lineRule="auto"/>
        <w:jc w:val="both"/>
      </w:pPr>
      <w:r>
        <w:rPr>
          <w:rFonts w:ascii="Times New Roman" w:hAnsi="Times New Roman"/>
          <w:b w:val="0"/>
          <w:i w:val="0"/>
          <w:sz w:val="24"/>
        </w:rPr>
        <w:t>Berdasarkan hasil penelitian, temuan audit lapangan, dan kendala teknis yang dihadapi selama penyusunan tesis ini, beberapa saran konstruktif disampaikan untuk penerapan praktis maupun pengembangan riset lanjutan:</w:t>
      </w:r>
    </w:p>
    <w:p>
      <w:pPr>
        <w:spacing w:before="0" w:after="120" w:line="360" w:lineRule="auto"/>
        <w:ind w:left="720" w:hanging="720"/>
        <w:jc w:val="both"/>
      </w:pPr>
      <w:r>
        <w:rPr>
          <w:rFonts w:ascii="Times New Roman" w:hAnsi="Times New Roman"/>
          <w:b/>
          <w:i w:val="0"/>
          <w:sz w:val="24"/>
        </w:rPr>
        <w:t>1.</w:t>
        <w:tab/>
      </w:r>
      <w:r>
        <w:rPr>
          <w:rFonts w:ascii="Times New Roman" w:hAnsi="Times New Roman"/>
          <w:b/>
          <w:i w:val="0"/>
          <w:sz w:val="24"/>
        </w:rPr>
        <w:t xml:space="preserve">Aspek Pelaksanaan Konstruksi dan Geoteknik Tanah Lunak: </w:t>
      </w:r>
      <w:r>
        <w:rPr>
          <w:rFonts w:ascii="Times New Roman" w:hAnsi="Times New Roman"/>
          <w:b w:val="0"/>
          <w:i w:val="0"/>
          <w:sz w:val="24"/>
        </w:rPr>
        <w:t>Kondisi tanah kawasan studi yang bertopografi datar dengan formasi aluvial dan organosol/gambut memerlukan kehati-hatian tinggi pada saat pekerjaan galian kolam sedalam 2,0 meter. Pemancangan cerucuk kayu dolken Ø 10–12 cm sepanjang 4,0 meter dengan spasi 1,0 meter di bawah pondasi dinding talud batu kali wajib dilaksanakan secara seragam untuk mencegah keruntuhan geser lateral (slope failure) akibat gaya desak tanah jenuh air. Lantai dasar kolam harus diberi lapisan rabat beton kedap air t = 10–15 cm untuk menghindari rembesan air tanah gambut berkadar asam tinggi masuk ke dalam tampungan air baku.</w:t>
      </w:r>
    </w:p>
    <w:p>
      <w:pPr>
        <w:spacing w:before="0" w:after="120" w:line="360" w:lineRule="auto"/>
        <w:ind w:left="720" w:hanging="720"/>
        <w:jc w:val="both"/>
      </w:pPr>
      <w:r>
        <w:rPr>
          <w:rFonts w:ascii="Times New Roman" w:hAnsi="Times New Roman"/>
          <w:b/>
          <w:i w:val="0"/>
          <w:sz w:val="24"/>
        </w:rPr>
        <w:t>2.</w:t>
        <w:tab/>
      </w:r>
      <w:r>
        <w:rPr>
          <w:rFonts w:ascii="Times New Roman" w:hAnsi="Times New Roman"/>
          <w:b/>
          <w:i w:val="0"/>
          <w:sz w:val="24"/>
        </w:rPr>
        <w:t xml:space="preserve">Operasional, Pemeliharaan Berkala, dan Jaminan Kualitas Air: </w:t>
      </w:r>
      <w:r>
        <w:rPr>
          <w:rFonts w:ascii="Times New Roman" w:hAnsi="Times New Roman"/>
          <w:b w:val="0"/>
          <w:i w:val="0"/>
          <w:sz w:val="24"/>
        </w:rPr>
        <w:t>Pengendapan sedimen dan sampah dedaunan dari atap harus ditangani secara preventif melalui pembersihan berkala kisi saringan (trash screen) pada manhole dan sediment forebay. Pengerukan endapan lumpur dead storage kolam retensi disarankan dilakukan minimal satu kali dalam setahun pada puncak musim kemarau (bulan Juli–Agustus) ketika volume muka air kolam berada pada titik terendah. Pemeriksaan kualitas air secara berkala (uji parameter pH, kekeruhan, besi Fe, mangan Mn, dan bakteri total coliform/E. coli) harus dilakukan di laboratorium lingkungan terakreditasi sebelum dan sesudah unit filtrasi WTP untuk memastikan air memenuhi baku mutu air higiene sanitasi Permenkes No. 2 Tahun 2023.</w:t>
      </w:r>
    </w:p>
    <w:p>
      <w:pPr>
        <w:spacing w:before="0" w:after="120" w:line="360" w:lineRule="auto"/>
        <w:ind w:left="720" w:hanging="720"/>
        <w:jc w:val="both"/>
      </w:pPr>
      <w:r>
        <w:rPr>
          <w:rFonts w:ascii="Times New Roman" w:hAnsi="Times New Roman"/>
          <w:b/>
          <w:i w:val="0"/>
          <w:sz w:val="24"/>
        </w:rPr>
        <w:t>3.</w:t>
        <w:tab/>
      </w:r>
      <w:r>
        <w:rPr>
          <w:rFonts w:ascii="Times New Roman" w:hAnsi="Times New Roman"/>
          <w:b/>
          <w:i w:val="0"/>
          <w:sz w:val="24"/>
        </w:rPr>
        <w:t xml:space="preserve">Kelembagaan Pengelola Komunal dan Tata Kelola Keuangan: </w:t>
      </w:r>
      <w:r>
        <w:rPr>
          <w:rFonts w:ascii="Times New Roman" w:hAnsi="Times New Roman"/>
          <w:b w:val="0"/>
          <w:i w:val="0"/>
          <w:sz w:val="24"/>
        </w:rPr>
        <w:t>Keberlanjutan sistem pemanenan air hujan terpadu sangat bergantung pada tata kelola kelembagaan di tingkat masyarakat. Disarankan agar pengembang menyerahkan pengelolaan prasarana air bersih dan kolam retensi kepada Unit Pengelola Air Bersih Komunal berbasis Rukun Warga (RW) atau Koperasi Warga Rajawali Residence. Penerapan meter air digital di setiap unit rumah dan penarikan iuran air berbasis volume pemakaian riil (Rp 12.500/m³) akan menciptakan transparansi, keadilan beban biaya, serta menjamin ketersediaan dana cadangan operasional (OPEX) dan pemeliharaan alat secara mandiri.</w:t>
      </w:r>
    </w:p>
    <w:p>
      <w:pPr>
        <w:spacing w:before="0" w:after="120" w:line="360" w:lineRule="auto"/>
        <w:ind w:left="720" w:hanging="720"/>
        <w:jc w:val="both"/>
      </w:pPr>
      <w:r>
        <w:rPr>
          <w:rFonts w:ascii="Times New Roman" w:hAnsi="Times New Roman"/>
          <w:b/>
          <w:i w:val="0"/>
          <w:sz w:val="24"/>
        </w:rPr>
        <w:t>4.</w:t>
        <w:tab/>
      </w:r>
      <w:r>
        <w:rPr>
          <w:rFonts w:ascii="Times New Roman" w:hAnsi="Times New Roman"/>
          <w:b/>
          <w:i w:val="0"/>
          <w:sz w:val="24"/>
        </w:rPr>
        <w:t xml:space="preserve">Rekomendasi Kebijakan bagi Pemerintah Daerah dan Pengembang: </w:t>
      </w:r>
      <w:r>
        <w:rPr>
          <w:rFonts w:ascii="Times New Roman" w:hAnsi="Times New Roman"/>
          <w:b w:val="0"/>
          <w:i w:val="0"/>
          <w:sz w:val="24"/>
        </w:rPr>
        <w:t>Dinas Pekerjaan Umum dan Penataan Ruang (PUPR) serta Dinas Perumahan Rakyat dan Kawasan Permukiman (Perkim) Kabupaten Kubu Raya disarankan menjadikan integrasi Kolam Retensi Kriteria Ganda pada Lahan FASOS sebagai pedoman teknis baku dalam proses validasi Persetujuan Bangunan Gedung (PBG) dan pengesahan rencana tapak (siteplan) perumahan baru. Pendekatan kriteria ganda ini terbukti menjadi solusi 'win-win' yang memecahkan dua masalah sekaligus: mengatasi defisit pasokan air bersih PDAM dan memitigasi risiko genangan banjir genangan di kawasan permukiman rawa gambut peri-urban.</w:t>
      </w:r>
    </w:p>
    <w:p>
      <w:pPr>
        <w:spacing w:before="0" w:after="120" w:line="360" w:lineRule="auto"/>
        <w:ind w:left="720" w:hanging="720"/>
        <w:jc w:val="both"/>
      </w:pPr>
      <w:r>
        <w:rPr>
          <w:rFonts w:ascii="Times New Roman" w:hAnsi="Times New Roman"/>
          <w:b/>
          <w:i w:val="0"/>
          <w:sz w:val="24"/>
        </w:rPr>
        <w:t>5.</w:t>
        <w:tab/>
      </w:r>
      <w:r>
        <w:rPr>
          <w:rFonts w:ascii="Times New Roman" w:hAnsi="Times New Roman"/>
          <w:b/>
          <w:i w:val="0"/>
          <w:sz w:val="24"/>
        </w:rPr>
        <w:t xml:space="preserve">Pengembangan Penelitian Akademis Lanjutan: </w:t>
      </w:r>
      <w:r>
        <w:rPr>
          <w:rFonts w:ascii="Times New Roman" w:hAnsi="Times New Roman"/>
          <w:b w:val="0"/>
          <w:i w:val="0"/>
          <w:sz w:val="24"/>
        </w:rPr>
        <w:t>Bagi peneliti selanjutnya, disarankan untuk: (a) Mengembangkan simulasi hidrodinamika numerik 2D/3D (misalnya menggunakan HEC-RAS 2D atau EPA SWMM) untuk memodelkan pola arus sedimentasi di dalam kolam secara lebih detail; (b) Mengintegrasikan sistem otomasi pemantauan ketinggian muka air dan katup pelimpah otomatis berbasis Internet of Things (IoT) dan sensor ultrasonik; serta (c) Melakukan studi Life Cycle Assessment (LCA) untuk mengukur jejak karbon (carbon footprint) penghematan energi listrik dari penggunaan air hujan dibandingkan sistem distribusi air perpipaan konvensional.</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