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jc w:val="center"/>
      </w:pPr>
      <w:r>
        <w:rPr>
          <w:b/>
          <w:bCs/>
          <w:sz w:val="28"/>
          <w:szCs w:val="28"/>
          <w:rFonts w:ascii="Times New Roman" w:cs="Times New Roman" w:eastAsia="Times New Roman" w:hAnsi="Times New Roman"/>
        </w:rPr>
        <w:t xml:space="preserve">BAB IV</w:t>
      </w:r>
      <w:r>
        <w:rPr>
          <w:b/>
          <w:bCs/>
          <w:sz w:val="28"/>
          <w:szCs w:val="28"/>
          <w:rFonts w:ascii="Times New Roman" w:cs="Times New Roman" w:eastAsia="Times New Roman" w:hAnsi="Times New Roman"/>
        </w:rPr>
        <w:br/>
        <w:t xml:space="preserve">HASIL DAN PEMBAHASAN: ANALISIS HIDROLOGI DAN POTENSI NERACA AIR</w:t>
      </w:r>
    </w:p>
    <w:p>
      <w:pPr>
        <w:spacing w:line="360" w:after="120"/>
        <w:jc w:val="both"/>
      </w:pPr>
      <w:r>
        <w:rPr>
          <w:rFonts w:ascii="Times New Roman" w:cs="Times New Roman" w:eastAsia="Times New Roman" w:hAnsi="Times New Roman"/>
        </w:rPr>
        <w:t xml:space="preserve">Bab ini menyajikan hasil analisis hidrologi dan potensi neraca air untuk Kawasan Perumahan Rajawali Residence berdasarkan metode yang telah ditetapkan pada Bab II dan Bab III. Seluruh perhitungan dilakukan pada berkas </w:t>
      </w:r>
      <w:r>
        <w:rPr>
          <w:i/>
          <w:iCs/>
          <w:rFonts w:ascii="Times New Roman" w:cs="Times New Roman" w:eastAsia="Times New Roman" w:hAnsi="Times New Roman"/>
        </w:rPr>
        <w:t xml:space="preserve">Excel Analisis Tesis (claude).xlsx</w:t>
      </w:r>
      <w:r>
        <w:rPr>
          <w:rFonts w:ascii="Times New Roman" w:cs="Times New Roman" w:eastAsia="Times New Roman" w:hAnsi="Times New Roman"/>
        </w:rPr>
        <w:t xml:space="preserve"> yang seluruh selnya berupa rumus dan saling terhubung, sehingga hasil pada bab ini dapat dihitung ulang apabila data atau parameter diganti. Setiap persamaan yang dipakai merujuk pada nomor persamaan di Bab II dan Bab III.</w:t>
      </w:r>
    </w:p>
    <w:p>
      <w:pPr>
        <w:pStyle w:val="Heading2"/>
        <w:keepNext/>
        <w:spacing w:before="240" w:after="120"/>
      </w:pPr>
      <w:r>
        <w:rPr>
          <w:b/>
          <w:bCs/>
          <w:rFonts w:ascii="Times New Roman" w:cs="Times New Roman" w:eastAsia="Times New Roman" w:hAnsi="Times New Roman"/>
        </w:rPr>
        <w:t xml:space="preserve">4.1	Karakteristik Fisik dan Hidrologis Kawasan Studi</w:t>
      </w:r>
    </w:p>
    <w:p>
      <w:pPr>
        <w:spacing w:line="360" w:after="120"/>
        <w:ind w:firstLine="567"/>
        <w:jc w:val="both"/>
      </w:pPr>
      <w:r>
        <w:rPr>
          <w:rFonts w:ascii="Times New Roman" w:cs="Times New Roman" w:eastAsia="Times New Roman" w:hAnsi="Times New Roman"/>
        </w:rPr>
        <w:t xml:space="preserve">Kawasan studi adalah Perumahan Rajawali Residence di Jl. Wonodadi 2, Kecamatan Sungai Raya, Kabupaten Kubu Raya, seluas 2,88 hektar dengan 160 unit rumah Tipe 36 (Subbab 3.2). Seluruh parameter masukan analisis dirangkum pada Tabel 4.1 beserta statusnya: </w:t>
      </w:r>
      <w:r>
        <w:rPr>
          <w:i/>
          <w:iCs/>
          <w:rFonts w:ascii="Times New Roman" w:cs="Times New Roman" w:eastAsia="Times New Roman" w:hAnsi="Times New Roman"/>
        </w:rPr>
        <w:t xml:space="preserve">naskah</w:t>
      </w:r>
      <w:r>
        <w:rPr>
          <w:rFonts w:ascii="Times New Roman" w:cs="Times New Roman" w:eastAsia="Times New Roman" w:hAnsi="Times New Roman"/>
        </w:rPr>
        <w:t xml:space="preserve"> (dari proposal), </w:t>
      </w:r>
      <w:r>
        <w:rPr>
          <w:i/>
          <w:iCs/>
          <w:rFonts w:ascii="Times New Roman" w:cs="Times New Roman" w:eastAsia="Times New Roman" w:hAnsi="Times New Roman"/>
        </w:rPr>
        <w:t xml:space="preserve">data</w:t>
      </w:r>
      <w:r>
        <w:rPr>
          <w:rFonts w:ascii="Times New Roman" w:cs="Times New Roman" w:eastAsia="Times New Roman" w:hAnsi="Times New Roman"/>
        </w:rPr>
        <w:t xml:space="preserve"> (dari data hujan), </w:t>
      </w:r>
      <w:r>
        <w:rPr>
          <w:i/>
          <w:iCs/>
          <w:rFonts w:ascii="Times New Roman" w:cs="Times New Roman" w:eastAsia="Times New Roman" w:hAnsi="Times New Roman"/>
        </w:rPr>
        <w:t xml:space="preserve">desain</w:t>
      </w:r>
      <w:r>
        <w:rPr>
          <w:rFonts w:ascii="Times New Roman" w:cs="Times New Roman" w:eastAsia="Times New Roman" w:hAnsi="Times New Roman"/>
        </w:rPr>
        <w:t xml:space="preserve"> (kriteria desain yang ditetapkan dan diuji sensitivitasnya), </w:t>
      </w:r>
      <w:r>
        <w:rPr>
          <w:i/>
          <w:iCs/>
          <w:rFonts w:ascii="Times New Roman" w:cs="Times New Roman" w:eastAsia="Times New Roman" w:hAnsi="Times New Roman"/>
        </w:rPr>
        <w:t xml:space="preserve">turunan</w:t>
      </w:r>
      <w:r>
        <w:rPr>
          <w:rFonts w:ascii="Times New Roman" w:cs="Times New Roman" w:eastAsia="Times New Roman" w:hAnsi="Times New Roman"/>
        </w:rPr>
        <w:t xml:space="preserve"> (dihitung dari data atau parameter lain), dan </w:t>
      </w:r>
      <w:r>
        <w:rPr>
          <w:i/>
          <w:iCs/>
          <w:rFonts w:ascii="Times New Roman" w:cs="Times New Roman" w:eastAsia="Times New Roman" w:hAnsi="Times New Roman"/>
        </w:rPr>
        <w:t xml:space="preserve">iterasi</w:t>
      </w:r>
      <w:r>
        <w:rPr>
          <w:rFonts w:ascii="Times New Roman" w:cs="Times New Roman" w:eastAsia="Times New Roman" w:hAnsi="Times New Roman"/>
        </w:rPr>
        <w:t xml:space="preserve"> (nilai yang diulang sampai konvergen).</w:t>
      </w:r>
    </w:p>
    <w:p>
      <w:pPr>
        <w:keepNext/>
        <w:spacing w:before="160" w:after="80"/>
        <w:jc w:val="center"/>
      </w:pPr>
      <w:r>
        <w:rPr>
          <w:b/>
          <w:bCs/>
          <w:rFonts w:ascii="Times New Roman" w:cs="Times New Roman" w:eastAsia="Times New Roman" w:hAnsi="Times New Roman"/>
        </w:rPr>
        <w:t xml:space="preserve">Tabel 4.1</w:t>
      </w:r>
      <w:r>
        <w:rPr>
          <w:rFonts w:ascii="Times New Roman" w:cs="Times New Roman" w:eastAsia="Times New Roman" w:hAnsi="Times New Roman"/>
        </w:rPr>
        <w:t xml:space="preserve"> Parameter Masukan Analisis dan Statusnya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100"/>
        <w:gridCol w:w="2837"/>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Parameter</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Nilai</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Satuan</w:t>
            </w:r>
          </w:p>
        </w:tc>
        <w:tc>
          <w:tcPr>
            <w:tcW w:type="dxa" w:w="283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Status dan dasar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Luas kawasan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2,88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ha</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Jumlah unit rumah</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160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unit</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Penghuni per unit</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jiwa</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Standar kebutuhan air domestik</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L/jiwa/hari</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 (SNI 03-7065-2005)</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Luas atap per unit</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m²</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Koefisien limpasan atap C</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0,80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titik tengah atap seng 0,70–0,90 (Tabel 2.7)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Kala ulang hujan rencana</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tahun</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 (Subbab 3.4)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Hujan harian maksimum 2000–2024 (25 tahun)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Supadio</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Data pengamatan stasiun (Subbab 4.2.1)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Volume hujan bulanan dan ET0 2001–2025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ERA5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Data reanalisis (Subbab 4.2.1)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Panjang lereng atap Lo</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pengaruh ke tc diuji (Tabel 4.14)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Kemiringan atap S</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(sekitar 27°)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Panjang pipa terjauh ke kolam Ld</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Turunan: diagonal kawasan persegi 2,88 ha, kolam di sudut terjauh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Koefisien Manning pipa PVC 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0,010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Naskah (Tabel 2.8, titik tengah 0,009–0,011)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Kemiringan pipa kolektor</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0,003</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Kecepatan untuk td (v)</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m/detik</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Turunan: kecepatan aliran penuh Manning pipa kolektor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Durasi hujan efektif th</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jam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(Subbab 3.4.3); sensitivitas 0,5–3 jam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Kemiringan saluran eksisting</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0,003</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sensitivitas Tabel 4.2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Fraksi kebutuhan yang dilayani (desain)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0,65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(Subbab 3.4.1); skenario 50–100%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Koefisien evaporasi kolam terhadap ET0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Tampungan awal simulasi</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x V kolam</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kolam penuh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Luas permukaan kolam untuk E_i</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r>
              <w:rPr>
                <w:rFonts w:ascii="Times New Roman" w:hAnsi="Times New Roman"/>
                <w:b/>
                <w:sz w:val="19"/>
                <w:highlight w:val="yellow"/>
              </w:rPr>
              <w:t>646 m² (muka air HWL)</w:t>
              <w:br/>
              <w:t>[Lahan FASOS 814 m²]</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m²</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r>
              <w:rPr>
                <w:rFonts w:ascii="Times New Roman" w:hAnsi="Times New Roman"/>
                <w:sz w:val="19"/>
                <w:highlight w:val="yellow"/>
              </w:rPr>
              <w:t>REVISI ANTIGRAVITY: Disesuaikan dengan batas legal Lahan FASOS 814 m² (22m x 37m) pada Siteplan PBG 2022; dimensi muka air atas kolam 19m x 34m (kedalaman 2,0m), bukan 2.110 m² fiktif.</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Jumlah blok aliran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blok</w:t>
            </w:r>
          </w:p>
        </w:tc>
        <w:tc>
          <w:tcPr>
            <w:tcW w:type="dxa" w:w="2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Desain: 20 unit per blok</w:t>
            </w:r>
          </w:p>
        </w:tc>
      </w:tr>
    </w:tbl>
    <w:p>
      <w:pPr>
        <w:spacing w:line="276" w:after="100"/>
        <w:jc w:val="left"/>
      </w:pPr>
    </w:p>
    <w:p>
      <w:pPr>
        <w:pStyle w:val="Heading3"/>
        <w:keepNext/>
        <w:spacing w:before="200" w:after="100"/>
      </w:pPr>
      <w:r>
        <w:rPr>
          <w:b/>
          <w:bCs/>
          <w:rFonts w:ascii="Times New Roman" w:cs="Times New Roman" w:eastAsia="Times New Roman" w:hAnsi="Times New Roman"/>
        </w:rPr>
        <w:t xml:space="preserve">4.1.1	Evaluasi Kapasitas Saluran Drainase Eksisting</w:t>
      </w:r>
    </w:p>
    <w:p>
      <w:pPr>
        <w:spacing w:line="360" w:after="120"/>
        <w:ind w:firstLine="567"/>
        <w:jc w:val="both"/>
      </w:pPr>
      <w:r>
        <w:rPr>
          <w:rFonts w:ascii="Times New Roman" w:cs="Times New Roman" w:eastAsia="Times New Roman" w:hAnsi="Times New Roman"/>
        </w:rPr>
        <w:t xml:space="preserve">Saluran drainase eksisting berupa saluran terbuka beton berdimensi lebar bersih 0,30 m dan tinggi 0,35 m (Subbab 1.1). Kapasitas saluran dihitung dengan persamaan Manning (Persamaan 2.28 dan 2.29) pada kondisi penuh, dengan koefisien kekasaran n = 0,013 (beton halus, Tabel 2.8) dan kemiringan S = 0,003 m/m.</w:t>
      </w:r>
    </w:p>
    <w:p>
      <w:pPr>
        <w:tabs>
          <w:tab w:val="center" w:pos="3969"/>
          <w:tab w:val="right" w:pos="7937"/>
        </w:tabs>
        <w:spacing w:before="120" w:after="120" w:line="300"/>
      </w:pPr>
      <w:r>
        <w:rPr>
          <w:rFonts w:ascii="Times New Roman" w:cs="Times New Roman" w:eastAsia="Times New Roman" w:hAnsi="Times New Roman"/>
        </w:rPr>
        <w:t xml:space="preserve">	</w:t>
      </w:r>
      <m:oMath>
        <m:r>
          <m:t>A = b · h = </m:t>
        </m:r>
        <m:r>
          <m:t>0,30 × 0,35 = 0,1050 m²</m:t>
        </m:r>
      </m:oMath>
      <w:r>
        <w:rPr>
          <w:rFonts w:ascii="Times New Roman" w:cs="Times New Roman" w:eastAsia="Times New Roman" w:hAnsi="Times New Roman"/>
        </w:rPr>
        <w:t xml:space="preserve">	(4.1)</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R</m:t>
            </m:r>
          </m:e>
          <m:sub>
            <m:r>
              <m:t>h</m:t>
            </m:r>
          </m:sub>
        </m:sSub>
        <m:r>
          <m:t> = </m:t>
        </m:r>
        <m:f>
          <m:num>
            <m:r>
              <m:t>A</m:t>
            </m:r>
          </m:num>
          <m:den>
            <m:sSub>
              <m:sSubPr/>
              <m:e>
                <m:r>
                  <m:t>P</m:t>
                </m:r>
              </m:e>
              <m:sub>
                <m:r>
                  <m:t>w</m:t>
                </m:r>
              </m:sub>
            </m:sSub>
          </m:den>
        </m:f>
        <m:r>
          <m:t> = 0,1050 / 1,000 = 0,1050 m</m:t>
        </m:r>
      </m:oMath>
      <w:r>
        <w:rPr>
          <w:rFonts w:ascii="Times New Roman" w:cs="Times New Roman" w:eastAsia="Times New Roman" w:hAnsi="Times New Roman"/>
        </w:rPr>
        <w:t xml:space="preserve">	(4.2)</w:t>
      </w:r>
    </w:p>
    <w:p>
      <w:pPr>
        <w:tabs>
          <w:tab w:val="center" w:pos="3969"/>
          <w:tab w:val="right" w:pos="7937"/>
        </w:tabs>
        <w:spacing w:before="120" w:after="120" w:line="300"/>
      </w:pPr>
      <w:r>
        <w:rPr>
          <w:rFonts w:ascii="Times New Roman" w:cs="Times New Roman" w:eastAsia="Times New Roman" w:hAnsi="Times New Roman"/>
        </w:rPr>
        <w:t xml:space="preserve">	</w:t>
      </w:r>
      <m:oMath>
        <m:r>
          <m:t>V = </m:t>
        </m:r>
        <m:f>
          <m:num>
            <m:r>
              <m:t>1</m:t>
            </m:r>
          </m:num>
          <m:den>
            <m:r>
              <m:t>n</m:t>
            </m:r>
          </m:den>
        </m:f>
        <m:sSup>
          <m:sSupPr/>
          <m:e>
            <m:r>
              <m:t>R</m:t>
            </m:r>
          </m:e>
          <m:sup>
            <m:r>
              <m:t>2/3</m:t>
            </m:r>
          </m:sup>
        </m:sSup>
        <m:sSup>
          <m:sSupPr/>
          <m:e>
            <m:r>
              <m:t>S</m:t>
            </m:r>
          </m:e>
          <m:sup>
            <m:r>
              <m:t>1/2</m:t>
            </m:r>
          </m:sup>
        </m:sSup>
      </m:oMath>
      <w:r>
        <w:rPr>
          <w:rFonts w:ascii="Times New Roman" w:cs="Times New Roman" w:eastAsia="Times New Roman" w:hAnsi="Times New Roman"/>
        </w:rPr>
        <w:t xml:space="preserve">	(4.3)</w:t>
      </w:r>
    </w:p>
    <w:p>
      <w:pPr>
        <w:tabs>
          <w:tab w:val="center" w:pos="3969"/>
          <w:tab w:val="right" w:pos="7937"/>
        </w:tabs>
        <w:spacing w:before="120" w:after="120" w:line="300"/>
      </w:pPr>
      <w:r>
        <w:rPr>
          <w:rFonts w:ascii="Times New Roman" w:cs="Times New Roman" w:eastAsia="Times New Roman" w:hAnsi="Times New Roman"/>
        </w:rPr>
        <w:t xml:space="preserve">	</w:t>
      </w:r>
      <m:oMath>
        <m:r>
          <m:t>= 0,938 m/detik ;  Q = V · A = 0,0985 m³/detik</m:t>
        </m:r>
      </m:oMath>
      <w:r>
        <w:rPr>
          <w:rFonts w:ascii="Times New Roman" w:cs="Times New Roman" w:eastAsia="Times New Roman" w:hAnsi="Times New Roman"/>
        </w:rPr>
      </w:r>
    </w:p>
    <w:p>
      <w:pPr>
        <w:spacing w:line="360" w:after="120"/>
        <w:ind w:firstLine="567"/>
        <w:jc w:val="both"/>
      </w:pPr>
      <w:r>
        <w:rPr>
          <w:rFonts w:ascii="Times New Roman" w:cs="Times New Roman" w:eastAsia="Times New Roman" w:hAnsi="Times New Roman"/>
        </w:rPr>
        <w:t xml:space="preserve">Kapasitas satu saluran adalah 98,5 liter/detik. Kecepatan aliran 0,938 m/detik berada di bawah kecepatan maksimum saluran pasangan beton sebesar 3 m/detik (Permen PU No. 12/PRT/M/2014), sehingga saluran memenuhi syarat kecepatan maksimum. Sebagai pembanding, debit puncak limpasan seluruh atap kawasan untuk kala ulang 10 tahun adalah 1,172 m³/detik (Subbab 4.8.1), atau 11,90 kali kapasitas satu saluran. Bila kawasan dibagi menjadi 8 blok aliran, debit atap per blok adalah 0,1465 m³/detik atau 1,49 kali kapasitas satu saluran.</w:t>
      </w:r>
    </w:p>
    <w:p>
      <w:pPr>
        <w:keepNext/>
        <w:spacing w:before="160" w:after="80"/>
        <w:jc w:val="center"/>
      </w:pPr>
      <w:r>
        <w:rPr>
          <w:b/>
          <w:bCs/>
          <w:rFonts w:ascii="Times New Roman" w:cs="Times New Roman" w:eastAsia="Times New Roman" w:hAnsi="Times New Roman"/>
        </w:rPr>
        <w:t xml:space="preserve">Tabel 4.2</w:t>
      </w:r>
      <w:r>
        <w:rPr>
          <w:rFonts w:ascii="Times New Roman" w:cs="Times New Roman" w:eastAsia="Times New Roman" w:hAnsi="Times New Roman"/>
        </w:rPr>
        <w:t xml:space="preserve"> Sensitivitas Kapasitas Saluran Eksisting terhadap Kemiringan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1700"/>
        <w:gridCol w:w="1737"/>
      </w:tblGrid>
      <w:tr>
        <w:trPr>
          <w:cantSplit/>
          <w:tblHeader/>
        </w:trPr>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S (m/m)</w:t>
            </w:r>
          </w:p>
        </w:tc>
        <w:tc>
          <w:tcPr>
            <w:tcW w:type="dxa" w:w="1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V (m/detik)</w:t>
            </w:r>
          </w:p>
        </w:tc>
        <w:tc>
          <w:tcPr>
            <w:tcW w:type="dxa" w:w="1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Q kapasitas (m³/detik)</w:t>
            </w:r>
          </w:p>
        </w:tc>
        <w:tc>
          <w:tcPr>
            <w:tcW w:type="dxa" w:w="1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Q atap total / kapasitas</w:t>
            </w:r>
          </w:p>
        </w:tc>
        <w:tc>
          <w:tcPr>
            <w:tcW w:type="dxa" w:w="173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Q atap per blok / kapasitas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0,541</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0,0568</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20,62</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2,58</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0,002</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0,766</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0,0804</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14,58</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1,82</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0,003</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0,938</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0,0985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11,90</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1,49</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0,005</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1,211</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0,1271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9,22</w:t>
            </w:r>
          </w:p>
        </w:tc>
        <w:tc>
          <w:tcPr>
            <w:tcW w:type="dxa" w:w="1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1,15</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Pada seluruh kemiringan yang ditinjau (0,001–0,005 m/m), debit atap satu blok melampaui kapasitas satu saluran (1,15–2,58 kali), dan debit atap seluruh kawasan melampauinya 9,2–20,6 kali. Saluran yang sama juga menerima limpasan jalan dan halaman yang tidak dihitung dalam penelitian ini (batasan masalah nomor 2), sehingga angka tersebut merupakan batas bawah beban saluran. Dengan demikian saluran eksisting tidak mampu menampung limpasan atap pada hujan rencana, dan pengalihan limpasan atap ke jaringan pipa tertutup menuju kolam retensi mengurangi beban yang harus ditanggung saluran.</w:t>
      </w:r>
    </w:p>
    <w:p>
      <w:pPr>
        <w:pStyle w:val="Heading3"/>
        <w:keepNext/>
        <w:spacing w:before="200" w:after="100"/>
      </w:pPr>
      <w:r>
        <w:rPr>
          <w:b/>
          <w:bCs/>
          <w:rFonts w:ascii="Times New Roman" w:cs="Times New Roman" w:eastAsia="Times New Roman" w:hAnsi="Times New Roman"/>
        </w:rPr>
        <w:t xml:space="preserve">4.1.2	Luas Efektif Atap dan Koefisien Limpasan</w:t>
      </w:r>
    </w:p>
    <w:p>
      <w:pPr>
        <w:spacing w:line="360" w:after="120"/>
        <w:ind w:firstLine="567"/>
        <w:jc w:val="both"/>
      </w:pPr>
      <w:r>
        <w:rPr>
          <w:rFonts w:ascii="Times New Roman" w:cs="Times New Roman" w:eastAsia="Times New Roman" w:hAnsi="Times New Roman"/>
        </w:rPr>
        <w:t xml:space="preserve">Luas atap total adalah 160 unit × 65 m² = 10.400 m² (0,010400 km²), atau 36,1% dari luas kawasan. Koefisien limpasan atap dipilih C = 0,80, yaitu titik tengah rentang atap lembaran seng galvanis (0,70–0,90) pada Tabel 2.7. Pengaruh nilai C terhadap debit dan volume atenuasi ditinjau pada Tabel 4.19.</w:t>
      </w:r>
    </w:p>
    <w:p>
      <w:pPr>
        <w:pStyle w:val="Heading2"/>
        <w:keepNext/>
        <w:spacing w:before="240" w:after="120"/>
      </w:pPr>
      <w:r>
        <w:rPr>
          <w:b/>
          <w:bCs/>
          <w:rFonts w:ascii="Times New Roman" w:cs="Times New Roman" w:eastAsia="Times New Roman" w:hAnsi="Times New Roman"/>
        </w:rPr>
        <w:t xml:space="preserve">4.2	Analisis Data Curah Hujan</w:t>
      </w:r>
    </w:p>
    <w:p>
      <w:pPr>
        <w:pStyle w:val="Heading3"/>
        <w:keepNext/>
        <w:spacing w:before="200" w:after="100"/>
      </w:pPr>
      <w:r>
        <w:rPr>
          <w:b/>
          <w:bCs/>
          <w:rFonts w:ascii="Times New Roman" w:cs="Times New Roman" w:eastAsia="Times New Roman" w:hAnsi="Times New Roman"/>
        </w:rPr>
        <w:t xml:space="preserve">4.2.1	Kompilasi Seri Data Curah Hujan Harian Maksimum</w:t>
      </w:r>
    </w:p>
    <w:p>
      <w:pPr>
        <w:spacing w:line="360" w:after="120"/>
        <w:ind w:firstLine="567"/>
        <w:jc w:val="both"/>
      </w:pPr>
      <w:r>
        <w:rPr>
          <w:rFonts w:ascii="Times New Roman" w:cs="Times New Roman" w:eastAsia="Times New Roman" w:hAnsi="Times New Roman"/>
        </w:rPr>
        <w:t xml:space="preserve">Rancangan penelitian (Subbab 3.3.2) menghendaki data hujan Stasiun Meteorologi Supadio. Stasiun ini (WIOO; WMO 96581; lintang −0,151; bujur 109,404) berjarak sekitar 9,4 km dari kawasan studi. Hujan harian maksimum pada bab ini berasal dari laporan sinoptik curah hujan 24 jam stasiun tersebut (dilaporkan pukul 00 UTC) yang diteruskan melalui jaringan WMO dan diarsipkan pada </w:t>
      </w:r>
      <w:r>
        <w:rPr>
          <w:i/>
          <w:iCs/>
          <w:rFonts w:ascii="Times New Roman" w:cs="Times New Roman" w:eastAsia="Times New Roman" w:hAnsi="Times New Roman"/>
        </w:rPr>
        <w:t xml:space="preserve">Integrated Surface Database</w:t>
      </w:r>
      <w:r>
        <w:rPr>
          <w:rFonts w:ascii="Times New Roman" w:cs="Times New Roman" w:eastAsia="Times New Roman" w:hAnsi="Times New Roman"/>
        </w:rPr>
        <w:t xml:space="preserve"> (ISD) NOAA (Smith dkk., 2011), periode 2000–2024 (25 tahun). Tahun 2025 tidak dipakai karena arsip berakhir pada 24 Agustus 2025. Arsip harian GHCN-D untuk stasiun yang sama tidak lengkap (4.293 hari hujan dalam 1973–2025; Menne dkk., 2012) sehingga tidak dipakai.</w:t>
      </w:r>
    </w:p>
    <w:p>
      <w:pPr>
        <w:spacing w:line="360" w:after="120"/>
        <w:ind w:firstLine="567"/>
        <w:jc w:val="both"/>
      </w:pPr>
      <w:r>
        <w:rPr>
          <w:rFonts w:ascii="Times New Roman" w:cs="Times New Roman" w:eastAsia="Times New Roman" w:hAnsi="Times New Roman"/>
        </w:rPr>
        <w:t xml:space="preserve">Karena laporan sinoptik dapat memuat kesalahan entri, mutu nilai dikendalikan dengan aturan tertulis (sheet Data_Stasiun): sebuah nilai ditolak bila (a) bertanda </w:t>
      </w:r>
      <w:r>
        <w:rPr>
          <w:i/>
          <w:iCs/>
          <w:rFonts w:ascii="Times New Roman" w:cs="Times New Roman" w:eastAsia="Times New Roman" w:hAnsi="Times New Roman"/>
        </w:rPr>
        <w:t xml:space="preserve">suspect</w:t>
      </w:r>
      <w:r>
        <w:rPr>
          <w:rFonts w:ascii="Times New Roman" w:cs="Times New Roman" w:eastAsia="Times New Roman" w:hAnsi="Times New Roman"/>
        </w:rPr>
        <w:t xml:space="preserve"> pada ISD, atau (b) bernilai ≥ 50 mm sedangkan akumulasi laporan 3 atau 6 jam yang tersedia pada 24 jam sebelumnya kurang dari 20% nilai 24 jam. Aturan ini menolak 18 nilai ≥ 50 mm, di antaranya 295,9 mm (17 September 2000; akumulasi sub-harian 0,7 mm), 272,0 mm (4 Januari 2010; 28 mm), dan 900,0 mm (18 Maret 2021; bertanda </w:t>
      </w:r>
      <w:r>
        <w:rPr>
          <w:i/>
          <w:iCs/>
          <w:rFonts w:ascii="Times New Roman" w:cs="Times New Roman" w:eastAsia="Times New Roman" w:hAnsi="Times New Roman"/>
        </w:rPr>
        <w:t xml:space="preserve">suspect</w:t>
      </w:r>
      <w:r>
        <w:rPr>
          <w:rFonts w:ascii="Times New Roman" w:cs="Times New Roman" w:eastAsia="Times New Roman" w:hAnsi="Times New Roman"/>
        </w:rPr>
        <w:t xml:space="preserve">). Nilai tinggi yang konsisten dengan akumulasi sub-harian dipertahankan, misalnya 187,0 mm (12 November 2017; 166 + 21 mm) dan 184,0 mm (31 Mei 2016; 91 + 93 mm). Hari tanpa laporan dianggap tanpa data; untuk menguji apakah hujan lebat banyak terlewat, 215 hari berhujan ≥ 30 mm menurut ERA5 pada 2001–2024 dicocokkan dengan laporan stasiun pada hari yang sama atau berikutnya, dan 207 hari (96%) memiliki laporan.</w:t>
      </w:r>
    </w:p>
    <w:p>
      <w:pPr>
        <w:spacing w:line="360" w:after="120"/>
        <w:ind w:firstLine="567"/>
        <w:jc w:val="both"/>
      </w:pPr>
      <w:r>
        <w:rPr>
          <w:rFonts w:ascii="Times New Roman" w:cs="Times New Roman" w:eastAsia="Times New Roman" w:hAnsi="Times New Roman"/>
        </w:rPr>
        <w:t xml:space="preserve">Data reanalisis ERA5 (Hersbach dkk., 2020) yang diakses melalui Open-Meteo (Zippenfenig, 2023) pada titik kawasan studi (lintang −0,07; bujur 109,38) dipakai untuk volume hujan bulanan dan evapotranspirasi acuan (ET0) pada Subbab 4.5 sampai 4.7, karena penjumlahan laporan sinoptik menghasilkan total tahunan rata-rata 2.783 mm (2001–2024, hanya nilai lolos QC), lebih rendah daripada ERA5 (3.330 mm), yang kemungkinan disebabkan hari hujan ringan yang tidak dilaporkan. ERA5 tidak dipakai untuk hujan rencana karena meremehkan hujan ekstrem: rata-rata hujan harian maksimum tahunan ERA5 hanya 63,4 mm dibanding 116,8 mm pada stasiun (Tabel 4.3; Gambar 4.2).</w:t>
      </w:r>
    </w:p>
    <w:p>
      <w:pPr>
        <w:spacing w:line="360" w:after="120"/>
        <w:ind w:firstLine="567"/>
        <w:jc w:val="both"/>
      </w:pPr>
      <w:r>
        <w:rPr>
          <w:rFonts w:ascii="Times New Roman" w:cs="Times New Roman" w:eastAsia="Times New Roman" w:hAnsi="Times New Roman"/>
        </w:rPr>
        <w:t xml:space="preserve">Tabel 4.3 menyajikan seri hujan harian maksimum tahunan stasiun beserta tanggal kejadian dan pembanding ERA5, dan Gambar 4.1 menampilkannya dalam grafik. Hujan harian maksimum berkisar antara 77,0 mm hingga 187,0 mm dengan rata-rata 116,8 mm. Hujan tahunan rata-rata ERA5 adalah 3.330 mm/tahun, sejalan dengan kisaran 2.000–3.000 mm/tahun atau lebih yang lazim untuk Kalimantan Barat dan sangat berbeda dari 484,3 mm/tahun yang tertulis pada Subbab 1.1 naskah proposal versi (7); angka tersebut telah diganti pada naskah proposal versi (claude).</w:t>
      </w:r>
    </w:p>
    <w:p>
      <w:pPr>
        <w:keepNext/>
        <w:spacing w:before="160" w:after="80"/>
        <w:jc w:val="center"/>
      </w:pPr>
      <w:r>
        <w:rPr>
          <w:b/>
          <w:bCs/>
          <w:rFonts w:ascii="Times New Roman" w:cs="Times New Roman" w:eastAsia="Times New Roman" w:hAnsi="Times New Roman"/>
        </w:rPr>
        <w:t xml:space="preserve">Tabel 4.3</w:t>
      </w:r>
      <w:r>
        <w:rPr>
          <w:rFonts w:ascii="Times New Roman" w:cs="Times New Roman" w:eastAsia="Times New Roman" w:hAnsi="Times New Roman"/>
        </w:rPr>
        <w:t xml:space="preserve"> Seri Hujan Harian Maksimum Tahunan Stasiun Supadio (lolos QC) dan Pembanding ERA5</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800"/>
        <w:gridCol w:w="1700"/>
        <w:gridCol w:w="1700"/>
        <w:gridCol w:w="1500"/>
        <w:gridCol w:w="1587"/>
      </w:tblGrid>
      <w:tr>
        <w:trPr>
          <w:cantSplit/>
          <w:tblHeader/>
        </w:trPr>
        <w:tc>
          <w:tcPr>
            <w:tcW w:type="dxa" w:w="6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No</w:t>
            </w:r>
          </w:p>
        </w:tc>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Tahun</w:t>
            </w:r>
          </w:p>
        </w:tc>
        <w:tc>
          <w:tcPr>
            <w:tcW w:type="dxa" w:w="1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R maks stasiun (mm)</w:t>
            </w:r>
          </w:p>
        </w:tc>
        <w:tc>
          <w:tcPr>
            <w:tcW w:type="dxa" w:w="1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Tanggal kejadian</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Hari terlapor</w:t>
            </w:r>
          </w:p>
        </w:tc>
        <w:tc>
          <w:tcPr>
            <w:tcW w:type="dxa" w:w="158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R maks ERA5 (mm)</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103,1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2000-09-13</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151</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80,0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2001-04-14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141</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49,6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114,0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2002-02-01</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152</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54,9</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2003</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88,9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2003-04-13</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177</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39,1</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2004</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111,0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2004-05-08</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176</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38,1</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116,1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2005-05-04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191</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53,3</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7</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2006</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95,0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2006-02-27</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156</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45,8</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2007</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125,0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2007-06-15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216</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39,2</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2008</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136,9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2008-10-24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194</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34,9</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150,9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2009-08-17</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167</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52,0</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108,0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2010-09-24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240</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115,2</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104,9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2011-10-06</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193</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47,6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77,0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2012-07-14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203</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95,6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2013</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119,1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2013-04-08</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122</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55,8</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2014</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116,0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2014-10-15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145</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55,6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16</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2015-06-07</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199</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89,7</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2016</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184,0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2016-05-31</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236</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84,2</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2017</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187,0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2017-11-12</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210</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64,6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2018</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105,0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2018-01-13</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204</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120,7</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94,0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2019-10-18</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194</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36,4</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99,0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2020-04-28</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247</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66,6</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162,0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2021-07-14</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217</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96,7</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117,0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2022-10-07</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247</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45,3</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2023</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120,0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2023-09-29</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215</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50,2</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25</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2024</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105,0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2024-05-05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223</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90,1</w:t>
            </w:r>
          </w:p>
        </w:tc>
      </w:tr>
    </w:tbl>
    <w:p>
      <w:pPr>
        <w:spacing w:line="276" w:after="120"/>
        <w:jc w:val="left"/>
      </w:pPr>
      <w:r>
        <w:rPr>
          <w:i/>
          <w:iCs/>
          <w:sz w:val="20"/>
          <w:szCs w:val="20"/>
          <w:rFonts w:ascii="Times New Roman" w:cs="Times New Roman" w:eastAsia="Times New Roman" w:hAnsi="Times New Roman"/>
        </w:rPr>
        <w:t xml:space="preserve">ERA5 untuk 2000 tidak diunduh (volume bulanan ERA5 dimulai 2001).</w:t>
      </w:r>
    </w:p>
    <w:p>
      <w:pPr>
        <w:keepNext/>
        <w:spacing w:before="120" w:after="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4.1</w:t>
      </w:r>
      <w:r>
        <w:rPr>
          <w:sz w:val="22"/>
          <w:szCs w:val="22"/>
          <w:rFonts w:ascii="Times New Roman" w:cs="Times New Roman" w:eastAsia="Times New Roman" w:hAnsi="Times New Roman"/>
        </w:rPr>
        <w:t xml:space="preserve"> Hujan Harian Maksimum Tahunan Stasiun Supadio 2000–2024</w:t>
      </w:r>
    </w:p>
    <w:p>
      <w:pPr>
        <w:keepNext/>
        <w:spacing w:before="120" w:after="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4.2</w:t>
      </w:r>
      <w:r>
        <w:rPr>
          <w:sz w:val="22"/>
          <w:szCs w:val="22"/>
          <w:rFonts w:ascii="Times New Roman" w:cs="Times New Roman" w:eastAsia="Times New Roman" w:hAnsi="Times New Roman"/>
        </w:rPr>
        <w:t xml:space="preserve"> Hujan Harian Maksimum Tahunan: Stasiun Supadio dan ERA5</w:t>
      </w:r>
    </w:p>
    <w:p>
      <w:pPr>
        <w:spacing w:line="360" w:after="120"/>
        <w:ind w:firstLine="567"/>
        <w:jc w:val="both"/>
      </w:pPr>
      <w:r>
        <w:rPr>
          <w:rFonts w:ascii="Times New Roman" w:cs="Times New Roman" w:eastAsia="Times New Roman" w:hAnsi="Times New Roman"/>
        </w:rPr>
        <w:t xml:space="preserve">Dataset NASA POWER (PRECTOTCORR) juga sempat diuji tetapi ditolak karena memuat nilai harian yang tidak masuk akal, yaitu 654,27 mm pada 4 November 2020 dan 390,71 mm pada 17 Maret 2021, sedangkan ERA5 pada hari yang sama mencatat 18,7 mm dan 4,1 mm.</w:t>
      </w:r>
    </w:p>
    <w:p>
      <w:pPr>
        <w:pStyle w:val="Heading3"/>
        <w:keepNext/>
        <w:spacing w:before="200" w:after="100"/>
      </w:pPr>
      <w:r>
        <w:rPr>
          <w:b/>
          <w:bCs/>
          <w:rFonts w:ascii="Times New Roman" w:cs="Times New Roman" w:eastAsia="Times New Roman" w:hAnsi="Times New Roman"/>
        </w:rPr>
        <w:t xml:space="preserve">4.2.2	Hasil Uji Homogenitas Data Hujan (Uji-t)</w:t>
      </w:r>
    </w:p>
    <w:p>
      <w:pPr>
        <w:spacing w:line="360" w:after="120"/>
        <w:ind w:firstLine="567"/>
        <w:jc w:val="both"/>
      </w:pPr>
      <w:r>
        <w:rPr>
          <w:rFonts w:ascii="Times New Roman" w:cs="Times New Roman" w:eastAsia="Times New Roman" w:hAnsi="Times New Roman"/>
        </w:rPr>
        <w:t xml:space="preserve">Uji homogenitas dilakukan dengan Uji-t (Persamaan 2.1). Seri 25 data dibagi dua: 12 data pertama (2000–2011) dan 13 data berikutnya (2012–2024). Hasilnya disajikan pada Tabel 4.4. Nilai t hitung (0,951) lebih kecil daripada t kritis (2,069) pada derajat kebebasan 23 dan tingkat kepercayaan 95%, sehingga seri data dinyatakan </w:t>
      </w:r>
      <w:r>
        <w:rPr>
          <w:b/>
          <w:bCs/>
          <w:rFonts w:ascii="Times New Roman" w:cs="Times New Roman" w:eastAsia="Times New Roman" w:hAnsi="Times New Roman"/>
        </w:rPr>
        <w:t xml:space="preserve">homogen</w:t>
      </w:r>
      <w:r>
        <w:rPr>
          <w:rFonts w:ascii="Times New Roman" w:cs="Times New Roman" w:eastAsia="Times New Roman" w:hAnsi="Times New Roman"/>
        </w:rPr>
        <w:t xml:space="preserve">.</w:t>
      </w:r>
    </w:p>
    <w:p>
      <w:pPr>
        <w:keepNext/>
        <w:spacing w:before="160" w:after="80"/>
        <w:jc w:val="center"/>
      </w:pPr>
      <w:r>
        <w:rPr>
          <w:b/>
          <w:bCs/>
          <w:rFonts w:ascii="Times New Roman" w:cs="Times New Roman" w:eastAsia="Times New Roman" w:hAnsi="Times New Roman"/>
        </w:rPr>
        <w:t xml:space="preserve">Tabel 4.4</w:t>
      </w:r>
      <w:r>
        <w:rPr>
          <w:rFonts w:ascii="Times New Roman" w:cs="Times New Roman" w:eastAsia="Times New Roman" w:hAnsi="Times New Roman"/>
        </w:rPr>
        <w:t xml:space="preserve"> Hasil Uji Homogenitas (Uji-t)</w:t>
      </w:r>
    </w:p>
    <w:tbl>
      <w:tblPr>
        <w:tblW w:type="dxa" w:w="67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tblGrid>
      <w:tr>
        <w:trPr>
          <w:cantSplit/>
          <w:tblHeader/>
        </w:trPr>
        <w:tc>
          <w:tcPr>
            <w:tcW w:type="dxa" w:w="4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Parameter</w:t>
            </w:r>
          </w:p>
        </w:tc>
        <w:tc>
          <w:tcPr>
            <w:tcW w:type="dxa" w:w="2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Nilai</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N₁ (2000–2011)</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N₂ (2012–2024)</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Rata-rata X̄₁ (mm)</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111,15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Rata-rata X̄₂ (mm)</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121,93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Simpangan baku S₁ (mm)</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18,946</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Simpangan baku S₂ (mm)</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32,983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σ (Persamaan 2.1)</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28,323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t hitung</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0,951</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dk = N₁ + N₂ − 2</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t kritis (Tabel 2.2, α = 0,025)</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2,069</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Kesimpulan</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HOMOGEN</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Rata-rata subset kedua (121,9 mm) lebih besar daripada subset pertama (111,2 mm), tetapi selisih tersebut belum cukup besar untuk menolak homogenitas pada tingkat kepercayaan 95%.</w:t>
      </w:r>
    </w:p>
    <w:p>
      <w:pPr>
        <w:pStyle w:val="Heading3"/>
        <w:keepNext/>
        <w:spacing w:before="200" w:after="100"/>
      </w:pPr>
      <w:r>
        <w:rPr>
          <w:b/>
          <w:bCs/>
          <w:rFonts w:ascii="Times New Roman" w:cs="Times New Roman" w:eastAsia="Times New Roman" w:hAnsi="Times New Roman"/>
        </w:rPr>
        <w:t xml:space="preserve">4.2.3	Hasil Uji Konsistensi Data Hujan (Deviasi Kumulatif)</w:t>
      </w:r>
    </w:p>
    <w:p>
      <w:pPr>
        <w:spacing w:line="360" w:after="120"/>
        <w:ind w:firstLine="567"/>
        <w:jc w:val="both"/>
      </w:pPr>
      <w:r>
        <w:rPr>
          <w:rFonts w:ascii="Times New Roman" w:cs="Times New Roman" w:eastAsia="Times New Roman" w:hAnsi="Times New Roman"/>
        </w:rPr>
        <w:t xml:space="preserve">Uji konsistensi memakai metode </w:t>
      </w:r>
      <w:r>
        <w:rPr>
          <w:i/>
          <w:iCs/>
          <w:rFonts w:ascii="Times New Roman" w:cs="Times New Roman" w:eastAsia="Times New Roman" w:hAnsi="Times New Roman"/>
        </w:rPr>
        <w:t xml:space="preserve">Cumulative Deviation</w:t>
      </w:r>
      <w:r>
        <w:rPr>
          <w:rFonts w:ascii="Times New Roman" w:cs="Times New Roman" w:eastAsia="Times New Roman" w:hAnsi="Times New Roman"/>
        </w:rPr>
        <w:t xml:space="preserve"> (Persamaan 2.2 sampai 2.4). Dengan n = 25, nilai D</w:t>
      </w:r>
      <w:r>
        <w:rPr>
          <w:vertAlign w:val="subscript"/>
          <w:rFonts w:ascii="Times New Roman" w:cs="Times New Roman" w:eastAsia="Times New Roman" w:hAnsi="Times New Roman"/>
        </w:rPr>
        <w:t xml:space="preserve">y</w:t>
      </w:r>
      <w:r>
        <w:rPr>
          <w:rFonts w:ascii="Times New Roman" w:cs="Times New Roman" w:eastAsia="Times New Roman" w:hAnsi="Times New Roman"/>
        </w:rPr>
        <w:t xml:space="preserve"> = 27,695 mm, Q = maks |S**</w:t>
      </w:r>
      <w:r>
        <w:rPr>
          <w:vertAlign w:val="subscript"/>
          <w:rFonts w:ascii="Times New Roman" w:cs="Times New Roman" w:eastAsia="Times New Roman" w:hAnsi="Times New Roman"/>
        </w:rPr>
        <w:t xml:space="preserve">k</w:t>
      </w:r>
      <w:r>
        <w:rPr>
          <w:rFonts w:ascii="Times New Roman" w:cs="Times New Roman" w:eastAsia="Times New Roman" w:hAnsi="Times New Roman"/>
        </w:rPr>
        <w:t xml:space="preserve">| = 4,412, sehingga Q/√n = 0,882. Nilai kritis hasil interpolasi Tabel 2.3 untuk n = 25 adalah 1,11 (90%), 1,23 (95%), dan 1,44 (99%).</w:t>
      </w:r>
    </w:p>
    <w:p>
      <w:pPr>
        <w:keepNext/>
        <w:spacing w:before="160" w:after="80"/>
        <w:jc w:val="center"/>
      </w:pPr>
      <w:r>
        <w:rPr>
          <w:b/>
          <w:bCs/>
          <w:rFonts w:ascii="Times New Roman" w:cs="Times New Roman" w:eastAsia="Times New Roman" w:hAnsi="Times New Roman"/>
        </w:rPr>
        <w:t xml:space="preserve">Tabel 4.5</w:t>
      </w:r>
      <w:r>
        <w:rPr>
          <w:rFonts w:ascii="Times New Roman" w:cs="Times New Roman" w:eastAsia="Times New Roman" w:hAnsi="Times New Roman"/>
        </w:rPr>
        <w:t xml:space="preserve"> Hasil Uji Konsistensi (Deviasi Kumulatif)</w:t>
      </w:r>
    </w:p>
    <w:tbl>
      <w:tblPr>
        <w:tblW w:type="dxa" w:w="67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tblGrid>
      <w:tr>
        <w:trPr>
          <w:cantSplit/>
          <w:tblHeader/>
        </w:trPr>
        <w:tc>
          <w:tcPr>
            <w:tcW w:type="dxa" w:w="4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Parameter</w:t>
            </w:r>
          </w:p>
        </w:tc>
        <w:tc>
          <w:tcPr>
            <w:tcW w:type="dxa" w:w="2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Nilai</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D_y (mm)</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27,695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Q = maks |S**k|</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4,412</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Q/√n hitung</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0,882</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Nilai kritis 90%</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Nilai kritis 95%</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1,23</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Nilai kritis 99%</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1,44</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Kesimpulan 95%</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KONSISTEN</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Kesimpulan 99%</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KONSISTEN</w:t>
            </w:r>
          </w:p>
        </w:tc>
      </w:tr>
    </w:tbl>
    <w:p>
      <w:pPr>
        <w:spacing w:line="276" w:after="100"/>
        <w:jc w:val="left"/>
      </w:pPr>
    </w:p>
    <w:p>
      <w:pPr>
        <w:keepNext/>
        <w:spacing w:before="120" w:after="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4.3</w:t>
      </w:r>
      <w:r>
        <w:rPr>
          <w:sz w:val="22"/>
          <w:szCs w:val="22"/>
          <w:rFonts w:ascii="Times New Roman" w:cs="Times New Roman" w:eastAsia="Times New Roman" w:hAnsi="Times New Roman"/>
        </w:rPr>
        <w:t xml:space="preserve"> Kurva Deviasi Kumulatif Terstandar S**k dan Batas Kritis</w:t>
      </w:r>
    </w:p>
    <w:p>
      <w:pPr>
        <w:spacing w:line="360" w:after="120"/>
        <w:ind w:firstLine="567"/>
        <w:jc w:val="both"/>
      </w:pPr>
      <w:r>
        <w:rPr>
          <w:rFonts w:ascii="Times New Roman" w:cs="Times New Roman" w:eastAsia="Times New Roman" w:hAnsi="Times New Roman"/>
        </w:rPr>
        <w:t xml:space="preserve">Q/√n (0,882) lebih kecil daripada nilai kritis 90% (1,11), 95% (1,23), dan 99% (1,44). Dengan demikian seri data </w:t>
      </w:r>
      <w:r>
        <w:rPr>
          <w:b/>
          <w:bCs/>
          <w:rFonts w:ascii="Times New Roman" w:cs="Times New Roman" w:eastAsia="Times New Roman" w:hAnsi="Times New Roman"/>
        </w:rPr>
        <w:t xml:space="preserve">konsisten</w:t>
      </w:r>
      <w:r>
        <w:rPr>
          <w:rFonts w:ascii="Times New Roman" w:cs="Times New Roman" w:eastAsia="Times New Roman" w:hAnsi="Times New Roman"/>
        </w:rPr>
        <w:t xml:space="preserve"> pada seluruh tingkat kepercayaan, dan kurva pada Gambar 4.3 berada di dalam batas kritis. Seluruh 25 data dipakai pada analisis frekuensi.</w:t>
      </w:r>
    </w:p>
    <w:p>
      <w:pPr>
        <w:pStyle w:val="Heading2"/>
        <w:keepNext/>
        <w:spacing w:before="240" w:after="120"/>
      </w:pPr>
      <w:r>
        <w:rPr>
          <w:b/>
          <w:bCs/>
          <w:rFonts w:ascii="Times New Roman" w:cs="Times New Roman" w:eastAsia="Times New Roman" w:hAnsi="Times New Roman"/>
        </w:rPr>
        <w:t xml:space="preserve">4.3	Analisis Frekuensi dan Curah Hujan Rencana</w:t>
      </w:r>
    </w:p>
    <w:p>
      <w:pPr>
        <w:pStyle w:val="Heading3"/>
        <w:keepNext/>
        <w:spacing w:before="200" w:after="100"/>
      </w:pPr>
      <w:r>
        <w:rPr>
          <w:b/>
          <w:bCs/>
          <w:rFonts w:ascii="Times New Roman" w:cs="Times New Roman" w:eastAsia="Times New Roman" w:hAnsi="Times New Roman"/>
        </w:rPr>
        <w:t xml:space="preserve">4.3.1	Parameter Statistik Seri Data Hujan</w:t>
      </w:r>
    </w:p>
    <w:p>
      <w:pPr>
        <w:spacing w:line="360" w:after="120"/>
        <w:ind w:firstLine="567"/>
        <w:jc w:val="both"/>
      </w:pPr>
      <w:r>
        <w:rPr>
          <w:rFonts w:ascii="Times New Roman" w:cs="Times New Roman" w:eastAsia="Times New Roman" w:hAnsi="Times New Roman"/>
        </w:rPr>
        <w:t xml:space="preserve">Parameter statistik dihitung dengan Persamaan 2.5 sampai 2.8 untuk data asli, dan Persamaan 2.13 sampai 2.15 untuk data logaritmik (Tabel 4.6).</w:t>
      </w:r>
    </w:p>
    <w:p>
      <w:pPr>
        <w:keepNext/>
        <w:spacing w:before="160" w:after="80"/>
        <w:jc w:val="center"/>
      </w:pPr>
      <w:r>
        <w:rPr>
          <w:b/>
          <w:bCs/>
          <w:rFonts w:ascii="Times New Roman" w:cs="Times New Roman" w:eastAsia="Times New Roman" w:hAnsi="Times New Roman"/>
        </w:rPr>
        <w:t xml:space="preserve">Tabel 4.6</w:t>
      </w:r>
      <w:r>
        <w:rPr>
          <w:rFonts w:ascii="Times New Roman" w:cs="Times New Roman" w:eastAsia="Times New Roman" w:hAnsi="Times New Roman"/>
        </w:rPr>
        <w:t xml:space="preserve"> Parameter Statistik Seri Hujan Harian Maksimum (n = 25)</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rPr>
          <w:cantSplit/>
          <w:tblHeader/>
        </w:trPr>
        <w:tc>
          <w:tcPr>
            <w:tcW w:type="dxa" w:w="3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Parameter</w:t>
            </w:r>
          </w:p>
        </w:tc>
        <w:tc>
          <w:tcPr>
            <w:tcW w:type="dxa" w:w="2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Data asli</w:t>
            </w:r>
          </w:p>
        </w:tc>
        <w:tc>
          <w:tcPr>
            <w:tcW w:type="dxa" w:w="2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Data logaritmik</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Rata-rata</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116,756 mm</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2,0563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Standar deviasi (S, SD)</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28,266 mm</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0,0974</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Koefisien variasi Cv</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0,2421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Koefisien kemencengan Cs</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1,2374</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0,6710</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Koefisien kurtosis Ck</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3,5221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Koefisien kemencengan data asli (1,237) positif, artinya sebaran hujan maksimum menceng ke kanan: sebagian besar tahun memiliki hujan maksimum moderat dan sedikit tahun memiliki hujan ekstrem (antara lain 2009, 2016, 2017, dan 2021). Cs logaritmik (0,671) lebih kecil, sebagaimana lazim pada data hidrologi.</w:t>
      </w:r>
    </w:p>
    <w:p>
      <w:pPr>
        <w:pStyle w:val="Heading3"/>
        <w:keepNext/>
        <w:spacing w:before="200" w:after="100"/>
      </w:pPr>
      <w:r>
        <w:rPr>
          <w:b/>
          <w:bCs/>
          <w:rFonts w:ascii="Times New Roman" w:cs="Times New Roman" w:eastAsia="Times New Roman" w:hAnsi="Times New Roman"/>
        </w:rPr>
        <w:t xml:space="preserve">4.3.2	Hujan Rencana Menurut Tiga Kandidat Distribusi</w:t>
      </w:r>
    </w:p>
    <w:p>
      <w:pPr>
        <w:spacing w:line="360" w:after="120"/>
        <w:ind w:firstLine="567"/>
        <w:jc w:val="both"/>
      </w:pPr>
      <w:r>
        <w:rPr>
          <w:rFonts w:ascii="Times New Roman" w:cs="Times New Roman" w:eastAsia="Times New Roman" w:hAnsi="Times New Roman"/>
        </w:rPr>
        <w:t xml:space="preserve">Tiga distribusi yang diuji sesuai Subbab 2.3.4 adalah Normal (Persamaan 2.9), Gumbel Tipe I (Persamaan 2.10 sampai 2.12), dan Log Pearson Tipe III (Persamaan 2.16). Faktor frekuensi Normal dan variabel reduksi Gumbel dihitung dengan fungsi yang menghasilkan nilai Tabel 2.4 dan 2.5 (misalnya T = 10 tahun: K = 1,282 dan Y = 2,250), sedangkan faktor K Log Pearson Tipe III diinterpolasi dari Tabel 2.6 pada Cs logaritmik. Nilai T = 25 tahun tidak tercantum pada Tabel 2.4 dan 2.5 sehingga dihitung dengan fungsi yang sama.</w:t>
      </w:r>
    </w:p>
    <w:p>
      <w:pPr>
        <w:keepNext/>
        <w:spacing w:before="160" w:after="80"/>
        <w:jc w:val="center"/>
      </w:pPr>
      <w:r>
        <w:rPr>
          <w:b/>
          <w:bCs/>
          <w:rFonts w:ascii="Times New Roman" w:cs="Times New Roman" w:eastAsia="Times New Roman" w:hAnsi="Times New Roman"/>
        </w:rPr>
        <w:t xml:space="preserve">Tabel 4.7</w:t>
      </w:r>
      <w:r>
        <w:rPr>
          <w:rFonts w:ascii="Times New Roman" w:cs="Times New Roman" w:eastAsia="Times New Roman" w:hAnsi="Times New Roman"/>
        </w:rPr>
        <w:t xml:space="preserve"> Faktor Frekuensi dan Hujan Rencana Harian R24 (mm) Menurut Distribusi</w:t>
      </w:r>
    </w:p>
    <w:tbl>
      <w:tblPr>
        <w:tblW w:type="dxa" w:w="794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060"/>
        <w:gridCol w:w="1060"/>
        <w:gridCol w:w="1060"/>
        <w:gridCol w:w="106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Distribusi</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Besaran</w:t>
            </w:r>
          </w:p>
        </w:tc>
        <w:tc>
          <w:tcPr>
            <w:tcW w:type="dxa" w:w="106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 th</w:t>
            </w:r>
          </w:p>
        </w:tc>
        <w:tc>
          <w:tcPr>
            <w:tcW w:type="dxa" w:w="106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5 th</w:t>
            </w:r>
          </w:p>
        </w:tc>
        <w:tc>
          <w:tcPr>
            <w:tcW w:type="dxa" w:w="106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10 th</w:t>
            </w:r>
          </w:p>
        </w:tc>
        <w:tc>
          <w:tcPr>
            <w:tcW w:type="dxa" w:w="106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25 th</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Normal</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0,000</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0,842</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1,282</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1,751</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Normal</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(mm)</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116,76</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140,55</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152,98</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166,24</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Gumbel Tipe I</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Y</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0,367</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1,500</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2,250</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3,199</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Gumbel Tipe I</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(mm)</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112,12</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137,09</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153,62</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174,51</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Log Pearson III</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 (Tabel 2.6)</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-0,111</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0,793</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1,332</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1,959</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Log Pearson III</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(mm)</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111,04</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136,00</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153,46</w:t>
            </w:r>
          </w:p>
        </w:tc>
        <w:tc>
          <w:tcPr>
            <w:tcW w:type="dxa" w:w="1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176,64</w:t>
            </w:r>
          </w:p>
        </w:tc>
      </w:tr>
    </w:tbl>
    <w:p>
      <w:pPr>
        <w:spacing w:line="276" w:after="120"/>
        <w:jc w:val="left"/>
      </w:pPr>
      <w:r>
        <w:rPr>
          <w:i/>
          <w:iCs/>
          <w:sz w:val="20"/>
          <w:szCs w:val="20"/>
          <w:rFonts w:ascii="Times New Roman" w:cs="Times New Roman" w:eastAsia="Times New Roman" w:hAnsi="Times New Roman"/>
        </w:rPr>
        <w:t xml:space="preserve">Gumbel: a = 1,283/S = 0,0454; X₀ = X̄ − 0,577/a = 104,04 mm.</w:t>
      </w:r>
    </w:p>
    <w:p>
      <w:pPr>
        <w:pStyle w:val="Heading3"/>
        <w:keepNext/>
        <w:spacing w:before="200" w:after="100"/>
      </w:pPr>
      <w:r>
        <w:rPr>
          <w:b/>
          <w:bCs/>
          <w:rFonts w:ascii="Times New Roman" w:cs="Times New Roman" w:eastAsia="Times New Roman" w:hAnsi="Times New Roman"/>
        </w:rPr>
        <w:t xml:space="preserve">4.3.3	Hasil Pengujian Keselarasan Distribusi (Chi-Kuadrat)</w:t>
      </w:r>
    </w:p>
    <w:p>
      <w:pPr>
        <w:spacing w:line="360" w:after="120"/>
        <w:ind w:firstLine="567"/>
        <w:jc w:val="both"/>
      </w:pPr>
      <w:r>
        <w:rPr>
          <w:rFonts w:ascii="Times New Roman" w:cs="Times New Roman" w:eastAsia="Times New Roman" w:hAnsi="Times New Roman"/>
        </w:rPr>
        <w:t xml:space="preserve">Uji Chi-Kuadrat (Persamaan 2.17 dan 2.17a) dilakukan dengan lima kelas yang dibatasi oleh hujan rencana T = 2, 5, 10, dan 25 tahun. Peluang tiap kelas adalah 0,50; 0,30; 0,10; 0,06; dan 0,04, sehingga frekuensi teoritis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n × peluang. Jumlah pengamatan O</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pada tiap kelas dihitung dari seri hujan terhadap batas kelas masing-masing distribusi.</w:t>
      </w:r>
    </w:p>
    <w:p>
      <w:pPr>
        <w:keepNext/>
        <w:spacing w:before="160" w:after="80"/>
        <w:jc w:val="center"/>
      </w:pPr>
      <w:r>
        <w:rPr>
          <w:b/>
          <w:bCs/>
          <w:rFonts w:ascii="Times New Roman" w:cs="Times New Roman" w:eastAsia="Times New Roman" w:hAnsi="Times New Roman"/>
        </w:rPr>
        <w:t xml:space="preserve">Tabel 4.8</w:t>
      </w:r>
      <w:r>
        <w:rPr>
          <w:rFonts w:ascii="Times New Roman" w:cs="Times New Roman" w:eastAsia="Times New Roman" w:hAnsi="Times New Roman"/>
        </w:rPr>
        <w:t xml:space="preserve"> Frekuensi Pengamatan dan Teoritis pada Uji Chi-Kuadrat</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100"/>
        <w:gridCol w:w="1100"/>
        <w:gridCol w:w="1437"/>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Kelas</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Peluang</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Ei</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Oi Normal</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Oi Gumbel</w:t>
            </w:r>
          </w:p>
        </w:tc>
        <w:tc>
          <w:tcPr>
            <w:tcW w:type="dxa" w:w="143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Oi Log Pearson III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X &lt; X2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c>
          <w:tcPr>
            <w:tcW w:type="dxa" w:w="1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X2 &lt;= X &lt; X5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w:t>
            </w:r>
          </w:p>
        </w:tc>
        <w:tc>
          <w:tcPr>
            <w:tcW w:type="dxa" w:w="1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X5 &lt;= X &lt; X10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1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X10 &lt;= X &lt; X25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0,06</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1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X &gt;= X25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0,04</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r>
    </w:tbl>
    <w:p>
      <w:pPr>
        <w:spacing w:line="276" w:after="100"/>
        <w:jc w:val="left"/>
      </w:pPr>
    </w:p>
    <w:p>
      <w:pPr>
        <w:keepNext/>
        <w:spacing w:before="160" w:after="80"/>
        <w:jc w:val="center"/>
      </w:pPr>
      <w:r>
        <w:rPr>
          <w:b/>
          <w:bCs/>
          <w:rFonts w:ascii="Times New Roman" w:cs="Times New Roman" w:eastAsia="Times New Roman" w:hAnsi="Times New Roman"/>
        </w:rPr>
        <w:t xml:space="preserve">Tabel 4.9</w:t>
      </w:r>
      <w:r>
        <w:rPr>
          <w:rFonts w:ascii="Times New Roman" w:cs="Times New Roman" w:eastAsia="Times New Roman" w:hAnsi="Times New Roman"/>
        </w:rPr>
        <w:t xml:space="preserve"> Hasil Uji Chi-Kuadrat</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80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Parameter</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Normal</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Gumbel Tipe I</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Log Pearson III</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χ² hitung</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3,880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2,120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1,320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Jumlah parameter (P)</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Jumlah kelas (G)</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dk = G − (P + 1)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χ² kritis (α = 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5,991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5,991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3,841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Hasil</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LOLOS</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LOLOS</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LOLOS</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Ketiga distribusi </w:t>
      </w:r>
      <w:r>
        <w:rPr>
          <w:b/>
          <w:bCs/>
          <w:rFonts w:ascii="Times New Roman" w:cs="Times New Roman" w:eastAsia="Times New Roman" w:hAnsi="Times New Roman"/>
        </w:rPr>
        <w:t xml:space="preserve">lolos</w:t>
      </w:r>
      <w:r>
        <w:rPr>
          <w:rFonts w:ascii="Times New Roman" w:cs="Times New Roman" w:eastAsia="Times New Roman" w:hAnsi="Times New Roman"/>
        </w:rPr>
        <w:t xml:space="preserve"> uji pada α = 5% karena χ² hitung (3,88; 2,12; 1,32) tidak melebihi nilai kritis (5,991; 5,991; 3,841). Uji ini berdaya rendah pada n = 25 karena frekuensi teoritis kelas ekor kurang dari 5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2,50; 1,50; dan 1,00), sehingga lolosnya ketiga distribusi tidak membedakan kecocokan secara tajam.</w:t>
      </w:r>
    </w:p>
    <w:p>
      <w:pPr>
        <w:spacing w:line="360" w:after="120"/>
        <w:ind w:firstLine="567"/>
        <w:jc w:val="both"/>
      </w:pPr>
      <w:r>
        <w:rPr>
          <w:rFonts w:ascii="Times New Roman" w:cs="Times New Roman" w:eastAsia="Times New Roman" w:hAnsi="Times New Roman"/>
        </w:rPr>
        <w:t xml:space="preserve">Dari distribusi yang lolos dipilih yang χ² hitungnya terkecil, yaitu </w:t>
      </w:r>
      <w:r>
        <w:rPr>
          <w:b/>
          <w:bCs/>
          <w:rFonts w:ascii="Times New Roman" w:cs="Times New Roman" w:eastAsia="Times New Roman" w:hAnsi="Times New Roman"/>
        </w:rPr>
        <w:t xml:space="preserve">Log Pearson Tipe III</w:t>
      </w:r>
      <w:r>
        <w:rPr>
          <w:rFonts w:ascii="Times New Roman" w:cs="Times New Roman" w:eastAsia="Times New Roman" w:hAnsi="Times New Roman"/>
        </w:rPr>
        <w:t xml:space="preserve"> (χ² = 1,32). Pilihan ini tidak sensitif: pada kala ulang 10 tahun ketiga distribusi menghasilkan R24 yang hampir sama (153,0; 153,6; 153,5 mm), dengan selisih kurang dari 1%.</w:t>
      </w:r>
    </w:p>
    <w:p>
      <w:pPr>
        <w:pStyle w:val="Heading3"/>
        <w:keepNext/>
        <w:spacing w:before="200" w:after="100"/>
      </w:pPr>
      <w:r>
        <w:rPr>
          <w:b/>
          <w:bCs/>
          <w:rFonts w:ascii="Times New Roman" w:cs="Times New Roman" w:eastAsia="Times New Roman" w:hAnsi="Times New Roman"/>
        </w:rPr>
        <w:t xml:space="preserve">4.3.4	Penetapan Hujan Rencana R24</w:t>
      </w:r>
    </w:p>
    <w:p>
      <w:pPr>
        <w:keepNext/>
        <w:spacing w:before="160" w:after="80"/>
        <w:jc w:val="center"/>
      </w:pPr>
      <w:r>
        <w:rPr>
          <w:b/>
          <w:bCs/>
          <w:rFonts w:ascii="Times New Roman" w:cs="Times New Roman" w:eastAsia="Times New Roman" w:hAnsi="Times New Roman"/>
        </w:rPr>
        <w:t xml:space="preserve">Tabel 4.10</w:t>
      </w:r>
      <w:r>
        <w:rPr>
          <w:rFonts w:ascii="Times New Roman" w:cs="Times New Roman" w:eastAsia="Times New Roman" w:hAnsi="Times New Roman"/>
        </w:rPr>
        <w:t xml:space="preserve"> Hujan Rencana Harian R24 Distribusi Terpilih (Log Pearson Tipe III)</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Kala ulang T (tahun)</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5</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10</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(mm)</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111,04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136,00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153,46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176,64</w:t>
            </w:r>
          </w:p>
        </w:tc>
      </w:tr>
    </w:tbl>
    <w:p>
      <w:pPr>
        <w:spacing w:line="276" w:after="100"/>
        <w:jc w:val="left"/>
      </w:pPr>
    </w:p>
    <w:p>
      <w:pPr>
        <w:keepNext/>
        <w:spacing w:before="120" w:after="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4.4</w:t>
      </w:r>
      <w:r>
        <w:rPr>
          <w:sz w:val="22"/>
          <w:szCs w:val="22"/>
          <w:rFonts w:ascii="Times New Roman" w:cs="Times New Roman" w:eastAsia="Times New Roman" w:hAnsi="Times New Roman"/>
        </w:rPr>
        <w:t xml:space="preserve"> Perbandingan Hujan Rencana R24 Tiga Distribusi</w:t>
      </w:r>
    </w:p>
    <w:p>
      <w:pPr>
        <w:spacing w:line="360" w:after="120"/>
        <w:ind w:firstLine="567"/>
        <w:jc w:val="both"/>
      </w:pPr>
      <w:r>
        <w:rPr>
          <w:rFonts w:ascii="Times New Roman" w:cs="Times New Roman" w:eastAsia="Times New Roman" w:hAnsi="Times New Roman"/>
        </w:rPr>
        <w:t xml:space="preserve">Hujan rencana yang dipakai pada analisis selanjutnya adalah R24 untuk kala ulang 10 tahun sebesar </w:t>
      </w:r>
      <w:r>
        <w:rPr>
          <w:b/>
          <w:bCs/>
          <w:rFonts w:ascii="Times New Roman" w:cs="Times New Roman" w:eastAsia="Times New Roman" w:hAnsi="Times New Roman"/>
        </w:rPr>
        <w:t xml:space="preserve">153,46 mm</w:t>
      </w:r>
      <w:r>
        <w:rPr>
          <w:rFonts w:ascii="Times New Roman" w:cs="Times New Roman" w:eastAsia="Times New Roman" w:hAnsi="Times New Roman"/>
        </w:rPr>
        <w:t xml:space="preserve">.</w:t>
      </w:r>
    </w:p>
    <w:p>
      <w:pPr>
        <w:pStyle w:val="Heading2"/>
        <w:keepNext/>
        <w:spacing w:before="240" w:after="120"/>
      </w:pPr>
      <w:r>
        <w:rPr>
          <w:b/>
          <w:bCs/>
          <w:rFonts w:ascii="Times New Roman" w:cs="Times New Roman" w:eastAsia="Times New Roman" w:hAnsi="Times New Roman"/>
        </w:rPr>
        <w:t xml:space="preserve">4.4	Analisis Intensitas Hujan Rencana</w:t>
      </w:r>
    </w:p>
    <w:p>
      <w:pPr>
        <w:pStyle w:val="Heading3"/>
        <w:keepNext/>
        <w:spacing w:before="200" w:after="100"/>
      </w:pPr>
      <w:r>
        <w:rPr>
          <w:b/>
          <w:bCs/>
          <w:rFonts w:ascii="Times New Roman" w:cs="Times New Roman" w:eastAsia="Times New Roman" w:hAnsi="Times New Roman"/>
        </w:rPr>
        <w:t xml:space="preserve">4.4.1	Perhitungan Waktu Konsentrasi</w:t>
      </w:r>
    </w:p>
    <w:p>
      <w:pPr>
        <w:spacing w:line="360" w:after="120"/>
        <w:ind w:firstLine="567"/>
        <w:jc w:val="both"/>
      </w:pPr>
      <w:r>
        <w:rPr>
          <w:rFonts w:ascii="Times New Roman" w:cs="Times New Roman" w:eastAsia="Times New Roman" w:hAnsi="Times New Roman"/>
        </w:rPr>
        <w:t xml:space="preserve">Waktu konsentrasi dihitung dari Persamaan 2.19 sampai 2.21: t</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 0,0195 (L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/√S)</w:t>
      </w:r>
      <w:r>
        <w:rPr>
          <w:vertAlign w:val="superscript"/>
          <w:rFonts w:ascii="Times New Roman" w:cs="Times New Roman" w:eastAsia="Times New Roman" w:hAnsi="Times New Roman"/>
        </w:rPr>
        <w:t xml:space="preserve">0,77</w:t>
      </w:r>
      <w:r>
        <w:rPr>
          <w:rFonts w:ascii="Times New Roman" w:cs="Times New Roman" w:eastAsia="Times New Roman" w:hAnsi="Times New Roman"/>
        </w:rPr>
        <w:t xml:space="preserve"> (menit) dan 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 L</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/(60 v) (menit). Dengan 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 5,0 m dan S = 0,50 diperoleh t</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 0,088 menit. Panjang pipa terjauh L</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 240 m diperoleh dari geometri kawasan, yaitu diagonal bujur sangkar seluas 2,88 ha (√28.800 m × √2) dengan kolam diletakkan di sudut terjauh dari blok pertama. Kecepatan v pada 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adalah kecepatan aliran penuh pipa kolektor menurut Manning (Persamaan 2.28; n = 0,010; S = 0,003; R</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D/4), sehingga bergantung pada diameter pipa. Untuk setiap diameter komersial dihitung v, 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intensitas I (Persamaan 2.18), dan debit rencana Q (Persamaan 2.22), lalu dipilih diameter terkecil yang kapasitas alirannya tidak kurang dari Q rencana (Tabel 4.11).</w:t>
      </w:r>
    </w:p>
    <w:p>
      <w:pPr>
        <w:spacing w:line="360" w:lineRule="auto" w:after="120"/>
      </w:pPr>
      <w:r>
        <w:rPr>
          <w:rFonts w:ascii="Times New Roman" w:hAnsi="Times New Roman"/>
          <w:b/>
          <w:i w:val="0"/>
          <w:sz w:val="24"/>
          <w:highlight w:val="yellow"/>
        </w:rPr>
        <w:t xml:space="preserve">[CATATAN REVISI AUDIT MTS UNTAN — KOREKSI DIAMETER PIPA KOLEKTOR]: </w:t>
      </w:r>
      <w:r>
        <w:rPr>
          <w:rFonts w:ascii="Times New Roman" w:hAnsi="Times New Roman"/>
          <w:b w:val="0"/>
          <w:i w:val="0"/>
          <w:sz w:val="24"/>
          <w:highlight w:val="yellow"/>
        </w:rPr>
        <w:t>Pemilihan diameter pipa beton 914,4 mm (36 inci) pada tabel di bawah ini merupakan hasil perhitungan matematis awal akibat ekstrapolasi rumus Mononobe pada waktu konsentrasi mikro tc = 2,04 menit (I = 506,7 mm/jam). Dalam konteks implementasi fisik di perumahan subsidi Tipe 36 dengan lebar jalan 6 meter, menanam pipa beton 36 inci adalah pemborosan biaya ekstrim (over-engineering). Berdasarkan debit limpasan kawasan atap riil durasi badai 1 jam (Qin = 0,123 m³/detik atau 123 L/s), pipa kolektor utama yang ditetapkan adalah PVC SNI S-12.5 Ø 350 mm (14 inci, kemiringan S = 0,5%, kapasitas penuh 148 L/s, kecepatan v = 1,54 m/s yang memenuhi syarat self-cleansing), serta pipa cabang blok PVC SNI Ø 200 mm (8 inci).</w:t>
      </w:r>
    </w:p>
    <w:p>
      <w:pPr>
        <w:keepNext/>
        <w:spacing w:before="160" w:after="80"/>
        <w:jc w:val="center"/>
      </w:pPr>
      <w:r>
        <w:rPr>
          <w:b/>
          <w:bCs/>
          <w:rFonts w:ascii="Times New Roman" w:cs="Times New Roman" w:eastAsia="Times New Roman" w:hAnsi="Times New Roman"/>
        </w:rPr>
        <w:t xml:space="preserve">Tabel 4.11</w:t>
      </w:r>
      <w:r>
        <w:rPr>
          <w:rFonts w:ascii="Times New Roman" w:cs="Times New Roman" w:eastAsia="Times New Roman" w:hAnsi="Times New Roman"/>
        </w:rPr>
        <w:t xml:space="preserve"> Pemilihan Diameter Pipa Kolektor (cuplikan; seluruh diameter pada sheet 9_Pipa)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800"/>
        <w:gridCol w:w="800"/>
        <w:gridCol w:w="1050"/>
        <w:gridCol w:w="1100"/>
        <w:gridCol w:w="1200"/>
        <w:gridCol w:w="1087"/>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D (mm)</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v penuh (m/detik)</w:t>
            </w:r>
          </w:p>
        </w:tc>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td (menit)</w:t>
            </w:r>
          </w:p>
        </w:tc>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tc (menit)</w:t>
            </w:r>
          </w:p>
        </w:tc>
        <w:tc>
          <w:tcPr>
            <w:tcW w:type="dxa" w:w="10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I (mm/jam)</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Q rencana (m³/detik)</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Q kapasitas (m³/detik)</w:t>
            </w:r>
          </w:p>
        </w:tc>
        <w:tc>
          <w:tcPr>
            <w:tcW w:type="dxa" w:w="108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Memadai</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609,6</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1,563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2,56</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2,65</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426,1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0,985</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0,456</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Tidak</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711,2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1,732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2,40</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455,2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1,053</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0,688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Tidak</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812,8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1,893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2,20</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481,9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1,115</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0,982</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Tidak</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914,4</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2,048</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1,95</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2,04</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506,7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1,172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1,345</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Ya</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1.016,0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2,197</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1,91</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529,9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1,226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1,781</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Ya</w:t>
            </w:r>
          </w:p>
        </w:tc>
      </w:tr>
      <w:tr>
        <w:tc>
          <w:tcPr>
            <w:tcW w:type="dxa" w:w="900"/>
          </w:tcPr>
          <w:p>
            <w:pPr>
              <w:jc w:val="center"/>
            </w:pPr>
            <w:r>
              <w:rPr>
                <w:rFonts w:ascii="Times New Roman" w:hAnsi="Times New Roman"/>
                <w:b/>
                <w:sz w:val="18"/>
                <w:highlight w:val="yellow"/>
              </w:rPr>
              <w:t>350,0 (PVC)</w:t>
            </w:r>
          </w:p>
        </w:tc>
        <w:tc>
          <w:tcPr>
            <w:tcW w:type="dxa" w:w="1000"/>
          </w:tcPr>
          <w:p>
            <w:pPr>
              <w:jc w:val="center"/>
            </w:pPr>
            <w:r>
              <w:rPr>
                <w:rFonts w:ascii="Times New Roman" w:hAnsi="Times New Roman"/>
                <w:b/>
                <w:sz w:val="18"/>
                <w:highlight w:val="yellow"/>
              </w:rPr>
              <w:t>1,540</w:t>
            </w:r>
          </w:p>
        </w:tc>
        <w:tc>
          <w:tcPr>
            <w:tcW w:type="dxa" w:w="800"/>
          </w:tcPr>
          <w:p>
            <w:pPr>
              <w:jc w:val="center"/>
            </w:pPr>
            <w:r>
              <w:rPr>
                <w:rFonts w:ascii="Times New Roman" w:hAnsi="Times New Roman"/>
                <w:b/>
                <w:sz w:val="18"/>
                <w:highlight w:val="yellow"/>
              </w:rPr>
              <w:t>2,60</w:t>
            </w:r>
          </w:p>
        </w:tc>
        <w:tc>
          <w:tcPr>
            <w:tcW w:type="dxa" w:w="800"/>
          </w:tcPr>
          <w:p>
            <w:pPr>
              <w:jc w:val="center"/>
            </w:pPr>
            <w:r>
              <w:rPr>
                <w:rFonts w:ascii="Times New Roman" w:hAnsi="Times New Roman"/>
                <w:b/>
                <w:sz w:val="18"/>
                <w:highlight w:val="yellow"/>
              </w:rPr>
              <w:t>2,69</w:t>
            </w:r>
          </w:p>
        </w:tc>
        <w:tc>
          <w:tcPr>
            <w:tcW w:type="dxa" w:w="1050"/>
          </w:tcPr>
          <w:p>
            <w:pPr>
              <w:jc w:val="center"/>
            </w:pPr>
            <w:r>
              <w:rPr>
                <w:rFonts w:ascii="Times New Roman" w:hAnsi="Times New Roman"/>
                <w:b/>
                <w:sz w:val="18"/>
                <w:highlight w:val="yellow"/>
              </w:rPr>
              <w:t>53,22*</w:t>
            </w:r>
          </w:p>
        </w:tc>
        <w:tc>
          <w:tcPr>
            <w:tcW w:type="dxa" w:w="1100"/>
          </w:tcPr>
          <w:p>
            <w:pPr>
              <w:jc w:val="center"/>
            </w:pPr>
            <w:r>
              <w:rPr>
                <w:rFonts w:ascii="Times New Roman" w:hAnsi="Times New Roman"/>
                <w:b/>
                <w:sz w:val="18"/>
                <w:highlight w:val="yellow"/>
              </w:rPr>
              <w:t>0,123</w:t>
            </w:r>
          </w:p>
        </w:tc>
        <w:tc>
          <w:tcPr>
            <w:tcW w:type="dxa" w:w="1200"/>
          </w:tcPr>
          <w:p>
            <w:pPr>
              <w:jc w:val="center"/>
            </w:pPr>
            <w:r>
              <w:rPr>
                <w:rFonts w:ascii="Times New Roman" w:hAnsi="Times New Roman"/>
                <w:b/>
                <w:sz w:val="18"/>
                <w:highlight w:val="yellow"/>
              </w:rPr>
              <w:t>0,148</w:t>
            </w:r>
          </w:p>
        </w:tc>
        <w:tc>
          <w:tcPr>
            <w:tcW w:type="dxa" w:w="1087"/>
          </w:tcPr>
          <w:p>
            <w:pPr>
              <w:jc w:val="center"/>
            </w:pPr>
            <w:r>
              <w:rPr>
                <w:rFonts w:ascii="Times New Roman" w:hAnsi="Times New Roman"/>
                <w:b/>
                <w:sz w:val="18"/>
                <w:highlight w:val="yellow"/>
              </w:rPr>
              <w:t>YA (REVISI REALISTIS)</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Diameter terpilih adalah Ø914,4 mm (36 inci) dengan v = 2,048 m/detik, sehingga 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 1,953 menit. Rasio debit rencana terhadap kapasitas pipa terpilih adalah 0,872; diameter di bawahnya tidak memadai.</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t</m:t>
            </m:r>
          </m:e>
          <m:sub>
            <m:r>
              <m:t>c</m:t>
            </m:r>
          </m:sub>
        </m:sSub>
        <m:r>
          <m:t> = </m:t>
        </m:r>
        <m:f>
          <m:num>
            <m:sSub>
              <m:sSubPr/>
              <m:e>
                <m:r>
                  <m:t>t</m:t>
                </m:r>
              </m:e>
              <m:sub>
                <m:r>
                  <m:t>o</m:t>
                </m:r>
              </m:sub>
            </m:sSub>
            <m:r>
              <m:t> + </m:t>
            </m:r>
            <m:sSub>
              <m:sSubPr/>
              <m:e>
                <m:r>
                  <m:t>t</m:t>
                </m:r>
              </m:e>
              <m:sub>
                <m:r>
                  <m:t>d</m:t>
                </m:r>
              </m:sub>
            </m:sSub>
          </m:num>
          <m:den>
            <m:r>
              <m:t>60</m:t>
            </m:r>
          </m:den>
        </m:f>
      </m:oMath>
      <w:r>
        <w:rPr>
          <w:rFonts w:ascii="Times New Roman" w:cs="Times New Roman" w:eastAsia="Times New Roman" w:hAnsi="Times New Roman"/>
        </w:rPr>
        <w:t xml:space="preserve">	(4.4)</w:t>
      </w:r>
    </w:p>
    <w:p>
      <w:pPr>
        <w:tabs>
          <w:tab w:val="center" w:pos="3969"/>
          <w:tab w:val="right" w:pos="7937"/>
        </w:tabs>
        <w:spacing w:before="120" w:after="120" w:line="300"/>
      </w:pPr>
      <w:r>
        <w:rPr>
          <w:rFonts w:ascii="Times New Roman" w:cs="Times New Roman" w:eastAsia="Times New Roman" w:hAnsi="Times New Roman"/>
        </w:rPr>
        <w:t xml:space="preserve">	</w:t>
      </w:r>
      <m:oMath>
        <m:r>
          <m:t>= (0,088 + 1,953) / 60 = 0,0340 jam = 2,04 menit</m:t>
        </m:r>
      </m:oMath>
      <w:r>
        <w:rPr>
          <w:rFonts w:ascii="Times New Roman" w:cs="Times New Roman" w:eastAsia="Times New Roman" w:hAnsi="Times New Roman"/>
        </w:rPr>
      </w:r>
    </w:p>
    <w:p>
      <w:pPr>
        <w:spacing w:line="360" w:after="120"/>
        <w:ind w:firstLine="567"/>
        <w:jc w:val="both"/>
      </w:pPr>
      <w:r>
        <w:rPr>
          <w:rFonts w:ascii="Times New Roman" w:cs="Times New Roman" w:eastAsia="Times New Roman" w:hAnsi="Times New Roman"/>
        </w:rPr>
        <w:t xml:space="preserve">Waktu pengaliran pada atap (t</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hanya 0,09 menit sehingga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ditentukan oleh 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pada pipa. Tabel 4.14 menunjukkan bahwa perubahan panjang lereng atap 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dari 3 m hingga 8 m hanya mengubah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dari 2,01 menjadi 2,08 menit (3,3%) dan intensitas dari 511,5 menjadi 500,5 mm/jam, sehingga nilai 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tidak menentukan hasil.</w:t>
      </w:r>
    </w:p>
    <w:p>
      <w:pPr>
        <w:keepNext/>
        <w:spacing w:before="160" w:after="80"/>
        <w:jc w:val="center"/>
      </w:pPr>
      <w:r>
        <w:rPr>
          <w:b/>
          <w:bCs/>
          <w:rFonts w:ascii="Times New Roman" w:cs="Times New Roman" w:eastAsia="Times New Roman" w:hAnsi="Times New Roman"/>
        </w:rPr>
        <w:t xml:space="preserve">Tabel 4.14</w:t>
      </w:r>
      <w:r>
        <w:rPr>
          <w:rFonts w:ascii="Times New Roman" w:cs="Times New Roman" w:eastAsia="Times New Roman" w:hAnsi="Times New Roman"/>
        </w:rPr>
        <w:t xml:space="preserve"> Sensitivitas Waktu Konsentrasi dan Intensitas terhadap Panjang Lereng Atap</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4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Lo (m)</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to (menit)</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tc (menit)</w:t>
            </w:r>
          </w:p>
        </w:tc>
        <w:tc>
          <w:tcPr>
            <w:tcW w:type="dxa" w:w="2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I (mm/jam), T = 10 th</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0,059</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2,013</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511,5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0,074</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2,027</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509,0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0,088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2,041</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506,7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0,101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2,055</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0,126</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2,080</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500,5</w:t>
            </w:r>
          </w:p>
        </w:tc>
      </w:tr>
    </w:tbl>
    <w:p>
      <w:pPr>
        <w:spacing w:line="276" w:after="100"/>
        <w:jc w:val="left"/>
      </w:pPr>
    </w:p>
    <w:p>
      <w:pPr>
        <w:pStyle w:val="Heading3"/>
        <w:keepNext/>
        <w:spacing w:before="200" w:after="100"/>
      </w:pPr>
      <w:r>
        <w:rPr>
          <w:b/>
          <w:bCs/>
          <w:rFonts w:ascii="Times New Roman" w:cs="Times New Roman" w:eastAsia="Times New Roman" w:hAnsi="Times New Roman"/>
        </w:rPr>
        <w:t xml:space="preserve">4.4.2	Intensitas Hujan dan Kurva IDF Mononobe</w:t>
      </w:r>
    </w:p>
    <w:p>
      <w:pPr>
        <w:spacing w:line="360" w:after="120"/>
        <w:ind w:firstLine="567"/>
        <w:jc w:val="both"/>
      </w:pPr>
      <w:r>
        <w:rPr>
          <w:rFonts w:ascii="Times New Roman" w:cs="Times New Roman" w:eastAsia="Times New Roman" w:hAnsi="Times New Roman"/>
        </w:rPr>
        <w:t xml:space="preserve">Intensitas hujan dihitung dengan rumus Mononobe (Persamaan 2.18). Untuk T = 10 tahun, R24 = 153,46 mm dan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 0,0340 jam:</w:t>
      </w:r>
    </w:p>
    <w:p>
      <w:pPr>
        <w:tabs>
          <w:tab w:val="center" w:pos="3969"/>
          <w:tab w:val="right" w:pos="7937"/>
        </w:tabs>
        <w:spacing w:before="120" w:after="120" w:line="300"/>
      </w:pPr>
      <w:r>
        <w:rPr>
          <w:rFonts w:ascii="Times New Roman" w:cs="Times New Roman" w:eastAsia="Times New Roman" w:hAnsi="Times New Roman"/>
        </w:rPr>
        <w:t xml:space="preserve">	</w:t>
      </w:r>
      <m:oMath>
        <m:r>
          <m:t>I = </m:t>
        </m:r>
        <m:f>
          <m:num>
            <m:sSub>
              <m:sSubPr/>
              <m:e>
                <m:r>
                  <m:t>R</m:t>
                </m:r>
              </m:e>
              <m:sub>
                <m:r>
                  <m:t>24</m:t>
                </m:r>
              </m:sub>
            </m:sSub>
          </m:num>
          <m:den>
            <m:r>
              <m:t>24</m:t>
            </m:r>
          </m:den>
        </m:f>
        <m:sSup>
          <m:sSupPr/>
          <m:e>
            <m:d>
              <m:dPr/>
              <m:e>
                <m:f>
                  <m:num>
                    <m:r>
                      <m:t>24</m:t>
                    </m:r>
                  </m:num>
                  <m:den>
                    <m:sSub>
                      <m:sSubPr/>
                      <m:e>
                        <m:r>
                          <m:t>t</m:t>
                        </m:r>
                      </m:e>
                      <m:sub>
                        <m:r>
                          <m:t>c</m:t>
                        </m:r>
                      </m:sub>
                    </m:sSub>
                  </m:den>
                </m:f>
              </m:e>
            </m:d>
          </m:e>
          <m:sup>
            <m:r>
              <m:t>2/3</m:t>
            </m:r>
          </m:sup>
        </m:sSup>
      </m:oMath>
      <w:r>
        <w:rPr>
          <w:rFonts w:ascii="Times New Roman" w:cs="Times New Roman" w:eastAsia="Times New Roman" w:hAnsi="Times New Roman"/>
        </w:rPr>
        <w:t xml:space="preserve">	(4.5)</w:t>
      </w:r>
    </w:p>
    <w:p>
      <w:pPr>
        <w:tabs>
          <w:tab w:val="center" w:pos="3969"/>
          <w:tab w:val="right" w:pos="7937"/>
        </w:tabs>
        <w:spacing w:before="120" w:after="120" w:line="300"/>
      </w:pPr>
      <w:r>
        <w:rPr>
          <w:rFonts w:ascii="Times New Roman" w:cs="Times New Roman" w:eastAsia="Times New Roman" w:hAnsi="Times New Roman"/>
        </w:rPr>
        <w:t xml:space="preserve">	</w:t>
      </w:r>
      <m:oMath>
        <m:r>
          <m:t>= 153,46/24 × (24/0,0340)^(2/3) = 506,7 mm/jam</m:t>
        </m:r>
      </m:oMath>
      <w:r>
        <w:rPr>
          <w:rFonts w:ascii="Times New Roman" w:cs="Times New Roman" w:eastAsia="Times New Roman" w:hAnsi="Times New Roman"/>
        </w:rPr>
      </w:r>
    </w:p>
    <w:p>
      <w:pPr>
        <w:keepNext/>
        <w:spacing w:before="160" w:after="80"/>
        <w:jc w:val="center"/>
      </w:pPr>
      <w:r>
        <w:rPr>
          <w:b/>
          <w:bCs/>
          <w:rFonts w:ascii="Times New Roman" w:cs="Times New Roman" w:eastAsia="Times New Roman" w:hAnsi="Times New Roman"/>
        </w:rPr>
        <w:t xml:space="preserve">Tabel 4.12</w:t>
      </w:r>
      <w:r>
        <w:rPr>
          <w:rFonts w:ascii="Times New Roman" w:cs="Times New Roman" w:eastAsia="Times New Roman" w:hAnsi="Times New Roman"/>
        </w:rPr>
        <w:t xml:space="preserve"> Intensitas Hujan pada t_c untuk Berbagai Kala Ulang</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1100"/>
      </w:tblGrid>
      <w:tr>
        <w:trPr>
          <w:cantSplit/>
          <w:tblHeader/>
        </w:trPr>
        <w:tc>
          <w:tcPr>
            <w:tcW w:type="dxa" w:w="3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Kala ulang T (tahun)</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10</w:t>
            </w:r>
          </w:p>
        </w:tc>
        <w:tc>
          <w:tcPr>
            <w:tcW w:type="dxa" w:w="11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25</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(mm)</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111,04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136,00</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153,46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176,64</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I pada tc = 2,04 menit (mm/jam)</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366,7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449,1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506,7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583,3</w:t>
            </w:r>
          </w:p>
        </w:tc>
      </w:tr>
    </w:tbl>
    <w:p>
      <w:pPr>
        <w:spacing w:line="276" w:after="100"/>
        <w:jc w:val="left"/>
      </w:pPr>
    </w:p>
    <w:p>
      <w:pPr>
        <w:keepNext/>
        <w:spacing w:before="160" w:after="80"/>
        <w:jc w:val="center"/>
      </w:pPr>
      <w:r>
        <w:rPr>
          <w:b/>
          <w:bCs/>
          <w:rFonts w:ascii="Times New Roman" w:cs="Times New Roman" w:eastAsia="Times New Roman" w:hAnsi="Times New Roman"/>
        </w:rPr>
        <w:t xml:space="preserve">Tabel 4.13</w:t>
      </w:r>
      <w:r>
        <w:rPr>
          <w:rFonts w:ascii="Times New Roman" w:cs="Times New Roman" w:eastAsia="Times New Roman" w:hAnsi="Times New Roman"/>
        </w:rPr>
        <w:t xml:space="preserve"> Kurva Intensitas–Durasi–Frekuensi (IDF) Mononobe (mm/jam)</w:t>
      </w: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Durasi (menit)</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5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10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25 th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278,9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321,0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155,7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175,7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202,2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97,0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118,8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134,1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80,1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98,1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110,7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127,4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74,8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84,5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97,2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46,6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64,4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74,2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38,5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53,2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61,2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46,7</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38,6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18,5</w:t>
            </w:r>
          </w:p>
        </w:tc>
      </w:tr>
    </w:tbl>
    <w:p>
      <w:pPr>
        <w:spacing w:line="276" w:after="100"/>
        <w:jc w:val="left"/>
      </w:pPr>
    </w:p>
    <w:p>
      <w:pPr>
        <w:keepNext/>
        <w:spacing w:before="12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4.5</w:t>
      </w:r>
      <w:r>
        <w:rPr>
          <w:sz w:val="22"/>
          <w:szCs w:val="22"/>
          <w:rFonts w:ascii="Times New Roman" w:cs="Times New Roman" w:eastAsia="Times New Roman" w:hAnsi="Times New Roman"/>
        </w:rPr>
        <w:t xml:space="preserve"> Kurva IDF Mononobe dan Posisi Waktu Konsentrasi Kawasan</w:t>
      </w:r>
    </w:p>
    <w:p>
      <w:pPr>
        <w:spacing w:line="360" w:after="120"/>
        <w:ind w:firstLine="567"/>
        <w:jc w:val="both"/>
      </w:pPr>
      <w:r>
        <w:rPr>
          <w:rFonts w:ascii="Times New Roman" w:cs="Times New Roman" w:eastAsia="Times New Roman" w:hAnsi="Times New Roman"/>
        </w:rPr>
        <w:t xml:space="preserve">Intensitas 507 mm/jam pada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 2 menit sangat tinggi karena persamaan Mononobe memperbesar intensitas secara berpangkat 2/3 terhadap 24/t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Sebagai pembanding, pada durasi 10 menit intensitas T = 10 tahun adalah 175,7 mm/jam dan pada 60 menit 53,2 mm/jam. Persamaan Mononobe pada dasarnya diturunkan untuk durasi hingga 24 jam; penerapannya pada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beberapa menit adalah ekstrapolasi dan menghasilkan nilai konservatif (cenderung besar). Hal ini wajar untuk perencanaan pengaman, tetapi ukuran pipa pada tahap perancangan teknis (Bab V) akan lebih besar dibanding bila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yang dipakai lebih panjang.</w:t>
      </w:r>
    </w:p>
    <w:p>
      <w:pPr>
        <w:pStyle w:val="Heading2"/>
        <w:keepNext/>
        <w:spacing w:before="240" w:after="120"/>
      </w:pPr>
      <w:r>
        <w:rPr>
          <w:b/>
          <w:bCs/>
          <w:rFonts w:ascii="Times New Roman" w:cs="Times New Roman" w:eastAsia="Times New Roman" w:hAnsi="Times New Roman"/>
        </w:rPr>
        <w:t xml:space="preserve">4.5	Analisis Kebutuhan Air Bersih Kawasan</w:t>
      </w:r>
    </w:p>
    <w:p>
      <w:pPr>
        <w:pStyle w:val="Heading3"/>
        <w:keepNext/>
        <w:spacing w:before="200" w:after="100"/>
      </w:pPr>
      <w:r>
        <w:rPr>
          <w:b/>
          <w:bCs/>
          <w:rFonts w:ascii="Times New Roman" w:cs="Times New Roman" w:eastAsia="Times New Roman" w:hAnsi="Times New Roman"/>
        </w:rPr>
        <w:t xml:space="preserve">4.5.1	Proyeksi Kebutuhan Air Domestik</w:t>
      </w:r>
    </w:p>
    <w:p>
      <w:pPr>
        <w:spacing w:line="360" w:after="120"/>
        <w:ind w:firstLine="567"/>
        <w:jc w:val="both"/>
      </w:pPr>
      <w:r>
        <w:rPr>
          <w:rFonts w:ascii="Times New Roman" w:cs="Times New Roman" w:eastAsia="Times New Roman" w:hAnsi="Times New Roman"/>
        </w:rPr>
        <w:t xml:space="preserve">Kebutuhan air harian total dihitung dengan Persamaan 3.1:</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harian</m:t>
            </m:r>
          </m:sub>
        </m:sSub>
        <m:r>
          <m:t> = </m:t>
        </m:r>
        <m:sSub>
          <m:sSubPr/>
          <m:e>
            <m:r>
              <m:t>n</m:t>
            </m:r>
          </m:e>
          <m:sub>
            <m:r>
              <m:t>unit</m:t>
            </m:r>
          </m:sub>
        </m:sSub>
        <m:r>
          <m:t> · </m:t>
        </m:r>
        <m:sSub>
          <m:sSubPr/>
          <m:e>
            <m:r>
              <m:t>n</m:t>
            </m:r>
          </m:e>
          <m:sub>
            <m:r>
              <m:t>jiwa</m:t>
            </m:r>
          </m:sub>
        </m:sSub>
        <m:r>
          <m:t> · q</m:t>
        </m:r>
      </m:oMath>
      <w:r>
        <w:rPr>
          <w:rFonts w:ascii="Times New Roman" w:cs="Times New Roman" w:eastAsia="Times New Roman" w:hAnsi="Times New Roman"/>
        </w:rPr>
        <w:t xml:space="preserve">	(4.6)</w:t>
      </w:r>
    </w:p>
    <w:p>
      <w:pPr>
        <w:tabs>
          <w:tab w:val="center" w:pos="3969"/>
          <w:tab w:val="right" w:pos="7937"/>
        </w:tabs>
        <w:spacing w:before="120" w:after="120" w:line="300"/>
      </w:pPr>
      <w:r>
        <w:rPr>
          <w:rFonts w:ascii="Times New Roman" w:cs="Times New Roman" w:eastAsia="Times New Roman" w:hAnsi="Times New Roman"/>
        </w:rPr>
        <w:t xml:space="preserve">	</w:t>
      </w:r>
      <m:oMath>
        <m:r>
          <m:t>= 160 × 4 × 120 = 76.800 liter/hari = 76,8 m³/hari</m:t>
        </m:r>
      </m:oMath>
      <w:r>
        <w:rPr>
          <w:rFonts w:ascii="Times New Roman" w:cs="Times New Roman" w:eastAsia="Times New Roman" w:hAnsi="Times New Roman"/>
        </w:rPr>
      </w:r>
    </w:p>
    <w:p>
      <w:pPr>
        <w:spacing w:line="360" w:after="120"/>
        <w:ind w:firstLine="567"/>
        <w:jc w:val="both"/>
      </w:pPr>
      <w:r>
        <w:rPr>
          <w:rFonts w:ascii="Times New Roman" w:cs="Times New Roman" w:eastAsia="Times New Roman" w:hAnsi="Times New Roman"/>
        </w:rPr>
        <w:t xml:space="preserve">Kebutuhan bulanan dihitung dari Persamaan 2.24 (V</w:t>
      </w:r>
      <w:r>
        <w:rPr>
          <w:vertAlign w:val="subscript"/>
          <w:rFonts w:ascii="Times New Roman" w:cs="Times New Roman" w:eastAsia="Times New Roman" w:hAnsi="Times New Roman"/>
        </w:rPr>
        <w:t xml:space="preserve">demand,i</w:t>
      </w:r>
      <w:r>
        <w:rPr>
          <w:rFonts w:ascii="Times New Roman" w:cs="Times New Roman" w:eastAsia="Times New Roman" w:hAnsi="Times New Roman"/>
        </w:rPr>
        <w:t xml:space="preserve"> = Q</w:t>
      </w:r>
      <w:r>
        <w:rPr>
          <w:vertAlign w:val="subscript"/>
          <w:rFonts w:ascii="Times New Roman" w:cs="Times New Roman" w:eastAsia="Times New Roman" w:hAnsi="Times New Roman"/>
        </w:rPr>
        <w:t xml:space="preserve">harian</w:t>
      </w:r>
      <w:r>
        <w:rPr>
          <w:rFonts w:ascii="Times New Roman" w:cs="Times New Roman" w:eastAsia="Times New Roman" w:hAnsi="Times New Roman"/>
        </w:rPr>
        <w:t xml:space="preserve"> · t</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dan kebutuhan tahunan adalah 28.032 m³/tahun (365 hari).</w:t>
      </w:r>
    </w:p>
    <w:p>
      <w:pPr>
        <w:pStyle w:val="Heading3"/>
        <w:keepNext/>
        <w:spacing w:before="200" w:after="100"/>
      </w:pPr>
      <w:r>
        <w:rPr>
          <w:b/>
          <w:bCs/>
          <w:rFonts w:ascii="Times New Roman" w:cs="Times New Roman" w:eastAsia="Times New Roman" w:hAnsi="Times New Roman"/>
        </w:rPr>
        <w:t xml:space="preserve">4.5.2	Kebutuhan Air Non-Potabel yang Dilayani Pemanenan Air Hujan</w:t>
      </w:r>
    </w:p>
    <w:p>
      <w:pPr>
        <w:spacing w:line="360" w:after="120"/>
        <w:ind w:firstLine="567"/>
        <w:jc w:val="both"/>
      </w:pPr>
      <w:r>
        <w:rPr>
          <w:rFonts w:ascii="Times New Roman" w:cs="Times New Roman" w:eastAsia="Times New Roman" w:hAnsi="Times New Roman"/>
        </w:rPr>
        <w:t xml:space="preserve">Subbab 2.1 membatasi pemanfaatan air hujan pada kebutuhan non-potabel, sedangkan standar 120 liter/jiwa/hari mencakup seluruh kebutuhan domestik termasuk air minum. Karena itu, selain skenario dasar 100% kebutuhan (sesuai basis perhitungan pada Subbab 1.1), dianalisis empat skenario fraksi kebutuhan yang dilayani: 70%, 65% (desain), 60%, dan 50%. Batas bawah 50% mengacu pada Vovk dkk. (2023) yang melaporkan bahwa kebutuhan non-minum melebihi 50% kebutuhan air perkotaan, sedangkan fraksi desain 65% adalah titik tengah rentang 60–70% (Subbab 3.4.1). Kebutuhan desain menjadi 49,92 m³/hari (18.221 m³/tahun).</w:t>
      </w:r>
    </w:p>
    <w:p>
      <w:pPr>
        <w:pStyle w:val="Heading2"/>
        <w:keepNext/>
        <w:spacing w:before="240" w:after="120"/>
      </w:pPr>
      <w:r>
        <w:rPr>
          <w:b/>
          <w:bCs/>
          <w:rFonts w:ascii="Times New Roman" w:cs="Times New Roman" w:eastAsia="Times New Roman" w:hAnsi="Times New Roman"/>
        </w:rPr>
        <w:t xml:space="preserve">4.6	Analisis Potensi Pasokan Air Hujan Tangkapan Atap</w:t>
      </w:r>
    </w:p>
    <w:p>
      <w:pPr>
        <w:pStyle w:val="Heading3"/>
        <w:keepNext/>
        <w:spacing w:before="200" w:after="100"/>
      </w:pPr>
      <w:r>
        <w:rPr>
          <w:b/>
          <w:bCs/>
          <w:rFonts w:ascii="Times New Roman" w:cs="Times New Roman" w:eastAsia="Times New Roman" w:hAnsi="Times New Roman"/>
        </w:rPr>
        <w:t xml:space="preserve">4.6.1	Volume Air Hujan Tangkapan Bulanan</w:t>
      </w:r>
    </w:p>
    <w:p>
      <w:pPr>
        <w:spacing w:line="360" w:after="120"/>
        <w:ind w:firstLine="567"/>
        <w:jc w:val="both"/>
      </w:pPr>
      <w:r>
        <w:rPr>
          <w:rFonts w:ascii="Times New Roman" w:cs="Times New Roman" w:eastAsia="Times New Roman" w:hAnsi="Times New Roman"/>
        </w:rPr>
        <w:t xml:space="preserve">Volume pasokan bulanan dihitung dengan Persamaan 2.23 memakai hujan bulanan rata-rata 25 tahun. Contoh untuk Januari (R = 304,4 mm):</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supply,Jan</m:t>
            </m:r>
          </m:sub>
        </m:sSub>
        <m:r>
          <m:t> = </m:t>
        </m:r>
        <m:f>
          <m:num>
            <m:r>
              <m:t>C · </m:t>
            </m:r>
            <m:sSub>
              <m:sSubPr/>
              <m:e>
                <m:r>
                  <m:t>A</m:t>
                </m:r>
              </m:e>
              <m:sub>
                <m:r>
                  <m:t>atap</m:t>
                </m:r>
              </m:sub>
            </m:sSub>
            <m:r>
              <m:t> · R</m:t>
            </m:r>
          </m:num>
          <m:den>
            <m:r>
              <m:t>1000</m:t>
            </m:r>
          </m:den>
        </m:f>
      </m:oMath>
      <w:r>
        <w:rPr>
          <w:rFonts w:ascii="Times New Roman" w:cs="Times New Roman" w:eastAsia="Times New Roman" w:hAnsi="Times New Roman"/>
        </w:rPr>
        <w:t xml:space="preserve">	(4.7)</w:t>
      </w:r>
    </w:p>
    <w:p>
      <w:pPr>
        <w:tabs>
          <w:tab w:val="center" w:pos="3969"/>
          <w:tab w:val="right" w:pos="7937"/>
        </w:tabs>
        <w:spacing w:before="120" w:after="120" w:line="300"/>
      </w:pPr>
      <w:r>
        <w:rPr>
          <w:rFonts w:ascii="Times New Roman" w:cs="Times New Roman" w:eastAsia="Times New Roman" w:hAnsi="Times New Roman"/>
        </w:rPr>
        <w:t xml:space="preserve">	</w:t>
      </w:r>
      <m:oMath>
        <m:r>
          <m:t>= 0,80 × 10.400 × 304,4 / 1000 = 2.532,6 m³</m:t>
        </m:r>
      </m:oMath>
      <w:r>
        <w:rPr>
          <w:rFonts w:ascii="Times New Roman" w:cs="Times New Roman" w:eastAsia="Times New Roman" w:hAnsi="Times New Roman"/>
        </w:rPr>
      </w:r>
    </w:p>
    <w:p>
      <w:pPr>
        <w:spacing w:line="360" w:after="120"/>
        <w:ind w:firstLine="567"/>
        <w:jc w:val="both"/>
      </w:pPr>
      <w:r>
        <w:rPr>
          <w:rFonts w:ascii="Times New Roman" w:cs="Times New Roman" w:eastAsia="Times New Roman" w:hAnsi="Times New Roman"/>
        </w:rPr>
        <w:t xml:space="preserve">Hujan tahunan rata-rata dari data bulanan adalah 3.330 mm, sehingga pasokan atap tahunan adalah 27.706 m³/tahun. Angka ini setara </w:t>
      </w:r>
      <w:r>
        <w:rPr>
          <w:b/>
          <w:bCs/>
          <w:rFonts w:ascii="Times New Roman" w:cs="Times New Roman" w:eastAsia="Times New Roman" w:hAnsi="Times New Roman"/>
        </w:rPr>
        <w:t xml:space="preserve">98,8%</w:t>
      </w:r>
      <w:r>
        <w:rPr>
          <w:rFonts w:ascii="Times New Roman" w:cs="Times New Roman" w:eastAsia="Times New Roman" w:hAnsi="Times New Roman"/>
        </w:rPr>
        <w:t xml:space="preserve"> dari kebutuhan tahunan 100% (28.032 m³/tahun), yaitu sedikit di bawah kebutuhan sebelum memperhitungkan evaporasi kolam. Bulan terkering adalah Juli (177 mm) dan bulan terbasah adalah November (408 mm). Sebagai batas bawah, bila pasokan dihitung dari total tahunan hasil penjumlahan laporan stasiun (2.783 mm), pasokan atap tahunan adalah 23.156 m³ atau 82,6% kebutuhan 100%.</w:t>
      </w:r>
    </w:p>
    <w:p>
      <w:pPr>
        <w:keepNext/>
        <w:spacing w:before="160" w:after="80"/>
        <w:jc w:val="center"/>
      </w:pPr>
      <w:r>
        <w:rPr>
          <w:b/>
          <w:bCs/>
          <w:rFonts w:ascii="Times New Roman" w:cs="Times New Roman" w:eastAsia="Times New Roman" w:hAnsi="Times New Roman"/>
        </w:rPr>
        <w:t xml:space="preserve">Tabel 4.15</w:t>
      </w:r>
      <w:r>
        <w:rPr>
          <w:rFonts w:ascii="Times New Roman" w:cs="Times New Roman" w:eastAsia="Times New Roman" w:hAnsi="Times New Roman"/>
        </w:rPr>
        <w:t xml:space="preserve"> Pasokan Atap, Kebutuhan, dan Evaporasi Bulanan (rata-rata 25 tahun)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900"/>
        <w:gridCol w:w="1200"/>
        <w:gridCol w:w="1400"/>
        <w:gridCol w:w="1200"/>
        <w:gridCol w:w="1087"/>
      </w:tblGrid>
      <w:tr>
        <w:trPr>
          <w:cantSplit/>
          <w:tblHeader/>
        </w:trPr>
        <w:tc>
          <w:tcPr>
            <w:tcW w:type="dxa" w:w="12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Bulan</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R (mm)</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ET0 (mm)</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Vsupply (m³)</w:t>
            </w:r>
          </w:p>
        </w:tc>
        <w:tc>
          <w:tcPr>
            <w:tcW w:type="dxa" w:w="1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Vdemand 100% (m³)</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Vdemand 65% (m³)</w:t>
            </w:r>
          </w:p>
        </w:tc>
        <w:tc>
          <w:tcPr>
            <w:tcW w:type="dxa" w:w="108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E_i (m³)</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Januari</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304,4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101,2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2.533</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214</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Februari</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236,9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103,2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1.971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2.150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1.398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218</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Maret</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248,9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115,1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2.071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243</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April</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306,1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107,7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2.547</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2.304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1.498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227</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Mei</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280,2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107,7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2.331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227</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Juni</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213,3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103,4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1.775</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2.304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1.498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218</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Juli</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177,2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113,7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1.475</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240</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Agustus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191,4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118,4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1.593</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250</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September</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243,7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110,3</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2.027</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2.304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1.498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233</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Oktober</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351,6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107,2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2.925</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226</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November</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408,4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93,0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3.398</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2.304</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1.498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196</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Desember</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367,9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95,5</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3.061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2.381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1.548</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201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19"/>
                <w:szCs w:val="19"/>
                <w:rFonts w:ascii="Times New Roman" w:cs="Times New Roman" w:eastAsia="Times New Roman" w:hAnsi="Times New Roman"/>
              </w:rPr>
              <w:t xml:space="preserve">Jumlah</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3.330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1.276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27.706</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28.032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18.221</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2.693</w:t>
            </w:r>
          </w:p>
        </w:tc>
      </w:tr>
    </w:tbl>
    <w:p>
      <w:pPr>
        <w:spacing w:line="276" w:after="120"/>
        <w:jc w:val="left"/>
      </w:pPr>
      <w:r>
        <w:rPr>
          <w:i/>
          <w:iCs/>
          <w:sz w:val="20"/>
          <w:szCs w:val="20"/>
          <w:rFonts w:ascii="Times New Roman" w:cs="Times New Roman" w:eastAsia="Times New Roman" w:hAnsi="Times New Roman"/>
        </w:rPr>
        <w:t xml:space="preserve">E_i = ET0 × 1,0 × luas permukaan kolam (2.110 m², nilai iterasi) / 1000.</w:t>
      </w:r>
    </w:p>
    <w:p>
      <w:pPr>
        <w:keepNext/>
        <w:spacing w:before="12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4.6</w:t>
      </w:r>
      <w:r>
        <w:rPr>
          <w:sz w:val="22"/>
          <w:szCs w:val="22"/>
          <w:rFonts w:ascii="Times New Roman" w:cs="Times New Roman" w:eastAsia="Times New Roman" w:hAnsi="Times New Roman"/>
        </w:rPr>
        <w:t xml:space="preserve"> Pasokan Atap dan Kebutuhan Air Bulanan</w:t>
      </w:r>
    </w:p>
    <w:p>
      <w:pPr>
        <w:pStyle w:val="Heading3"/>
        <w:keepNext/>
        <w:spacing w:before="200" w:after="100"/>
      </w:pPr>
      <w:r>
        <w:rPr>
          <w:b/>
          <w:bCs/>
          <w:rFonts w:ascii="Times New Roman" w:cs="Times New Roman" w:eastAsia="Times New Roman" w:hAnsi="Times New Roman"/>
        </w:rPr>
        <w:t xml:space="preserve">4.6.2	Cakupan Perhitungan Pasokan</w:t>
      </w:r>
    </w:p>
    <w:p>
      <w:pPr>
        <w:spacing w:line="360" w:after="120"/>
        <w:ind w:firstLine="567"/>
        <w:jc w:val="both"/>
      </w:pPr>
      <w:r>
        <w:rPr>
          <w:rFonts w:ascii="Times New Roman" w:cs="Times New Roman" w:eastAsia="Times New Roman" w:hAnsi="Times New Roman"/>
        </w:rPr>
        <w:t xml:space="preserve">Pasokan dihitung dari seluruh hujan yang jatuh di atap dikalikan koefisien limpasan, sesuai Persamaan 2.23. Pengurangan volume akibat air bilasan pertama (</w:t>
      </w:r>
      <w:r>
        <w:rPr>
          <w:i/>
          <w:iCs/>
          <w:rFonts w:ascii="Times New Roman" w:cs="Times New Roman" w:eastAsia="Times New Roman" w:hAnsi="Times New Roman"/>
        </w:rPr>
        <w:t xml:space="preserve">first flush</w:t>
      </w:r>
      <w:r>
        <w:rPr>
          <w:rFonts w:ascii="Times New Roman" w:cs="Times New Roman" w:eastAsia="Times New Roman" w:hAnsi="Times New Roman"/>
        </w:rPr>
        <w:t xml:space="preserve">) tidak dimasukkan karena Persamaan 2.23 tidak memuat suku tersebut; pengaruhnya adalah mengurangi pasokan, sehingga nilai pasokan pada Tabel 4.15 sedikit lebih tinggi dari pasokan bersih yang dapat dimanfaatkan.</w:t>
      </w:r>
    </w:p>
    <w:p>
      <w:pPr>
        <w:pStyle w:val="Heading2"/>
        <w:keepNext/>
        <w:spacing w:before="240" w:after="120"/>
      </w:pPr>
      <w:r>
        <w:rPr>
          <w:b/>
          <w:bCs/>
          <w:rFonts w:ascii="Times New Roman" w:cs="Times New Roman" w:eastAsia="Times New Roman" w:hAnsi="Times New Roman"/>
        </w:rPr>
        <w:t xml:space="preserve">4.7	Simulasi Neraca Air dan Penentuan Volume Pasokan (Vs)</w:t>
      </w:r>
    </w:p>
    <w:p>
      <w:pPr>
        <w:pStyle w:val="Heading3"/>
        <w:keepNext/>
        <w:spacing w:before="200" w:after="100"/>
      </w:pPr>
      <w:r>
        <w:rPr>
          <w:b/>
          <w:bCs/>
          <w:rFonts w:ascii="Times New Roman" w:cs="Times New Roman" w:eastAsia="Times New Roman" w:hAnsi="Times New Roman"/>
        </w:rPr>
        <w:t xml:space="preserve">4.7.1	Neraca Air Bulanan</w:t>
      </w:r>
    </w:p>
    <w:p>
      <w:pPr>
        <w:spacing w:line="360" w:after="120"/>
        <w:ind w:firstLine="567"/>
        <w:jc w:val="both"/>
      </w:pPr>
      <w:r>
        <w:rPr>
          <w:rFonts w:ascii="Times New Roman" w:cs="Times New Roman" w:eastAsia="Times New Roman" w:hAnsi="Times New Roman"/>
        </w:rPr>
        <w:t xml:space="preserve">Neraca air bulanan dihitung dengan Persamaan 2.25 (S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S</w:t>
      </w:r>
      <w:r>
        <w:rPr>
          <w:vertAlign w:val="subscript"/>
          <w:rFonts w:ascii="Times New Roman" w:cs="Times New Roman" w:eastAsia="Times New Roman" w:hAnsi="Times New Roman"/>
        </w:rPr>
        <w:t xml:space="preserve">i−1</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supply,i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demand,i</w:t>
      </w:r>
      <w:r>
        <w:rPr>
          <w:rFonts w:ascii="Times New Roman" w:cs="Times New Roman" w:eastAsia="Times New Roman" w:hAnsi="Times New Roman"/>
        </w:rPr>
        <w:t xml:space="preserve"> −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Pada skenario desain (fraksi 65%), neraca tahunan bernilai 6.793 m³ (positif). Bulan dengan neraca negatif adalah Juli dan Agustus; pada bulan lain pasokan melebihi kebutuhan. Sebaliknya, pada skenario dasar 100% neraca tahunan bernilai -3.019 m³ (negatif), artinya pasokan atap yang dikurangi evaporasi kolam tidak mampu memenuhi seluruh kebutuhan sepanjang tahun.</w:t>
      </w:r>
    </w:p>
    <w:p>
      <w:pPr>
        <w:keepNext/>
        <w:spacing w:before="160" w:after="80"/>
        <w:jc w:val="center"/>
      </w:pPr>
      <w:r>
        <w:rPr>
          <w:b/>
          <w:bCs/>
          <w:rFonts w:ascii="Times New Roman" w:cs="Times New Roman" w:eastAsia="Times New Roman" w:hAnsi="Times New Roman"/>
        </w:rPr>
        <w:t xml:space="preserve">Tabel 4.16</w:t>
      </w:r>
      <w:r>
        <w:rPr>
          <w:rFonts w:ascii="Times New Roman" w:cs="Times New Roman" w:eastAsia="Times New Roman" w:hAnsi="Times New Roman"/>
        </w:rPr>
        <w:t xml:space="preserve"> Neraca Air Bulanan Skenario Desain (fraksi 65%) dan Kumulatif</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000"/>
        <w:gridCol w:w="1300"/>
        <w:gridCol w:w="1537"/>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Bulan</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Vsupply (m³)</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Vdemand (m³)</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E_i (m³)</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Neraca (m³)</w:t>
            </w:r>
          </w:p>
        </w:tc>
        <w:tc>
          <w:tcPr>
            <w:tcW w:type="dxa" w:w="153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Kumulatif K (m³)</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Januari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2.533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772</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772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Februari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1.398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356</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1.127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Maret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281</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1.408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April</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2.547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1.498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822</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2.230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Mei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2.331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557</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2.786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Juni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1.775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1.498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59</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2.846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Juli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1.475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-313</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2.533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Agustus</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1.593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2.328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September</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2.027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1.498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297</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2.625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Oktober</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2.925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1.151</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3.777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November</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3.398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1.498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1.704</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5.481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Desember</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3.061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1.548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1.312</w:t>
            </w:r>
          </w:p>
        </w:tc>
        <w:tc>
          <w:tcPr>
            <w:tcW w:type="dxa" w:w="15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6.793</w:t>
            </w:r>
          </w:p>
        </w:tc>
      </w:tr>
    </w:tbl>
    <w:p>
      <w:pPr>
        <w:spacing w:line="276" w:after="100"/>
        <w:jc w:val="left"/>
      </w:pPr>
    </w:p>
    <w:p>
      <w:pPr>
        <w:pStyle w:val="Heading3"/>
        <w:keepNext/>
        <w:spacing w:before="200" w:after="100"/>
      </w:pPr>
      <w:r>
        <w:rPr>
          <w:b/>
          <w:bCs/>
          <w:rFonts w:ascii="Times New Roman" w:cs="Times New Roman" w:eastAsia="Times New Roman" w:hAnsi="Times New Roman"/>
        </w:rPr>
        <w:t xml:space="preserve">4.7.2	Kurva Massa Rippl dan Periode Defisit</w:t>
      </w:r>
    </w:p>
    <w:p>
      <w:pPr>
        <w:spacing w:line="360" w:after="120"/>
        <w:ind w:firstLine="567"/>
        <w:jc w:val="both"/>
      </w:pPr>
      <w:r>
        <w:rPr>
          <w:rFonts w:ascii="Times New Roman" w:cs="Times New Roman" w:eastAsia="Times New Roman" w:hAnsi="Times New Roman"/>
        </w:rPr>
        <w:t xml:space="preserve">Kurva massa Rippl disusun dari kumulatif neraca selama dua siklus tahunan (24 bulan) pada Gambar 4.7. Kumulatif menurun hanya pada Juli dan Agustus (periode defisit terpanjang adalah 2 bulan berturut-turut, dengan defisit sekitar 517 m³ dari puncak), kemudian naik kembali pada musim hujan sehingga kolam terisi. Pada skenario 100% kumulatif turun terus dari tahun ke tahun, sehingga tampungan tidak pernah pulih dan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tidak terhingga.</w:t>
      </w:r>
    </w:p>
    <w:p>
      <w:pPr>
        <w:keepNext/>
        <w:spacing w:before="120" w:after="6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4.7</w:t>
      </w:r>
      <w:r>
        <w:rPr>
          <w:sz w:val="22"/>
          <w:szCs w:val="22"/>
          <w:rFonts w:ascii="Times New Roman" w:cs="Times New Roman" w:eastAsia="Times New Roman" w:hAnsi="Times New Roman"/>
        </w:rPr>
        <w:t xml:space="preserve"> Kurva Massa Rippl Skenario Desain (24 bulan)</w:t>
      </w:r>
    </w:p>
    <w:p>
      <w:pPr>
        <w:pStyle w:val="Heading3"/>
        <w:keepNext/>
        <w:spacing w:before="200" w:after="100"/>
      </w:pPr>
      <w:r>
        <w:rPr>
          <w:b/>
          <w:bCs/>
          <w:rFonts w:ascii="Times New Roman" w:cs="Times New Roman" w:eastAsia="Times New Roman" w:hAnsi="Times New Roman"/>
        </w:rPr>
        <w:t xml:space="preserve">4.7.3	Volume Tampungan Vs dan Tingkat Keandalan</w:t>
      </w:r>
    </w:p>
    <w:p>
      <w:pPr>
        <w:spacing w:line="360" w:after="120"/>
        <w:ind w:firstLine="567"/>
        <w:jc w:val="both"/>
      </w:pPr>
      <w:r>
        <w:rPr>
          <w:rFonts w:ascii="Times New Roman" w:cs="Times New Roman" w:eastAsia="Times New Roman" w:hAnsi="Times New Roman"/>
        </w:rPr>
        <w:t xml:space="preserve">Volume kebutuhan penyimpanan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ditentukan dengan Persamaan 2.26, yaitu defisit kumulatif maksimum dari puncak kumulatif ke lembah yang mengikutinya (metode Rippl). Hasilnya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 </w:t>
      </w:r>
      <w:r>
        <w:rPr>
          <w:b/>
          <w:bCs/>
          <w:rFonts w:ascii="Times New Roman" w:cs="Times New Roman" w:eastAsia="Times New Roman" w:hAnsi="Times New Roman"/>
        </w:rPr>
        <w:t xml:space="preserve">517 m³</w:t>
      </w:r>
      <w:r>
        <w:rPr>
          <w:rFonts w:ascii="Times New Roman" w:cs="Times New Roman" w:eastAsia="Times New Roman" w:hAnsi="Times New Roman"/>
        </w:rPr>
        <w:t xml:space="preserve"> untuk skenario desain.</w:t>
      </w:r>
    </w:p>
    <w:p>
      <w:pPr>
        <w:spacing w:line="360" w:after="120"/>
        <w:ind w:firstLine="567"/>
        <w:jc w:val="both"/>
      </w:pPr>
      <w:r>
        <w:rPr>
          <w:rFonts w:ascii="Times New Roman" w:cs="Times New Roman" w:eastAsia="Times New Roman" w:hAnsi="Times New Roman"/>
        </w:rPr>
        <w:t xml:space="preserve">Keandalan dihitung dari simulasi bulanan 300 bulan (2001–2025) dengan volume kolam V</w:t>
      </w:r>
      <w:r>
        <w:rPr>
          <w:vertAlign w:val="subscript"/>
          <w:rFonts w:ascii="Times New Roman" w:cs="Times New Roman" w:eastAsia="Times New Roman" w:hAnsi="Times New Roman"/>
        </w:rPr>
        <w:t xml:space="preserve">desain</w:t>
      </w:r>
      <w:r>
        <w:rPr>
          <w:rFonts w:ascii="Times New Roman" w:cs="Times New Roman" w:eastAsia="Times New Roman" w:hAnsi="Times New Roman"/>
        </w:rPr>
        <w:t xml:space="preserve"> = 4.219 m³ (Subbab 4.8.2), sesuai Persamaan 2.27 (N</w:t>
      </w:r>
      <w:r>
        <w:rPr>
          <w:vertAlign w:val="subscript"/>
          <w:rFonts w:ascii="Times New Roman" w:cs="Times New Roman" w:eastAsia="Times New Roman" w:hAnsi="Times New Roman"/>
        </w:rPr>
        <w:t xml:space="preserve">terpenuhi</w:t>
      </w: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total</w:t>
      </w:r>
      <w:r>
        <w:rPr>
          <w:rFonts w:ascii="Times New Roman" w:cs="Times New Roman" w:eastAsia="Times New Roman" w:hAnsi="Times New Roman"/>
        </w:rPr>
        <w:t xml:space="preserve">). Hasilnya pada Tabel 4.17: untuk skenario desain, kebutuhan terpenuhi pada 299 dari 300 bulan sehingga keandalan </w:t>
      </w:r>
      <w:r>
        <w:rPr>
          <w:b/>
          <w:bCs/>
          <w:rFonts w:ascii="Times New Roman" w:cs="Times New Roman" w:eastAsia="Times New Roman" w:hAnsi="Times New Roman"/>
        </w:rPr>
        <w:t xml:space="preserve">99,7%</w:t>
      </w:r>
      <w:r>
        <w:rPr>
          <w:rFonts w:ascii="Times New Roman" w:cs="Times New Roman" w:eastAsia="Times New Roman" w:hAnsi="Times New Roman"/>
        </w:rPr>
        <w:t xml:space="preserve">. Pada skenario dasar 100% keandalan 71,0% dengan pemenuhan volume 88,7%.</w:t>
      </w:r>
    </w:p>
    <w:p>
      <w:pPr>
        <w:keepNext/>
        <w:spacing w:before="160" w:after="80"/>
        <w:jc w:val="center"/>
      </w:pPr>
      <w:r>
        <w:rPr>
          <w:b/>
          <w:bCs/>
          <w:rFonts w:ascii="Times New Roman" w:cs="Times New Roman" w:eastAsia="Times New Roman" w:hAnsi="Times New Roman"/>
        </w:rPr>
        <w:t xml:space="preserve">Tabel 4.17</w:t>
      </w:r>
      <w:r>
        <w:rPr>
          <w:rFonts w:ascii="Times New Roman" w:cs="Times New Roman" w:eastAsia="Times New Roman" w:hAnsi="Times New Roman"/>
        </w:rPr>
        <w:t xml:space="preserve"> Ringkasan Skenario Fraksi Kebutuhan: Vs dan Keandalan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1400"/>
        <w:gridCol w:w="1400"/>
        <w:gridCol w:w="1250"/>
        <w:gridCol w:w="1150"/>
        <w:gridCol w:w="1187"/>
      </w:tblGrid>
      <w:tr>
        <w:trPr>
          <w:cantSplit/>
          <w:tblHeader/>
        </w:trPr>
        <w:tc>
          <w:tcPr>
            <w:tcW w:type="dxa" w:w="7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No.</w:t>
            </w:r>
          </w:p>
        </w:tc>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Fraksi</w:t>
            </w:r>
          </w:p>
        </w:tc>
        <w:tc>
          <w:tcPr>
            <w:tcW w:type="dxa" w:w="1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Kebutuhan (m³/th)</w:t>
            </w:r>
          </w:p>
        </w:tc>
        <w:tc>
          <w:tcPr>
            <w:tcW w:type="dxa" w:w="1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Neraca tahunan (m³)</w:t>
            </w:r>
          </w:p>
        </w:tc>
        <w:tc>
          <w:tcPr>
            <w:tcW w:type="dxa" w:w="12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Vs (m³)</w:t>
            </w:r>
          </w:p>
        </w:tc>
        <w:tc>
          <w:tcPr>
            <w:tcW w:type="dxa" w:w="115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Keandalan</w:t>
            </w:r>
          </w:p>
        </w:tc>
        <w:tc>
          <w:tcPr>
            <w:tcW w:type="dxa" w:w="118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9"/>
                <w:szCs w:val="19"/>
                <w:rFonts w:ascii="Times New Roman" w:cs="Times New Roman" w:eastAsia="Times New Roman" w:hAnsi="Times New Roman"/>
              </w:rPr>
              <w:t xml:space="preserve">Pemenuhan volume</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28.032</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-3.019</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Tidak konvergen</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71,0%</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88,7%</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70%</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19.622</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5.391</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811</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99,0%</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99,8%</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3</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65%</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18.221</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6.793</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517</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99,7%</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100,0%</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4</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60%</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16.819</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8.194</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279</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100,0%</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100,1%</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50%</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14.016</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10.997</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0</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100,0%</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9"/>
                <w:szCs w:val="19"/>
                <w:rFonts w:ascii="Times New Roman" w:cs="Times New Roman" w:eastAsia="Times New Roman" w:hAnsi="Times New Roman"/>
              </w:rPr>
              <w:t xml:space="preserve">100,1%</w:t>
            </w:r>
          </w:p>
        </w:tc>
      </w:tr>
    </w:tbl>
    <w:p>
      <w:pPr>
        <w:spacing w:line="276" w:after="120"/>
        <w:jc w:val="left"/>
      </w:pPr>
      <w:r>
        <w:rPr>
          <w:i/>
          <w:iCs/>
          <w:sz w:val="20"/>
          <w:szCs w:val="20"/>
          <w:rFonts w:ascii="Times New Roman" w:cs="Times New Roman" w:eastAsia="Times New Roman" w:hAnsi="Times New Roman"/>
        </w:rPr>
        <w:t xml:space="preserve">Simulasi dimulai dengan kolam penuh; pemenuhan di atas 100% pada fraksi 50% berasal dari volume awal tersebut.</w:t>
      </w:r>
    </w:p>
    <w:p>
      <w:pPr>
        <w:keepNext/>
        <w:spacing w:before="120" w:after="6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33625"/>
                    </a:xfrm>
                    <a:prstGeom prst="rect">
                      <a:avLst/>
                    </a:prstGeom>
                  </pic:spPr>
                </pic:pic>
              </a:graphicData>
            </a:graphic>
          </wp:inline>
        </w:drawing>
      </w:r>
    </w:p>
    <w:p>
      <w:pPr>
        <w:spacing w:after="160"/>
        <w:jc w:val="center"/>
      </w:pPr>
      <w:r>
        <w:rPr>
          <w:b/>
          <w:bCs/>
          <w:sz w:val="22"/>
          <w:szCs w:val="22"/>
          <w:rFonts w:ascii="Times New Roman" w:cs="Times New Roman" w:eastAsia="Times New Roman" w:hAnsi="Times New Roman"/>
        </w:rPr>
        <w:t xml:space="preserve">Gambar 4.8</w:t>
      </w:r>
      <w:r>
        <w:rPr>
          <w:sz w:val="22"/>
          <w:szCs w:val="22"/>
          <w:rFonts w:ascii="Times New Roman" w:cs="Times New Roman" w:eastAsia="Times New Roman" w:hAnsi="Times New Roman"/>
        </w:rPr>
        <w:t xml:space="preserve"> Keandalan Pemenuhan Kebutuhan Menurut Fraksi Kebutuhan</w:t>
      </w:r>
    </w:p>
    <w:p>
      <w:pPr>
        <w:spacing w:line="360" w:after="120"/>
        <w:ind w:firstLine="567"/>
        <w:jc w:val="both"/>
      </w:pPr>
      <w:r>
        <w:rPr>
          <w:rFonts w:ascii="Times New Roman" w:cs="Times New Roman" w:eastAsia="Times New Roman" w:hAnsi="Times New Roman"/>
        </w:rPr>
        <w:t xml:space="preserve">Hasil ini menjawab bagian Rumusan Masalah 2 tentang sejauh mana potensi tangkapan atap memenuhi kebutuhan: pasokan atap tahunan (27.706 m³) praktis sama dengan kebutuhan total (28.032 m³) sehingga curah hujan Kubu Raya yang tinggi memungkinkan pemanenan atap berperan besar. Namun karena evaporasi kolam dan variasi bulanan, pemenuhan 100% kebutuhan hanya tercapai 71% waktu, sedangkan fraksi non-potabel 65% dapat dipenuhi 100% waktu. Sistem sebaiknya diposisikan sebagai pemasok kebutuhan non-potabel.</w:t>
      </w:r>
    </w:p>
    <w:p>
      <w:pPr>
        <w:pStyle w:val="Heading2"/>
        <w:keepNext/>
        <w:spacing w:before="240" w:after="120"/>
      </w:pPr>
      <w:r>
        <w:rPr>
          <w:b/>
          <w:bCs/>
          <w:rFonts w:ascii="Times New Roman" w:cs="Times New Roman" w:eastAsia="Times New Roman" w:hAnsi="Times New Roman"/>
        </w:rPr>
        <w:t xml:space="preserve">4.8	Analisis Debit Puncak Limpasan dan Volume Atenuasi Banjir (Va)</w:t>
      </w:r>
    </w:p>
    <w:p>
      <w:pPr>
        <w:pStyle w:val="Heading3"/>
        <w:keepNext/>
        <w:spacing w:before="200" w:after="100"/>
      </w:pPr>
      <w:r>
        <w:rPr>
          <w:b/>
          <w:bCs/>
          <w:rFonts w:ascii="Times New Roman" w:cs="Times New Roman" w:eastAsia="Times New Roman" w:hAnsi="Times New Roman"/>
        </w:rPr>
        <w:t xml:space="preserve">4.8.1	Debit Limpasan Puncak Metode Rasional</w:t>
      </w:r>
    </w:p>
    <w:p>
      <w:pPr>
        <w:spacing w:line="360" w:after="120"/>
        <w:ind w:firstLine="567"/>
        <w:jc w:val="both"/>
      </w:pPr>
      <w:r>
        <w:rPr>
          <w:rFonts w:ascii="Times New Roman" w:cs="Times New Roman" w:eastAsia="Times New Roman" w:hAnsi="Times New Roman"/>
        </w:rPr>
        <w:t xml:space="preserve">Debit puncak dihitung dengan Persamaan 2.22 (A dalam km²) memakai intensitas pada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(Tabel 4.12). Untuk T = 10 tahun:</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T</m:t>
            </m:r>
          </m:sub>
        </m:sSub>
        <m:r>
          <m:t> = 0,278 · C · I · A</m:t>
        </m:r>
      </m:oMath>
      <w:r>
        <w:rPr>
          <w:rFonts w:ascii="Times New Roman" w:cs="Times New Roman" w:eastAsia="Times New Roman" w:hAnsi="Times New Roman"/>
        </w:rPr>
        <w:t xml:space="preserve">	(4.8)</w:t>
      </w:r>
    </w:p>
    <w:p>
      <w:pPr>
        <w:tabs>
          <w:tab w:val="center" w:pos="3969"/>
          <w:tab w:val="right" w:pos="7937"/>
        </w:tabs>
        <w:spacing w:before="120" w:after="120" w:line="300"/>
      </w:pPr>
      <w:r>
        <w:rPr>
          <w:rFonts w:ascii="Times New Roman" w:cs="Times New Roman" w:eastAsia="Times New Roman" w:hAnsi="Times New Roman"/>
        </w:rPr>
        <w:t xml:space="preserve">	</w:t>
      </w:r>
      <m:oMath>
        <m:r>
          <m:t>= 0,278 × 0,80 × 506,7 × 0,0104 = 1,1720 m³/detik</m:t>
        </m:r>
      </m:oMath>
      <w:r>
        <w:rPr>
          <w:rFonts w:ascii="Times New Roman" w:cs="Times New Roman" w:eastAsia="Times New Roman" w:hAnsi="Times New Roman"/>
        </w:rPr>
      </w:r>
    </w:p>
    <w:p>
      <w:pPr>
        <w:keepNext/>
        <w:spacing w:before="160" w:after="80"/>
        <w:jc w:val="center"/>
      </w:pPr>
      <w:r>
        <w:rPr>
          <w:b/>
          <w:bCs/>
          <w:rFonts w:ascii="Times New Roman" w:cs="Times New Roman" w:eastAsia="Times New Roman" w:hAnsi="Times New Roman"/>
        </w:rPr>
        <w:t xml:space="preserve">Tabel 4.18</w:t>
      </w:r>
      <w:r>
        <w:rPr>
          <w:rFonts w:ascii="Times New Roman" w:cs="Times New Roman" w:eastAsia="Times New Roman" w:hAnsi="Times New Roman"/>
        </w:rPr>
        <w:t xml:space="preserve"> Debit Puncak Limpasan Atap Total (Metode Rasional)</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tblGrid>
      <w:tr>
        <w:trPr>
          <w:cantSplit/>
          <w:tblHeader/>
        </w:trPr>
        <w:tc>
          <w:tcPr>
            <w:tcW w:type="dxa" w:w="2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Kala ulang T (tahun)</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5</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10</w:t>
            </w:r>
          </w:p>
        </w:tc>
        <w:tc>
          <w:tcPr>
            <w:tcW w:type="dxa" w:w="1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25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I (mm/jam)</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366,7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449,1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506,7</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583,3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Q (m³/detik)</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0,8481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1,0386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1,1720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1,3490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Q (liter/detik)</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848,1</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1.038,6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1.172,0</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1.349,0</w:t>
            </w:r>
          </w:p>
        </w:tc>
      </w:tr>
    </w:tbl>
    <w:p>
      <w:pPr>
        <w:spacing w:line="276" w:after="100"/>
        <w:jc w:val="left"/>
      </w:pPr>
    </w:p>
    <w:p>
      <w:pPr>
        <w:spacing w:line="360" w:lineRule="auto" w:after="120"/>
      </w:pPr>
      <w:r>
        <w:rPr>
          <w:rFonts w:ascii="Times New Roman" w:hAnsi="Times New Roman"/>
          <w:b/>
          <w:i w:val="0"/>
          <w:sz w:val="24"/>
          <w:highlight w:val="yellow"/>
        </w:rPr>
        <w:t xml:space="preserve">[REVISI REKONSILIASI HIDROLOGI — DEBIT PUNCAK REALISTIS]: </w:t>
      </w:r>
      <w:r>
        <w:rPr>
          <w:rFonts w:ascii="Times New Roman" w:hAnsi="Times New Roman"/>
          <w:b w:val="0"/>
          <w:i w:val="0"/>
          <w:sz w:val="24"/>
          <w:highlight w:val="yellow"/>
        </w:rPr>
        <w:t>Nilai debit masuk kolam Qin = 1,1720 m³/detik (1.172 L/s) di atas merepresentasikan debit puncak instan teoritis jika badai berintensitas 506,7 mm/jam terjadi serentak di seluruh atap tanpa peredaman. Untuk perancangan kapasitas kolam tampungan kawasan perumahan dengan durasi hujan standar 1 jam (I = 53,22 mm/jam), debit masuk puncak yang mengalir ke kolam retensi adalah Qin,1jam = 0,1231 m³/detik (123,1 L/s), dengan total volume air limpasan masuk sebesar 442,8 m³.</w:t>
      </w:r>
    </w:p>
    <w:p>
      <w:pPr>
        <w:spacing w:line="360" w:after="120"/>
        <w:ind w:firstLine="567"/>
        <w:jc w:val="both"/>
      </w:pPr>
      <w:r>
        <w:rPr>
          <w:rFonts w:ascii="Times New Roman" w:cs="Times New Roman" w:eastAsia="Times New Roman" w:hAnsi="Times New Roman"/>
        </w:rPr>
        <w:t xml:space="preserve">Debit masuk kolam (Persamaan 2.30) adalah penjumlahan debit seluruh blok sehingga Q</w:t>
      </w:r>
      <w:r>
        <w:rPr>
          <w:vertAlign w:val="subscript"/>
          <w:rFonts w:ascii="Times New Roman" w:cs="Times New Roman" w:eastAsia="Times New Roman" w:hAnsi="Times New Roman"/>
        </w:rPr>
        <w:t xml:space="preserve">in</w:t>
      </w:r>
      <w:r>
        <w:rPr>
          <w:rFonts w:ascii="Times New Roman" w:cs="Times New Roman" w:eastAsia="Times New Roman" w:hAnsi="Times New Roman"/>
        </w:rPr>
        <w:t xml:space="preserve"> = 1,1720 m³/detik (1.172 liter/detik) untuk T = 10 tahun. Pengaruh koefisien limpasan ditunjukkan pada Tabel 4.19.</w:t>
      </w:r>
    </w:p>
    <w:p>
      <w:pPr>
        <w:keepNext/>
        <w:spacing w:before="160" w:after="80"/>
        <w:jc w:val="center"/>
      </w:pPr>
      <w:r>
        <w:rPr>
          <w:b/>
          <w:bCs/>
          <w:rFonts w:ascii="Times New Roman" w:cs="Times New Roman" w:eastAsia="Times New Roman" w:hAnsi="Times New Roman"/>
        </w:rPr>
        <w:t xml:space="preserve">Tabel 4.19</w:t>
      </w:r>
      <w:r>
        <w:rPr>
          <w:rFonts w:ascii="Times New Roman" w:cs="Times New Roman" w:eastAsia="Times New Roman" w:hAnsi="Times New Roman"/>
        </w:rPr>
        <w:t xml:space="preserve"> Sensitivitas Q dan Va terhadap Koefisien Limpasan C (T = 10 tahun, th = 1 jam)</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C</w:t>
            </w:r>
          </w:p>
        </w:tc>
        <w:tc>
          <w:tcPr>
            <w:tcW w:type="dxa" w:w="2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Q (m³/detik)</w:t>
            </w:r>
          </w:p>
        </w:tc>
        <w:tc>
          <w:tcPr>
            <w:tcW w:type="dxa" w:w="24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Va (m³)</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0,70</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1,0255</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3.692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0,80</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1,1720</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4.219</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0,90</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1,3185</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4.747</w:t>
            </w:r>
          </w:p>
        </w:tc>
      </w:tr>
      <w:tr>
        <w:tc>
          <w:tcPr>
            <w:tcW w:type="dxa" w:w="1800"/>
          </w:tcPr>
          <w:p>
            <w:pPr>
              <w:jc w:val="center"/>
            </w:pPr>
            <w:r>
              <w:rPr>
                <w:rFonts w:ascii="Times New Roman" w:hAnsi="Times New Roman"/>
                <w:b/>
                <w:sz w:val="19"/>
                <w:highlight w:val="yellow"/>
              </w:rPr>
              <w:t>0,80 (Revisi Realistis)</w:t>
            </w:r>
          </w:p>
        </w:tc>
        <w:tc>
          <w:tcPr>
            <w:tcW w:type="dxa" w:w="2400"/>
          </w:tcPr>
          <w:p>
            <w:pPr>
              <w:jc w:val="center"/>
            </w:pPr>
            <w:r>
              <w:rPr>
                <w:rFonts w:ascii="Times New Roman" w:hAnsi="Times New Roman"/>
                <w:b/>
                <w:sz w:val="19"/>
                <w:highlight w:val="yellow"/>
              </w:rPr>
              <w:t>0,1231 m³/s (123 L/s)</w:t>
            </w:r>
          </w:p>
        </w:tc>
        <w:tc>
          <w:tcPr>
            <w:tcW w:type="dxa" w:w="2400"/>
          </w:tcPr>
          <w:p>
            <w:pPr>
              <w:jc w:val="center"/>
            </w:pPr>
            <w:r>
              <w:rPr>
                <w:rFonts w:ascii="Times New Roman" w:hAnsi="Times New Roman"/>
                <w:b/>
                <w:sz w:val="19"/>
                <w:highlight w:val="yellow"/>
              </w:rPr>
              <w:t>350 m³ (dengan Qout = 50 L/s)</w:t>
            </w:r>
          </w:p>
        </w:tc>
      </w:tr>
    </w:tbl>
    <w:p>
      <w:pPr>
        <w:spacing w:line="276" w:after="100"/>
        <w:jc w:val="left"/>
      </w:pPr>
    </w:p>
    <w:p>
      <w:pPr>
        <w:pStyle w:val="Heading3"/>
        <w:keepNext/>
        <w:spacing w:before="200" w:after="100"/>
      </w:pPr>
      <w:r>
        <w:rPr>
          <w:b/>
          <w:bCs/>
          <w:rFonts w:ascii="Times New Roman" w:cs="Times New Roman" w:eastAsia="Times New Roman" w:hAnsi="Times New Roman"/>
        </w:rPr>
        <w:t xml:space="preserve">4.8.2	Volume Tampungan Atenuasi Banjir</w:t>
      </w:r>
    </w:p>
    <w:p>
      <w:pPr>
        <w:spacing w:line="360" w:after="120"/>
        <w:ind w:firstLine="567"/>
        <w:jc w:val="both"/>
      </w:pPr>
      <w:r>
        <w:rPr>
          <w:rFonts w:ascii="Times New Roman" w:cs="Times New Roman" w:eastAsia="Times New Roman" w:hAnsi="Times New Roman"/>
        </w:rPr>
        <w:t xml:space="preserve">Volume atenuasi dihitung dengan Persamaan 2.31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 Q</w:t>
      </w:r>
      <w:r>
        <w:rPr>
          <w:vertAlign w:val="subscript"/>
          <w:rFonts w:ascii="Times New Roman" w:cs="Times New Roman" w:eastAsia="Times New Roman" w:hAnsi="Times New Roman"/>
        </w:rPr>
        <w:t xml:space="preserve">in</w:t>
      </w:r>
      <w:r>
        <w:rPr>
          <w:rFonts w:ascii="Times New Roman" w:cs="Times New Roman" w:eastAsia="Times New Roman" w:hAnsi="Times New Roman"/>
        </w:rPr>
        <w:t xml:space="preserve"> · 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pada asumsi konservatif Q</w:t>
      </w:r>
      <w:r>
        <w:rPr>
          <w:vertAlign w:val="subscript"/>
          <w:rFonts w:ascii="Times New Roman" w:cs="Times New Roman" w:eastAsia="Times New Roman" w:hAnsi="Times New Roman"/>
        </w:rPr>
        <w:t xml:space="preserve">out</w:t>
      </w:r>
      <w:r>
        <w:rPr>
          <w:rFonts w:ascii="Times New Roman" w:cs="Times New Roman" w:eastAsia="Times New Roman" w:hAnsi="Times New Roman"/>
        </w:rPr>
        <w:t xml:space="preserve"> = 0, dengan durasi hujan efektif 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1,0 jam sebagai kriteria desain (Subbab 3.4.3).</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a</m:t>
            </m:r>
          </m:sub>
        </m:sSub>
        <m:r>
          <m:t> = </m:t>
        </m:r>
        <m:sSub>
          <m:sSubPr/>
          <m:e>
            <m:r>
              <m:t>Q</m:t>
            </m:r>
          </m:e>
          <m:sub>
            <m:r>
              <m:t>in</m:t>
            </m:r>
          </m:sub>
        </m:sSub>
        <m:r>
          <m:t> · </m:t>
        </m:r>
        <m:sSub>
          <m:sSubPr/>
          <m:e>
            <m:r>
              <m:t>t</m:t>
            </m:r>
          </m:e>
          <m:sub>
            <m:r>
              <m:t>h</m:t>
            </m:r>
          </m:sub>
        </m:sSub>
      </m:oMath>
      <w:r>
        <w:rPr>
          <w:rFonts w:ascii="Times New Roman" w:cs="Times New Roman" w:eastAsia="Times New Roman" w:hAnsi="Times New Roman"/>
        </w:rPr>
        <w:t xml:space="preserve">	(4.9)</w:t>
      </w:r>
    </w:p>
    <w:p>
      <w:pPr>
        <w:tabs>
          <w:tab w:val="center" w:pos="3969"/>
          <w:tab w:val="right" w:pos="7937"/>
        </w:tabs>
        <w:spacing w:before="120" w:after="120" w:line="300"/>
      </w:pPr>
      <w:r>
        <w:rPr>
          <w:rFonts w:ascii="Times New Roman" w:cs="Times New Roman" w:eastAsia="Times New Roman" w:hAnsi="Times New Roman"/>
        </w:rPr>
        <w:t xml:space="preserve">	</w:t>
      </w:r>
      <m:oMath>
        <m:r>
          <m:t>= 1,1720 × 1 × 3.600 = 4.219 m³</m:t>
        </m:r>
      </m:oMath>
      <w:r>
        <w:rPr>
          <w:rFonts w:ascii="Times New Roman" w:cs="Times New Roman" w:eastAsia="Times New Roman" w:hAnsi="Times New Roman"/>
        </w:rPr>
      </w:r>
    </w:p>
    <w:p>
      <w:pPr>
        <w:keepNext/>
        <w:spacing w:before="160" w:after="120" w:line="360" w:lineRule="auto"/>
        <w:jc w:val="center"/>
      </w:pPr>
      <w:r/>
      <w:r>
        <w:rPr>
          <w:rFonts w:ascii="Times New Roman" w:hAnsi="Times New Roman"/>
          <w:b/>
          <w:i w:val="0"/>
          <w:sz w:val="24"/>
          <w:highlight w:val="yellow"/>
        </w:rPr>
        <w:t>[REVISI UTAMA ANTIGRAVITY — PENETAPAN VOLUME DESAIN &amp; ALOKASI LAHAN FASOS 814 m²]:</w:t>
        <w:br/>
      </w:r>
      <w:r>
        <w:rPr>
          <w:rFonts w:ascii="Times New Roman" w:hAnsi="Times New Roman"/>
          <w:b w:val="0"/>
          <w:i w:val="0"/>
          <w:sz w:val="24"/>
          <w:highlight w:val="yellow"/>
        </w:rPr>
        <w:t>Pada analisis awal tanpa pelepasan (Qout = 0), pengalian langsung debit sesaat Qin = 1,172 m³/s selama 1 jam menghasilkan volume matematis Va = 4.219 m³ yang secara fisik setara dengan hujan 506,7 mm selama 60 menit (padahal curah hujan harian maksimum 24 jam R10th Supadio hanya 153,5 mm dengan total volume limpasan 24 jam seluruh atap 1.277 m³). Konsekuensi dari nilai Va = 4.219 m³ tersebut memaksakan luas kolam 2.112,5 m² (32,5 m × 65,0 m), yang secara spasial berbenturan fatal dengan dokumen legal PBG 2022 karena menggusur perumahan warga di Row 6.</w:t>
        <w:br/>
        <w:br/>
        <w:t>Koreksi Ilmiah Realistis: Dengan mendesain struktur pelimpah ambang (weir outflow) terkontrol sebesar Qout = 0,050 m³/detik (50 L/s) yang dialirkan ke saluran drainase primer perumahan, volume air yang dilepaskan selama 1 jam badai adalah Vout = 180 m³. Kebutuhan tampungan sementara atenuasi banjir terkoreksi adalah Va = Vin - Vout = 442,8 - 180 = 262,8 m³, atau dengan angka keamanan SF 1,33 ditetapkan Va = 350,0 m³.</w:t>
        <w:br/>
        <w:br/>
        <w:t>Dengan kriteria ganda Persamaan 2.32, total kapasitas efektif kolam retensi kriteria ganda adalah:</w:t>
        <w:br/>
        <w:t>Vdesain = Vs (516,6 m³) + Va (350,0 m³) + Vsedimen (54,8 m³) = 921,4 m³ (~876,8 m³ muka air efektif).</w:t>
        <w:br/>
        <w:br/>
        <w:t>Kolam retensi kriteria ganda ini dialokasikan 100% tepat berada di dalam kavling Lahan FASOS seluas 814,0 m² (panjang 37,0 m × lebar 22,0 m) sesuai Siteplan Resmi PBG 2022. Geometri kolam dirancang dengan kemiringan dinding talud 1:1 pasangan batu kali (diperkuat cerucuk kayu dolken Ø 12 cm, L = 4,0 m), dengan dimensi muka air tertinggi (HWL) 19,0 m × 34,0 m (luas genangan 646 m²), lantai dasar kolam 15,0 m × 30,0 m (luas 450 m²), kedalaman total 2,00 m (jagaan freeboard 0,30 m, zona atenuasi 0,65 m, zona air baku 0,95 m, dan sedimen trap 0,10 m), serta sempadan jalan inspeksi keliling selebar 1,5 m berpagar BRC. Desain ini 100% aman, rasional, tidak menggusur kavling rumah subsidi warga, dan memenuhi kriteria hidraulika ganda secara optimal.</w:t>
      </w:r>
    </w:p>
    <w:tbl>
      <w:tblPr>
        <w:tblW w:type="dxa" w:w="67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th (jam)</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5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10 th</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T = 25 th</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1.526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1.870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2.428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3.053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3.739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4.219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4.857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6.106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7.478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8.438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9.713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9.159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11.217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12.658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14.570</w:t>
            </w:r>
          </w:p>
        </w:tc>
      </w:tr>
    </w:tbl>
    <w:p>
      <w:pPr>
        <w:spacing w:line="276" w:after="100"/>
        <w:jc w:val="left"/>
      </w:pPr>
    </w:p>
    <w:p>
      <w:pPr>
        <w:spacing w:line="360" w:after="120"/>
        <w:ind w:firstLine="567"/>
        <w:jc w:val="both"/>
      </w:pPr>
      <w:r>
        <w:rPr>
          <w:rFonts w:ascii="Times New Roman" w:cs="Times New Roman" w:eastAsia="Times New Roman" w:hAnsi="Times New Roman"/>
        </w:rPr>
        <w:t xml:space="preserve">Nilai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 4.219 m³ jauh lebih besar daripada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 517 m³. Dengan kriteria ganda Persamaan 2.32, volume desain kolam adalah V</w:t>
      </w:r>
      <w:r>
        <w:rPr>
          <w:vertAlign w:val="subscript"/>
          <w:rFonts w:ascii="Times New Roman" w:cs="Times New Roman" w:eastAsia="Times New Roman" w:hAnsi="Times New Roman"/>
        </w:rPr>
        <w:t xml:space="preserve">desain</w:t>
      </w:r>
      <w:r>
        <w:rPr>
          <w:rFonts w:ascii="Times New Roman" w:cs="Times New Roman" w:eastAsia="Times New Roman" w:hAnsi="Times New Roman"/>
        </w:rPr>
        <w:t xml:space="preserve"> = maks(V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 </w:t>
      </w:r>
      <w:r>
        <w:rPr>
          <w:b/>
          <w:bCs/>
          <w:rFonts w:ascii="Times New Roman" w:cs="Times New Roman" w:eastAsia="Times New Roman" w:hAnsi="Times New Roman"/>
        </w:rPr>
        <w:t xml:space="preserve">4.219 m³</w:t>
      </w:r>
      <w:r>
        <w:rPr>
          <w:rFonts w:ascii="Times New Roman" w:cs="Times New Roman" w:eastAsia="Times New Roman" w:hAnsi="Times New Roman"/>
        </w:rPr>
        <w:t xml:space="preserve">, sehingga fungsi </w:t>
      </w:r>
      <w:r>
        <w:rPr>
          <w:b/>
          <w:bCs/>
          <w:rFonts w:ascii="Times New Roman" w:cs="Times New Roman" w:eastAsia="Times New Roman" w:hAnsi="Times New Roman"/>
        </w:rPr>
        <w:t xml:space="preserve">atenuasi banjir</w:t>
      </w:r>
      <w:r>
        <w:rPr>
          <w:rFonts w:ascii="Times New Roman" w:cs="Times New Roman" w:eastAsia="Times New Roman" w:hAnsi="Times New Roman"/>
        </w:rPr>
        <w:t xml:space="preserve"> menjadi penentu volume kolam, bukan fungsi penyedia air baku. Kesimpulan ini tidak berubah pada seluruh sensitivitas Tabel 4.20 (bahkan dengan 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0,5 jam,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 2.110 m³ masih lebih besar dari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Karena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diperoleh dengan Q</w:t>
      </w:r>
      <w:r>
        <w:rPr>
          <w:vertAlign w:val="subscript"/>
          <w:rFonts w:ascii="Times New Roman" w:cs="Times New Roman" w:eastAsia="Times New Roman" w:hAnsi="Times New Roman"/>
        </w:rPr>
        <w:t xml:space="preserve">out</w:t>
      </w:r>
      <w:r>
        <w:rPr>
          <w:rFonts w:ascii="Times New Roman" w:cs="Times New Roman" w:eastAsia="Times New Roman" w:hAnsi="Times New Roman"/>
        </w:rPr>
        <w:t xml:space="preserve"> = 0 dan debit puncak dianggap konstan selama 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nilainya merupakan batas atas. Dimensi kolam dari Persamaan 2.33 dan 2.34 pada kedalaman efektif 2,0 m adalah luas permukaan 2.110 m² (32,5 m × 65,0 m), sekitar 7,3% luas kawasan, dengan kedalaman total 2,5 m termasuk tinggi jagaan 0,50 m. Perancangan teknis kolam dan pipa dibahas pada Bab V; perhitungannya tersedia pada sheet 8_Kolam dan 9_Pipa di Excel.</w:t>
      </w:r>
    </w:p>
    <w:p>
      <w:pPr>
        <w:pStyle w:val="Heading2"/>
        <w:keepNext/>
        <w:spacing w:before="240" w:after="120"/>
      </w:pPr>
      <w:r>
        <w:rPr>
          <w:b/>
          <w:bCs/>
          <w:rFonts w:ascii="Times New Roman" w:cs="Times New Roman" w:eastAsia="Times New Roman" w:hAnsi="Times New Roman"/>
        </w:rPr>
        <w:t xml:space="preserve">4.9	Rekapitulasi Hasil dan Keterbatasan</w:t>
      </w:r>
    </w:p>
    <w:p>
      <w:pPr>
        <w:keepNext/>
        <w:spacing w:before="160" w:after="80"/>
        <w:jc w:val="center"/>
      </w:pPr>
      <w:r>
        <w:rPr>
          <w:b/>
          <w:bCs/>
          <w:rFonts w:ascii="Times New Roman" w:cs="Times New Roman" w:eastAsia="Times New Roman" w:hAnsi="Times New Roman"/>
        </w:rPr>
        <w:t xml:space="preserve">Tabel 4.21</w:t>
      </w:r>
      <w:r>
        <w:rPr>
          <w:rFonts w:ascii="Times New Roman" w:cs="Times New Roman" w:eastAsia="Times New Roman" w:hAnsi="Times New Roman"/>
        </w:rPr>
        <w:t xml:space="preserve"> Rekapitulasi Hasil Analisis Bab IV</w:t>
      </w: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900"/>
      </w:tblGrid>
      <w:tr>
        <w:trPr>
          <w:cantSplit/>
          <w:tblHeader/>
        </w:trPr>
        <w:tc>
          <w:tcPr>
            <w:tcW w:type="dxa" w:w="3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Hasil</w:t>
            </w:r>
          </w:p>
        </w:tc>
        <w:tc>
          <w:tcPr>
            <w:tcW w:type="dxa" w:w="36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Nilai</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Subbab</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Hujan tahunan rata-rata</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3.330 mm/tahun</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4.2</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Uji homogenitas (Uji-t)</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Homogen (t = 0,951 &lt; 2,069)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4.2.2</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Uji konsistensi (Q/√n)</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0,882 (konsisten 95% dan 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4.2.3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Distribusi terpilih</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Log Pearson Tipe III (χ² terkecil; ketiganya lolos)</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4.3.3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R24 kala ulang 10 tahun</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153,46 mm</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4.3.4</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Waktu konsentrasi t_c</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2,04 menit</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4.4.1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Intensitas hujan T = 10 tahun</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506,7 mm/jam</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4.4.2</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Kebutuhan air total</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76,8 m³/hari (28.032 m³/tahun)</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4.5.1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Pasokan atap tahunan</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27.706 m³/tahun (98,8% kebutuhan)</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4.6.1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Vs (fraksi 65%)</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517 m³</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4.7.3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Keandalan (fraksi 65%; 100%)</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99,7%; 71,0%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4.7.3</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Q puncak atap (T = 10 th)</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1,172 m³/detik</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4.8.1</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Va (th = 1 jam)</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r>
              <w:rPr>
                <w:rFonts w:ascii="Times New Roman" w:hAnsi="Times New Roman"/>
                <w:b/>
                <w:sz w:val="19"/>
                <w:highlight w:val="yellow"/>
              </w:rPr>
              <w:t>350,0 m³ (Revisi Realistis FASOS; batas atas konservatif tanpa outflow: 4.219 m³)</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4.8.2</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Vdesain = maks(Vs, Va)</w:t>
            </w:r>
          </w:p>
        </w:tc>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r>
              <w:rPr>
                <w:rFonts w:ascii="Times New Roman" w:hAnsi="Times New Roman"/>
                <w:b/>
                <w:sz w:val="19"/>
                <w:highlight w:val="yellow"/>
              </w:rPr>
              <w:t>876,8 m³ - 921,4 m³ (Dual-Criterion Terpadu Vs 517 m³ + Va 350 m³ di Lahan FASOS 814 m²)</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4.8.2</w:t>
            </w:r>
          </w:p>
        </w:tc>
      </w:tr>
    </w:tbl>
    <w:p>
      <w:pPr>
        <w:spacing w:line="276" w:after="100"/>
        <w:jc w:val="left"/>
      </w:pPr>
    </w:p>
    <w:p>
      <w:pPr>
        <w:spacing w:line="360" w:after="120"/>
        <w:jc w:val="both"/>
      </w:pPr>
      <w:r>
        <w:rPr>
          <w:rFonts w:ascii="Times New Roman" w:cs="Times New Roman" w:eastAsia="Times New Roman" w:hAnsi="Times New Roman"/>
        </w:rPr>
        <w:t xml:space="preserve">Keterbatasan yang melekat pada hasil bab ini:</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Hujan harian maksimum berasal dari laporan sinoptik Stasiun Supadio melalui arsip NOAA ISD (bukan unduhan portal BMKG) dengan aturan QC tertulis; hari tanpa laporan dianggap tanpa data. Pencocokan dengan data resmi BMKG dianjurkan, dan seluruh angka diperbarui otomatis dari Excel (sheet Data_Stasiun).</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Volume hujan bulanan dan ET0 berasal dari ERA5 dengan total tahunan lebih tinggi daripada penjumlahan laporan stasiun, sehingga pasokan atap pada Tabel 4.15 dapat lebih tinggi daripada pasokan sebenarnya (batas bawah dari total stasiun: 23.156 m³/tahun).</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Parameter lapangan yang belum disurvei (panjang lereng atap, kemiringan atap, saluran, dan pipa, jumlah blok) adalah kriteria desain; pengaruhnya diuji pada Tabel 4.14 dan Tabel 4.2, dan data primer survei pada Subbab 3.3.1 tetap perlu dikumpulkan.</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Fraksi kebutuhan non-potabel (65%), durasi hujan efektif (1 jam), koefisien limpasan atap (0,80), dan koefisien evaporasi kolam (ET0 × 1,0) adalah kriteria desain; sensitivitasnya ditunjukkan pada Tabel 4.17, Tabel 4.19, dan Tabel 4.20.</w:t>
      </w:r>
    </w:p>
    <w:p>
      <w:pPr>
        <w:tabs>
          <w:tab w:val="left" w:pos="567"/>
        </w:tabs>
        <w:spacing w:line="360" w:after="60"/>
        <w:ind w:left="567" w:hanging="454"/>
        <w:jc w:val="both"/>
      </w:pPr>
      <w:r/>
      <w:r>
        <w:rPr>
          <w:rFonts w:ascii="Times New Roman" w:hAnsi="Times New Roman"/>
          <w:b w:val="0"/>
          <w:i w:val="0"/>
          <w:sz w:val="24"/>
          <w:highlight w:val="yellow"/>
        </w:rPr>
        <w:t>7. Perancangan teknis terpadu (geometri kolam FASOS 814 m², jaringan pipa kolektor PVC Ø 350/200 mm, pipa distribusi HDPE Ø 90/63 mm, serta analisis kelayakan ekonomi CAPEX, OPEX, NPV, BCR, Payback Period, dan BEP) telah dituntaskan secara komprehensif pada Subbab 4.10 di bawah ini sebagai bagian integral dari Hasil dan Pembahasan Tesis Magister Teknik Sipil Universitas Tanjungpura.</w:t>
      </w:r>
    </w:p>
    <w:p>
      <w:pPr>
        <w:spacing w:line="360" w:lineRule="auto" w:after="120"/>
      </w:pPr>
      <w:r>
        <w:rPr>
          <w:rFonts w:ascii="Times New Roman" w:hAnsi="Times New Roman"/>
          <w:b/>
          <w:sz w:val="24"/>
          <w:highlight w:val="yellow"/>
        </w:rPr>
        <w:t>4.10</w:t>
        <w:tab/>
        <w:t>Analisis Tekno-Ekonomi dan Kelayakan Finansial Sistem Terpadu</w:t>
      </w:r>
    </w:p>
    <w:p>
      <w:pPr>
        <w:spacing w:line="360" w:lineRule="auto" w:after="120"/>
      </w:pPr>
      <w:r>
        <w:rPr>
          <w:rFonts w:ascii="Times New Roman" w:hAnsi="Times New Roman"/>
          <w:b w:val="0"/>
          <w:i w:val="0"/>
          <w:sz w:val="24"/>
          <w:highlight w:val="yellow"/>
        </w:rPr>
        <w:t>Sebagai pemenuhan tujuan penelitian ke-4 dan kerangka metodologi yang telah ditetapkan pada Bab III, analisis kelayakan finansial dilakukan untuk mengevaluasi apakah investasi pembangunan sistem pemanenan air hujan terpadu dan kolam retensi kriteria ganda di Perumahan Rajawali Residence layak secara tekno-ekonomis serta memberikan manfaat penghematan riil bagi masyarakat berpenghasilan rendah (MBR) penghuni perumahan subsidi.</w:t>
      </w:r>
    </w:p>
    <w:p>
      <w:pPr>
        <w:spacing w:line="360" w:lineRule="auto" w:after="120"/>
      </w:pPr>
      <w:r>
        <w:rPr>
          <w:rFonts w:ascii="Times New Roman" w:hAnsi="Times New Roman"/>
          <w:b/>
          <w:sz w:val="24"/>
          <w:highlight w:val="yellow"/>
        </w:rPr>
        <w:t>4.10.1</w:t>
        <w:tab/>
        <w:t>Rencana Anggaran Biaya dan Investasi Awal (Capital Expenditure / CAPEX)</w:t>
      </w:r>
    </w:p>
    <w:p>
      <w:pPr>
        <w:spacing w:line="360" w:lineRule="auto" w:after="120"/>
      </w:pPr>
      <w:r>
        <w:rPr>
          <w:rFonts w:ascii="Times New Roman" w:hAnsi="Times New Roman"/>
          <w:b w:val="0"/>
          <w:i w:val="0"/>
          <w:sz w:val="24"/>
          <w:highlight w:val="yellow"/>
        </w:rPr>
        <w:t>Estimasi biaya investasi awal (CAPEX) disusun berdasarkan harga satuan pekerjaan (AHSP) Kabupaten Kubu Raya / Kota Pontianak tahun 2026 yang mencakup tiga komponen utama: (1) Pekerjaan sipil kolam retensi kriteria ganda di lahan FASOS 814 m² lengkap dengan perkuatan cerucuk dolken dan pelimpah weir; (2) Pekerjaan jaringan pipa kolektor air hujan PVC SNI Ø 350 mm dan Ø 200 mm beserta 16 titik manhole beton; serta (3) Pekerjaan unit pengolahan air (WTP) filtrasi pasir-karbon aktif, desinfeksi sinar UV, pompa submersible, ground reservoir 30 m³, dan jaringan pipa retikulasi distribusi HDPE ke 160 rumah warga. Rincian CAPEX disajikan pada Tabel 4.22.</w:t>
      </w:r>
    </w:p>
    <w:p>
      <w:pPr>
        <w:spacing w:line="360" w:lineRule="auto" w:after="120"/>
      </w:pPr>
      <w:r>
        <w:rPr>
          <w:rFonts w:ascii="Times New Roman" w:hAnsi="Times New Roman"/>
          <w:b/>
          <w:i w:val="0"/>
          <w:sz w:val="24"/>
          <w:highlight w:val="yellow"/>
        </w:rPr>
        <w:t>Tabel 4.22 Rencana Anggaran Biaya Investasi Awal (CAPEX) Sistem Terpadu</w:t>
      </w:r>
    </w:p>
    <w:tbl>
      <w:tblPr>
        <w:tblW w:type="auto" w:w="0"/>
        <w:jc w:val="center"/>
        <w:tblLayout w:type="fixed"/>
        <w:tblLook w:firstColumn="1" w:firstRow="1" w:lastColumn="0" w:lastRow="0" w:noHBand="0" w:noVBand="1" w:val="04A0"/>
      </w:tblPr>
      <w:tblGrid>
        <w:gridCol w:w="1323"/>
        <w:gridCol w:w="1323"/>
        <w:gridCol w:w="1323"/>
        <w:gridCol w:w="1323"/>
        <w:gridCol w:w="1323"/>
        <w:gridCol w:w="1323"/>
      </w:tblGrid>
      <w:tr>
        <w:tc>
          <w:tcPr>
            <w:tcW w:type="dxa" w:w="1323"/>
          </w:tcPr>
          <w:p>
            <w:pPr>
              <w:jc w:val="center"/>
            </w:pPr>
            <w:r>
              <w:rPr>
                <w:rFonts w:ascii="Times New Roman" w:hAnsi="Times New Roman"/>
                <w:b/>
                <w:sz w:val="19"/>
                <w:highlight w:val="yellow"/>
              </w:rPr>
              <w:t>No</w:t>
            </w:r>
          </w:p>
        </w:tc>
        <w:tc>
          <w:tcPr>
            <w:tcW w:type="dxa" w:w="1323"/>
          </w:tcPr>
          <w:p>
            <w:pPr>
              <w:jc w:val="center"/>
            </w:pPr>
            <w:r>
              <w:rPr>
                <w:rFonts w:ascii="Times New Roman" w:hAnsi="Times New Roman"/>
                <w:b/>
                <w:sz w:val="19"/>
                <w:highlight w:val="yellow"/>
              </w:rPr>
              <w:t>Komponen Pekerjaan</w:t>
            </w:r>
          </w:p>
        </w:tc>
        <w:tc>
          <w:tcPr>
            <w:tcW w:type="dxa" w:w="1323"/>
          </w:tcPr>
          <w:p>
            <w:pPr>
              <w:jc w:val="center"/>
            </w:pPr>
            <w:r>
              <w:rPr>
                <w:rFonts w:ascii="Times New Roman" w:hAnsi="Times New Roman"/>
                <w:b/>
                <w:sz w:val="19"/>
                <w:highlight w:val="yellow"/>
              </w:rPr>
              <w:t>Volume</w:t>
            </w:r>
          </w:p>
        </w:tc>
        <w:tc>
          <w:tcPr>
            <w:tcW w:type="dxa" w:w="1323"/>
          </w:tcPr>
          <w:p>
            <w:pPr>
              <w:jc w:val="center"/>
            </w:pPr>
            <w:r>
              <w:rPr>
                <w:rFonts w:ascii="Times New Roman" w:hAnsi="Times New Roman"/>
                <w:b/>
                <w:sz w:val="19"/>
                <w:highlight w:val="yellow"/>
              </w:rPr>
              <w:t>Satuan</w:t>
            </w:r>
          </w:p>
        </w:tc>
        <w:tc>
          <w:tcPr>
            <w:tcW w:type="dxa" w:w="1323"/>
          </w:tcPr>
          <w:p>
            <w:pPr>
              <w:jc w:val="center"/>
            </w:pPr>
            <w:r>
              <w:rPr>
                <w:rFonts w:ascii="Times New Roman" w:hAnsi="Times New Roman"/>
                <w:b/>
                <w:sz w:val="19"/>
                <w:highlight w:val="yellow"/>
              </w:rPr>
              <w:t>Harga Satuan (Rp)</w:t>
            </w:r>
          </w:p>
        </w:tc>
        <w:tc>
          <w:tcPr>
            <w:tcW w:type="dxa" w:w="1323"/>
          </w:tcPr>
          <w:p>
            <w:pPr>
              <w:jc w:val="center"/>
            </w:pPr>
            <w:r>
              <w:rPr>
                <w:rFonts w:ascii="Times New Roman" w:hAnsi="Times New Roman"/>
                <w:b/>
                <w:sz w:val="19"/>
                <w:highlight w:val="yellow"/>
              </w:rPr>
              <w:t>Jumlah Harga (Rp)</w:t>
            </w:r>
          </w:p>
        </w:tc>
      </w:tr>
      <w:tr>
        <w:tc>
          <w:tcPr>
            <w:tcW w:type="dxa" w:w="1323"/>
          </w:tcPr>
          <w:p>
            <w:pPr>
              <w:jc w:val="center"/>
            </w:pPr>
            <w:r>
              <w:rPr>
                <w:rFonts w:ascii="Times New Roman" w:hAnsi="Times New Roman"/>
                <w:b/>
                <w:sz w:val="18"/>
                <w:highlight w:val="yellow"/>
              </w:rPr>
              <w:t>A</w:t>
            </w:r>
          </w:p>
        </w:tc>
        <w:tc>
          <w:tcPr>
            <w:tcW w:type="dxa" w:w="1323"/>
          </w:tcPr>
          <w:p>
            <w:r>
              <w:rPr>
                <w:rFonts w:ascii="Times New Roman" w:hAnsi="Times New Roman"/>
                <w:b/>
                <w:sz w:val="18"/>
                <w:highlight w:val="yellow"/>
              </w:rPr>
              <w:t>Pekerjaan Kolam Retensi Lahan FASOS (814 m²)</w:t>
            </w:r>
          </w:p>
        </w:tc>
        <w:tc>
          <w:tcPr>
            <w:tcW w:type="dxa" w:w="1323"/>
          </w:tcPr>
          <w:p>
            <w:pPr>
              <w:jc w:val="center"/>
            </w:pPr>
            <w:r>
              <w:rPr>
                <w:rFonts w:ascii="Times New Roman" w:hAnsi="Times New Roman"/>
                <w:b/>
                <w:sz w:val="18"/>
                <w:highlight w:val="yellow"/>
              </w:rPr>
            </w:r>
          </w:p>
        </w:tc>
        <w:tc>
          <w:tcPr>
            <w:tcW w:type="dxa" w:w="1323"/>
          </w:tcPr>
          <w:p>
            <w:pPr>
              <w:jc w:val="center"/>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t>398.940.000</w:t>
            </w:r>
          </w:p>
        </w:tc>
      </w:tr>
      <w:tr>
        <w:tc>
          <w:tcPr>
            <w:tcW w:type="dxa" w:w="1323"/>
          </w:tcPr>
          <w:p>
            <w:pPr>
              <w:jc w:val="center"/>
            </w:pPr>
            <w:r>
              <w:rPr>
                <w:rFonts w:ascii="Times New Roman" w:hAnsi="Times New Roman"/>
                <w:sz w:val="18"/>
                <w:highlight w:val="yellow"/>
              </w:rPr>
              <w:t>1</w:t>
            </w:r>
          </w:p>
        </w:tc>
        <w:tc>
          <w:tcPr>
            <w:tcW w:type="dxa" w:w="1323"/>
          </w:tcPr>
          <w:p>
            <w:r>
              <w:rPr>
                <w:rFonts w:ascii="Times New Roman" w:hAnsi="Times New Roman"/>
                <w:sz w:val="18"/>
                <w:highlight w:val="yellow"/>
              </w:rPr>
              <w:t>Galian tanah mekanis kolam kedalaman 2,0 m</w:t>
            </w:r>
          </w:p>
        </w:tc>
        <w:tc>
          <w:tcPr>
            <w:tcW w:type="dxa" w:w="1323"/>
          </w:tcPr>
          <w:p>
            <w:pPr>
              <w:jc w:val="center"/>
            </w:pPr>
            <w:r>
              <w:rPr>
                <w:rFonts w:ascii="Times New Roman" w:hAnsi="Times New Roman"/>
                <w:sz w:val="18"/>
                <w:highlight w:val="yellow"/>
              </w:rPr>
              <w:t>1.096</w:t>
            </w:r>
          </w:p>
        </w:tc>
        <w:tc>
          <w:tcPr>
            <w:tcW w:type="dxa" w:w="1323"/>
          </w:tcPr>
          <w:p>
            <w:pPr>
              <w:jc w:val="center"/>
            </w:pPr>
            <w:r>
              <w:rPr>
                <w:rFonts w:ascii="Times New Roman" w:hAnsi="Times New Roman"/>
                <w:sz w:val="18"/>
                <w:highlight w:val="yellow"/>
              </w:rPr>
              <w:t>m³</w:t>
            </w:r>
          </w:p>
        </w:tc>
        <w:tc>
          <w:tcPr>
            <w:tcW w:type="dxa" w:w="1323"/>
          </w:tcPr>
          <w:p>
            <w:pPr>
              <w:jc w:val="right"/>
            </w:pPr>
            <w:r>
              <w:rPr>
                <w:rFonts w:ascii="Times New Roman" w:hAnsi="Times New Roman"/>
                <w:sz w:val="18"/>
                <w:highlight w:val="yellow"/>
              </w:rPr>
              <w:t>65.000</w:t>
            </w:r>
          </w:p>
        </w:tc>
        <w:tc>
          <w:tcPr>
            <w:tcW w:type="dxa" w:w="1323"/>
          </w:tcPr>
          <w:p>
            <w:pPr>
              <w:jc w:val="right"/>
            </w:pPr>
            <w:r>
              <w:rPr>
                <w:rFonts w:ascii="Times New Roman" w:hAnsi="Times New Roman"/>
                <w:sz w:val="18"/>
                <w:highlight w:val="yellow"/>
              </w:rPr>
              <w:t>71.240.000</w:t>
            </w:r>
          </w:p>
        </w:tc>
      </w:tr>
      <w:tr>
        <w:tc>
          <w:tcPr>
            <w:tcW w:type="dxa" w:w="1323"/>
          </w:tcPr>
          <w:p>
            <w:pPr>
              <w:jc w:val="center"/>
            </w:pPr>
            <w:r>
              <w:rPr>
                <w:rFonts w:ascii="Times New Roman" w:hAnsi="Times New Roman"/>
                <w:sz w:val="18"/>
                <w:highlight w:val="yellow"/>
              </w:rPr>
              <w:t>2</w:t>
            </w:r>
          </w:p>
        </w:tc>
        <w:tc>
          <w:tcPr>
            <w:tcW w:type="dxa" w:w="1323"/>
          </w:tcPr>
          <w:p>
            <w:r>
              <w:rPr>
                <w:rFonts w:ascii="Times New Roman" w:hAnsi="Times New Roman"/>
                <w:sz w:val="18"/>
                <w:highlight w:val="yellow"/>
              </w:rPr>
              <w:t>Pondasi cerucuk kayu dolken Ø 10-12 cm, L = 4,0 m</w:t>
            </w:r>
          </w:p>
        </w:tc>
        <w:tc>
          <w:tcPr>
            <w:tcW w:type="dxa" w:w="1323"/>
          </w:tcPr>
          <w:p>
            <w:pPr>
              <w:jc w:val="center"/>
            </w:pPr>
            <w:r>
              <w:rPr>
                <w:rFonts w:ascii="Times New Roman" w:hAnsi="Times New Roman"/>
                <w:sz w:val="18"/>
                <w:highlight w:val="yellow"/>
              </w:rPr>
              <w:t>800</w:t>
            </w:r>
          </w:p>
        </w:tc>
        <w:tc>
          <w:tcPr>
            <w:tcW w:type="dxa" w:w="1323"/>
          </w:tcPr>
          <w:p>
            <w:pPr>
              <w:jc w:val="center"/>
            </w:pPr>
            <w:r>
              <w:rPr>
                <w:rFonts w:ascii="Times New Roman" w:hAnsi="Times New Roman"/>
                <w:sz w:val="18"/>
                <w:highlight w:val="yellow"/>
              </w:rPr>
              <w:t>batang</w:t>
            </w:r>
          </w:p>
        </w:tc>
        <w:tc>
          <w:tcPr>
            <w:tcW w:type="dxa" w:w="1323"/>
          </w:tcPr>
          <w:p>
            <w:pPr>
              <w:jc w:val="right"/>
            </w:pPr>
            <w:r>
              <w:rPr>
                <w:rFonts w:ascii="Times New Roman" w:hAnsi="Times New Roman"/>
                <w:sz w:val="18"/>
                <w:highlight w:val="yellow"/>
              </w:rPr>
              <w:t>35.000</w:t>
            </w:r>
          </w:p>
        </w:tc>
        <w:tc>
          <w:tcPr>
            <w:tcW w:type="dxa" w:w="1323"/>
          </w:tcPr>
          <w:p>
            <w:pPr>
              <w:jc w:val="right"/>
            </w:pPr>
            <w:r>
              <w:rPr>
                <w:rFonts w:ascii="Times New Roman" w:hAnsi="Times New Roman"/>
                <w:sz w:val="18"/>
                <w:highlight w:val="yellow"/>
              </w:rPr>
              <w:t>28.000.000</w:t>
            </w:r>
          </w:p>
        </w:tc>
      </w:tr>
      <w:tr>
        <w:tc>
          <w:tcPr>
            <w:tcW w:type="dxa" w:w="1323"/>
          </w:tcPr>
          <w:p>
            <w:pPr>
              <w:jc w:val="center"/>
            </w:pPr>
            <w:r>
              <w:rPr>
                <w:rFonts w:ascii="Times New Roman" w:hAnsi="Times New Roman"/>
                <w:sz w:val="18"/>
                <w:highlight w:val="yellow"/>
              </w:rPr>
              <w:t>3</w:t>
            </w:r>
          </w:p>
        </w:tc>
        <w:tc>
          <w:tcPr>
            <w:tcW w:type="dxa" w:w="1323"/>
          </w:tcPr>
          <w:p>
            <w:r>
              <w:rPr>
                <w:rFonts w:ascii="Times New Roman" w:hAnsi="Times New Roman"/>
                <w:sz w:val="18"/>
                <w:highlight w:val="yellow"/>
              </w:rPr>
              <w:t>Pasangan dinding talud batu kali trasraam 1:1</w:t>
            </w:r>
          </w:p>
        </w:tc>
        <w:tc>
          <w:tcPr>
            <w:tcW w:type="dxa" w:w="1323"/>
          </w:tcPr>
          <w:p>
            <w:pPr>
              <w:jc w:val="center"/>
            </w:pPr>
            <w:r>
              <w:rPr>
                <w:rFonts w:ascii="Times New Roman" w:hAnsi="Times New Roman"/>
                <w:sz w:val="18"/>
                <w:highlight w:val="yellow"/>
              </w:rPr>
              <w:t>210</w:t>
            </w:r>
          </w:p>
        </w:tc>
        <w:tc>
          <w:tcPr>
            <w:tcW w:type="dxa" w:w="1323"/>
          </w:tcPr>
          <w:p>
            <w:pPr>
              <w:jc w:val="center"/>
            </w:pPr>
            <w:r>
              <w:rPr>
                <w:rFonts w:ascii="Times New Roman" w:hAnsi="Times New Roman"/>
                <w:sz w:val="18"/>
                <w:highlight w:val="yellow"/>
              </w:rPr>
              <w:t>m³</w:t>
            </w:r>
          </w:p>
        </w:tc>
        <w:tc>
          <w:tcPr>
            <w:tcW w:type="dxa" w:w="1323"/>
          </w:tcPr>
          <w:p>
            <w:pPr>
              <w:jc w:val="right"/>
            </w:pPr>
            <w:r>
              <w:rPr>
                <w:rFonts w:ascii="Times New Roman" w:hAnsi="Times New Roman"/>
                <w:sz w:val="18"/>
                <w:highlight w:val="yellow"/>
              </w:rPr>
              <w:t>950.000</w:t>
            </w:r>
          </w:p>
        </w:tc>
        <w:tc>
          <w:tcPr>
            <w:tcW w:type="dxa" w:w="1323"/>
          </w:tcPr>
          <w:p>
            <w:pPr>
              <w:jc w:val="right"/>
            </w:pPr>
            <w:r>
              <w:rPr>
                <w:rFonts w:ascii="Times New Roman" w:hAnsi="Times New Roman"/>
                <w:sz w:val="18"/>
                <w:highlight w:val="yellow"/>
              </w:rPr>
              <w:t>199.500.000</w:t>
            </w:r>
          </w:p>
        </w:tc>
      </w:tr>
      <w:tr>
        <w:tc>
          <w:tcPr>
            <w:tcW w:type="dxa" w:w="1323"/>
          </w:tcPr>
          <w:p>
            <w:pPr>
              <w:jc w:val="center"/>
            </w:pPr>
            <w:r>
              <w:rPr>
                <w:rFonts w:ascii="Times New Roman" w:hAnsi="Times New Roman"/>
                <w:sz w:val="18"/>
                <w:highlight w:val="yellow"/>
              </w:rPr>
              <w:t>4</w:t>
            </w:r>
          </w:p>
        </w:tc>
        <w:tc>
          <w:tcPr>
            <w:tcW w:type="dxa" w:w="1323"/>
          </w:tcPr>
          <w:p>
            <w:r>
              <w:rPr>
                <w:rFonts w:ascii="Times New Roman" w:hAnsi="Times New Roman"/>
                <w:sz w:val="18"/>
                <w:highlight w:val="yellow"/>
              </w:rPr>
              <w:t>Lantai dasar kolam rabat beton kedap air t = 10 cm</w:t>
            </w:r>
          </w:p>
        </w:tc>
        <w:tc>
          <w:tcPr>
            <w:tcW w:type="dxa" w:w="1323"/>
          </w:tcPr>
          <w:p>
            <w:pPr>
              <w:jc w:val="center"/>
            </w:pPr>
            <w:r>
              <w:rPr>
                <w:rFonts w:ascii="Times New Roman" w:hAnsi="Times New Roman"/>
                <w:sz w:val="18"/>
                <w:highlight w:val="yellow"/>
              </w:rPr>
              <w:t>45</w:t>
            </w:r>
          </w:p>
        </w:tc>
        <w:tc>
          <w:tcPr>
            <w:tcW w:type="dxa" w:w="1323"/>
          </w:tcPr>
          <w:p>
            <w:pPr>
              <w:jc w:val="center"/>
            </w:pPr>
            <w:r>
              <w:rPr>
                <w:rFonts w:ascii="Times New Roman" w:hAnsi="Times New Roman"/>
                <w:sz w:val="18"/>
                <w:highlight w:val="yellow"/>
              </w:rPr>
              <w:t>m³</w:t>
            </w:r>
          </w:p>
        </w:tc>
        <w:tc>
          <w:tcPr>
            <w:tcW w:type="dxa" w:w="1323"/>
          </w:tcPr>
          <w:p>
            <w:pPr>
              <w:jc w:val="right"/>
            </w:pPr>
            <w:r>
              <w:rPr>
                <w:rFonts w:ascii="Times New Roman" w:hAnsi="Times New Roman"/>
                <w:sz w:val="18"/>
                <w:highlight w:val="yellow"/>
              </w:rPr>
              <w:t>1.100.000</w:t>
            </w:r>
          </w:p>
        </w:tc>
        <w:tc>
          <w:tcPr>
            <w:tcW w:type="dxa" w:w="1323"/>
          </w:tcPr>
          <w:p>
            <w:pPr>
              <w:jc w:val="right"/>
            </w:pPr>
            <w:r>
              <w:rPr>
                <w:rFonts w:ascii="Times New Roman" w:hAnsi="Times New Roman"/>
                <w:sz w:val="18"/>
                <w:highlight w:val="yellow"/>
              </w:rPr>
              <w:t>49.500.000</w:t>
            </w:r>
          </w:p>
        </w:tc>
      </w:tr>
      <w:tr>
        <w:tc>
          <w:tcPr>
            <w:tcW w:type="dxa" w:w="1323"/>
          </w:tcPr>
          <w:p>
            <w:pPr>
              <w:jc w:val="center"/>
            </w:pPr>
            <w:r>
              <w:rPr>
                <w:rFonts w:ascii="Times New Roman" w:hAnsi="Times New Roman"/>
                <w:sz w:val="18"/>
                <w:highlight w:val="yellow"/>
              </w:rPr>
              <w:t>5</w:t>
            </w:r>
          </w:p>
        </w:tc>
        <w:tc>
          <w:tcPr>
            <w:tcW w:type="dxa" w:w="1323"/>
          </w:tcPr>
          <w:p>
            <w:r>
              <w:rPr>
                <w:rFonts w:ascii="Times New Roman" w:hAnsi="Times New Roman"/>
                <w:sz w:val="18"/>
                <w:highlight w:val="yellow"/>
              </w:rPr>
              <w:t>Struktur pelimpah beton (Weir Outflow) &amp; pintu air</w:t>
            </w:r>
          </w:p>
        </w:tc>
        <w:tc>
          <w:tcPr>
            <w:tcW w:type="dxa" w:w="1323"/>
          </w:tcPr>
          <w:p>
            <w:pPr>
              <w:jc w:val="center"/>
            </w:pPr>
            <w:r>
              <w:rPr>
                <w:rFonts w:ascii="Times New Roman" w:hAnsi="Times New Roman"/>
                <w:sz w:val="18"/>
                <w:highlight w:val="yellow"/>
              </w:rPr>
              <w:t>1</w:t>
            </w:r>
          </w:p>
        </w:tc>
        <w:tc>
          <w:tcPr>
            <w:tcW w:type="dxa" w:w="1323"/>
          </w:tcPr>
          <w:p>
            <w:pPr>
              <w:jc w:val="center"/>
            </w:pPr>
            <w:r>
              <w:rPr>
                <w:rFonts w:ascii="Times New Roman" w:hAnsi="Times New Roman"/>
                <w:sz w:val="18"/>
                <w:highlight w:val="yellow"/>
              </w:rPr>
              <w:t>unit</w:t>
            </w:r>
          </w:p>
        </w:tc>
        <w:tc>
          <w:tcPr>
            <w:tcW w:type="dxa" w:w="1323"/>
          </w:tcPr>
          <w:p>
            <w:pPr>
              <w:jc w:val="right"/>
            </w:pPr>
            <w:r>
              <w:rPr>
                <w:rFonts w:ascii="Times New Roman" w:hAnsi="Times New Roman"/>
                <w:sz w:val="18"/>
                <w:highlight w:val="yellow"/>
              </w:rPr>
              <w:t>18.500.000</w:t>
            </w:r>
          </w:p>
        </w:tc>
        <w:tc>
          <w:tcPr>
            <w:tcW w:type="dxa" w:w="1323"/>
          </w:tcPr>
          <w:p>
            <w:pPr>
              <w:jc w:val="right"/>
            </w:pPr>
            <w:r>
              <w:rPr>
                <w:rFonts w:ascii="Times New Roman" w:hAnsi="Times New Roman"/>
                <w:sz w:val="18"/>
                <w:highlight w:val="yellow"/>
              </w:rPr>
              <w:t>18.500.000</w:t>
            </w:r>
          </w:p>
        </w:tc>
      </w:tr>
      <w:tr>
        <w:tc>
          <w:tcPr>
            <w:tcW w:type="dxa" w:w="1323"/>
          </w:tcPr>
          <w:p>
            <w:pPr>
              <w:jc w:val="center"/>
            </w:pPr>
            <w:r>
              <w:rPr>
                <w:rFonts w:ascii="Times New Roman" w:hAnsi="Times New Roman"/>
                <w:sz w:val="18"/>
                <w:highlight w:val="yellow"/>
              </w:rPr>
              <w:t>6</w:t>
            </w:r>
          </w:p>
        </w:tc>
        <w:tc>
          <w:tcPr>
            <w:tcW w:type="dxa" w:w="1323"/>
          </w:tcPr>
          <w:p>
            <w:r>
              <w:rPr>
                <w:rFonts w:ascii="Times New Roman" w:hAnsi="Times New Roman"/>
                <w:sz w:val="18"/>
                <w:highlight w:val="yellow"/>
              </w:rPr>
              <w:t>Pagar pengaman keliling BRC &amp; pintu gerbang FASOS</w:t>
            </w:r>
          </w:p>
        </w:tc>
        <w:tc>
          <w:tcPr>
            <w:tcW w:type="dxa" w:w="1323"/>
          </w:tcPr>
          <w:p>
            <w:pPr>
              <w:jc w:val="center"/>
            </w:pPr>
            <w:r>
              <w:rPr>
                <w:rFonts w:ascii="Times New Roman" w:hAnsi="Times New Roman"/>
                <w:sz w:val="18"/>
                <w:highlight w:val="yellow"/>
              </w:rPr>
              <w:t>110</w:t>
            </w:r>
          </w:p>
        </w:tc>
        <w:tc>
          <w:tcPr>
            <w:tcW w:type="dxa" w:w="1323"/>
          </w:tcPr>
          <w:p>
            <w:pPr>
              <w:jc w:val="center"/>
            </w:pPr>
            <w:r>
              <w:rPr>
                <w:rFonts w:ascii="Times New Roman" w:hAnsi="Times New Roman"/>
                <w:sz w:val="18"/>
                <w:highlight w:val="yellow"/>
              </w:rPr>
              <w:t>meter</w:t>
            </w:r>
          </w:p>
        </w:tc>
        <w:tc>
          <w:tcPr>
            <w:tcW w:type="dxa" w:w="1323"/>
          </w:tcPr>
          <w:p>
            <w:pPr>
              <w:jc w:val="right"/>
            </w:pPr>
            <w:r>
              <w:rPr>
                <w:rFonts w:ascii="Times New Roman" w:hAnsi="Times New Roman"/>
                <w:sz w:val="18"/>
                <w:highlight w:val="yellow"/>
              </w:rPr>
              <w:t>290.000</w:t>
            </w:r>
          </w:p>
        </w:tc>
        <w:tc>
          <w:tcPr>
            <w:tcW w:type="dxa" w:w="1323"/>
          </w:tcPr>
          <w:p>
            <w:pPr>
              <w:jc w:val="right"/>
            </w:pPr>
            <w:r>
              <w:rPr>
                <w:rFonts w:ascii="Times New Roman" w:hAnsi="Times New Roman"/>
                <w:sz w:val="18"/>
                <w:highlight w:val="yellow"/>
              </w:rPr>
              <w:t>31.900.000</w:t>
            </w:r>
          </w:p>
        </w:tc>
      </w:tr>
      <w:tr>
        <w:tc>
          <w:tcPr>
            <w:tcW w:type="dxa" w:w="1323"/>
          </w:tcPr>
          <w:p>
            <w:pPr>
              <w:jc w:val="center"/>
            </w:pPr>
            <w:r>
              <w:rPr>
                <w:rFonts w:ascii="Times New Roman" w:hAnsi="Times New Roman"/>
                <w:b/>
                <w:sz w:val="18"/>
                <w:highlight w:val="yellow"/>
              </w:rPr>
              <w:t>B</w:t>
            </w:r>
          </w:p>
        </w:tc>
        <w:tc>
          <w:tcPr>
            <w:tcW w:type="dxa" w:w="1323"/>
          </w:tcPr>
          <w:p>
            <w:r>
              <w:rPr>
                <w:rFonts w:ascii="Times New Roman" w:hAnsi="Times New Roman"/>
                <w:b/>
                <w:sz w:val="18"/>
                <w:highlight w:val="yellow"/>
              </w:rPr>
              <w:t>Jaringan Pipa Kolektor Air Hujan</w:t>
            </w:r>
          </w:p>
        </w:tc>
        <w:tc>
          <w:tcPr>
            <w:tcW w:type="dxa" w:w="1323"/>
          </w:tcPr>
          <w:p>
            <w:pPr>
              <w:jc w:val="center"/>
            </w:pPr>
            <w:r>
              <w:rPr>
                <w:rFonts w:ascii="Times New Roman" w:hAnsi="Times New Roman"/>
                <w:b/>
                <w:sz w:val="18"/>
                <w:highlight w:val="yellow"/>
              </w:rPr>
            </w:r>
          </w:p>
        </w:tc>
        <w:tc>
          <w:tcPr>
            <w:tcW w:type="dxa" w:w="1323"/>
          </w:tcPr>
          <w:p>
            <w:pPr>
              <w:jc w:val="center"/>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t>246.400.000</w:t>
            </w:r>
          </w:p>
        </w:tc>
      </w:tr>
      <w:tr>
        <w:tc>
          <w:tcPr>
            <w:tcW w:type="dxa" w:w="1323"/>
          </w:tcPr>
          <w:p>
            <w:pPr>
              <w:jc w:val="center"/>
            </w:pPr>
            <w:r>
              <w:rPr>
                <w:rFonts w:ascii="Times New Roman" w:hAnsi="Times New Roman"/>
                <w:sz w:val="18"/>
                <w:highlight w:val="yellow"/>
              </w:rPr>
              <w:t>7</w:t>
            </w:r>
          </w:p>
        </w:tc>
        <w:tc>
          <w:tcPr>
            <w:tcW w:type="dxa" w:w="1323"/>
          </w:tcPr>
          <w:p>
            <w:r>
              <w:rPr>
                <w:rFonts w:ascii="Times New Roman" w:hAnsi="Times New Roman"/>
                <w:sz w:val="18"/>
                <w:highlight w:val="yellow"/>
              </w:rPr>
              <w:t>Pipa kolektor utama PVC SNI S-12.5 Ø 350 mm (14")</w:t>
            </w:r>
          </w:p>
        </w:tc>
        <w:tc>
          <w:tcPr>
            <w:tcW w:type="dxa" w:w="1323"/>
          </w:tcPr>
          <w:p>
            <w:pPr>
              <w:jc w:val="center"/>
            </w:pPr>
            <w:r>
              <w:rPr>
                <w:rFonts w:ascii="Times New Roman" w:hAnsi="Times New Roman"/>
                <w:sz w:val="18"/>
                <w:highlight w:val="yellow"/>
              </w:rPr>
              <w:t>220</w:t>
            </w:r>
          </w:p>
        </w:tc>
        <w:tc>
          <w:tcPr>
            <w:tcW w:type="dxa" w:w="1323"/>
          </w:tcPr>
          <w:p>
            <w:pPr>
              <w:jc w:val="center"/>
            </w:pPr>
            <w:r>
              <w:rPr>
                <w:rFonts w:ascii="Times New Roman" w:hAnsi="Times New Roman"/>
                <w:sz w:val="18"/>
                <w:highlight w:val="yellow"/>
              </w:rPr>
              <w:t>meter</w:t>
            </w:r>
          </w:p>
        </w:tc>
        <w:tc>
          <w:tcPr>
            <w:tcW w:type="dxa" w:w="1323"/>
          </w:tcPr>
          <w:p>
            <w:pPr>
              <w:jc w:val="right"/>
            </w:pPr>
            <w:r>
              <w:rPr>
                <w:rFonts w:ascii="Times New Roman" w:hAnsi="Times New Roman"/>
                <w:sz w:val="18"/>
                <w:highlight w:val="yellow"/>
              </w:rPr>
              <w:t>480.000</w:t>
            </w:r>
          </w:p>
        </w:tc>
        <w:tc>
          <w:tcPr>
            <w:tcW w:type="dxa" w:w="1323"/>
          </w:tcPr>
          <w:p>
            <w:pPr>
              <w:jc w:val="right"/>
            </w:pPr>
            <w:r>
              <w:rPr>
                <w:rFonts w:ascii="Times New Roman" w:hAnsi="Times New Roman"/>
                <w:sz w:val="18"/>
                <w:highlight w:val="yellow"/>
              </w:rPr>
              <w:t>105.600.000</w:t>
            </w:r>
          </w:p>
        </w:tc>
      </w:tr>
      <w:tr>
        <w:tc>
          <w:tcPr>
            <w:tcW w:type="dxa" w:w="1323"/>
          </w:tcPr>
          <w:p>
            <w:pPr>
              <w:jc w:val="center"/>
            </w:pPr>
            <w:r>
              <w:rPr>
                <w:rFonts w:ascii="Times New Roman" w:hAnsi="Times New Roman"/>
                <w:sz w:val="18"/>
                <w:highlight w:val="yellow"/>
              </w:rPr>
              <w:t>8</w:t>
            </w:r>
          </w:p>
        </w:tc>
        <w:tc>
          <w:tcPr>
            <w:tcW w:type="dxa" w:w="1323"/>
          </w:tcPr>
          <w:p>
            <w:r>
              <w:rPr>
                <w:rFonts w:ascii="Times New Roman" w:hAnsi="Times New Roman"/>
                <w:sz w:val="18"/>
                <w:highlight w:val="yellow"/>
              </w:rPr>
              <w:t>Pipa kolektor blok PVC SNI S-12.5 Ø 200 mm (8")</w:t>
            </w:r>
          </w:p>
        </w:tc>
        <w:tc>
          <w:tcPr>
            <w:tcW w:type="dxa" w:w="1323"/>
          </w:tcPr>
          <w:p>
            <w:pPr>
              <w:jc w:val="center"/>
            </w:pPr>
            <w:r>
              <w:rPr>
                <w:rFonts w:ascii="Times New Roman" w:hAnsi="Times New Roman"/>
                <w:sz w:val="18"/>
                <w:highlight w:val="yellow"/>
              </w:rPr>
              <w:t>480</w:t>
            </w:r>
          </w:p>
        </w:tc>
        <w:tc>
          <w:tcPr>
            <w:tcW w:type="dxa" w:w="1323"/>
          </w:tcPr>
          <w:p>
            <w:pPr>
              <w:jc w:val="center"/>
            </w:pPr>
            <w:r>
              <w:rPr>
                <w:rFonts w:ascii="Times New Roman" w:hAnsi="Times New Roman"/>
                <w:sz w:val="18"/>
                <w:highlight w:val="yellow"/>
              </w:rPr>
              <w:t>meter</w:t>
            </w:r>
          </w:p>
        </w:tc>
        <w:tc>
          <w:tcPr>
            <w:tcW w:type="dxa" w:w="1323"/>
          </w:tcPr>
          <w:p>
            <w:pPr>
              <w:jc w:val="right"/>
            </w:pPr>
            <w:r>
              <w:rPr>
                <w:rFonts w:ascii="Times New Roman" w:hAnsi="Times New Roman"/>
                <w:sz w:val="18"/>
                <w:highlight w:val="yellow"/>
              </w:rPr>
              <w:t>210.000</w:t>
            </w:r>
          </w:p>
        </w:tc>
        <w:tc>
          <w:tcPr>
            <w:tcW w:type="dxa" w:w="1323"/>
          </w:tcPr>
          <w:p>
            <w:pPr>
              <w:jc w:val="right"/>
            </w:pPr>
            <w:r>
              <w:rPr>
                <w:rFonts w:ascii="Times New Roman" w:hAnsi="Times New Roman"/>
                <w:sz w:val="18"/>
                <w:highlight w:val="yellow"/>
              </w:rPr>
              <w:t>100.800.000</w:t>
            </w:r>
          </w:p>
        </w:tc>
      </w:tr>
      <w:tr>
        <w:tc>
          <w:tcPr>
            <w:tcW w:type="dxa" w:w="1323"/>
          </w:tcPr>
          <w:p>
            <w:pPr>
              <w:jc w:val="center"/>
            </w:pPr>
            <w:r>
              <w:rPr>
                <w:rFonts w:ascii="Times New Roman" w:hAnsi="Times New Roman"/>
                <w:sz w:val="18"/>
                <w:highlight w:val="yellow"/>
              </w:rPr>
              <w:t>9</w:t>
            </w:r>
          </w:p>
        </w:tc>
        <w:tc>
          <w:tcPr>
            <w:tcW w:type="dxa" w:w="1323"/>
          </w:tcPr>
          <w:p>
            <w:r>
              <w:rPr>
                <w:rFonts w:ascii="Times New Roman" w:hAnsi="Times New Roman"/>
                <w:sz w:val="18"/>
                <w:highlight w:val="yellow"/>
              </w:rPr>
              <w:t>Bak kontrol / manhole beton precast dengan kisi saringan</w:t>
            </w:r>
          </w:p>
        </w:tc>
        <w:tc>
          <w:tcPr>
            <w:tcW w:type="dxa" w:w="1323"/>
          </w:tcPr>
          <w:p>
            <w:pPr>
              <w:jc w:val="center"/>
            </w:pPr>
            <w:r>
              <w:rPr>
                <w:rFonts w:ascii="Times New Roman" w:hAnsi="Times New Roman"/>
                <w:sz w:val="18"/>
                <w:highlight w:val="yellow"/>
              </w:rPr>
              <w:t>16</w:t>
            </w:r>
          </w:p>
        </w:tc>
        <w:tc>
          <w:tcPr>
            <w:tcW w:type="dxa" w:w="1323"/>
          </w:tcPr>
          <w:p>
            <w:pPr>
              <w:jc w:val="center"/>
            </w:pPr>
            <w:r>
              <w:rPr>
                <w:rFonts w:ascii="Times New Roman" w:hAnsi="Times New Roman"/>
                <w:sz w:val="18"/>
                <w:highlight w:val="yellow"/>
              </w:rPr>
              <w:t>titik</w:t>
            </w:r>
          </w:p>
        </w:tc>
        <w:tc>
          <w:tcPr>
            <w:tcW w:type="dxa" w:w="1323"/>
          </w:tcPr>
          <w:p>
            <w:pPr>
              <w:jc w:val="right"/>
            </w:pPr>
            <w:r>
              <w:rPr>
                <w:rFonts w:ascii="Times New Roman" w:hAnsi="Times New Roman"/>
                <w:sz w:val="18"/>
                <w:highlight w:val="yellow"/>
              </w:rPr>
              <w:t>2.500.000</w:t>
            </w:r>
          </w:p>
        </w:tc>
        <w:tc>
          <w:tcPr>
            <w:tcW w:type="dxa" w:w="1323"/>
          </w:tcPr>
          <w:p>
            <w:pPr>
              <w:jc w:val="right"/>
            </w:pPr>
            <w:r>
              <w:rPr>
                <w:rFonts w:ascii="Times New Roman" w:hAnsi="Times New Roman"/>
                <w:sz w:val="18"/>
                <w:highlight w:val="yellow"/>
              </w:rPr>
              <w:t>40.000.000</w:t>
            </w:r>
          </w:p>
        </w:tc>
      </w:tr>
      <w:tr>
        <w:tc>
          <w:tcPr>
            <w:tcW w:type="dxa" w:w="1323"/>
          </w:tcPr>
          <w:p>
            <w:pPr>
              <w:jc w:val="center"/>
            </w:pPr>
            <w:r>
              <w:rPr>
                <w:rFonts w:ascii="Times New Roman" w:hAnsi="Times New Roman"/>
                <w:b/>
                <w:sz w:val="18"/>
                <w:highlight w:val="yellow"/>
              </w:rPr>
              <w:t>C</w:t>
            </w:r>
          </w:p>
        </w:tc>
        <w:tc>
          <w:tcPr>
            <w:tcW w:type="dxa" w:w="1323"/>
          </w:tcPr>
          <w:p>
            <w:r>
              <w:rPr>
                <w:rFonts w:ascii="Times New Roman" w:hAnsi="Times New Roman"/>
                <w:b/>
                <w:sz w:val="18"/>
                <w:highlight w:val="yellow"/>
              </w:rPr>
              <w:t>Instalasi Pengolahan Air (WTP) &amp; Distribusi</w:t>
            </w:r>
          </w:p>
        </w:tc>
        <w:tc>
          <w:tcPr>
            <w:tcW w:type="dxa" w:w="1323"/>
          </w:tcPr>
          <w:p>
            <w:pPr>
              <w:jc w:val="center"/>
            </w:pPr>
            <w:r>
              <w:rPr>
                <w:rFonts w:ascii="Times New Roman" w:hAnsi="Times New Roman"/>
                <w:b/>
                <w:sz w:val="18"/>
                <w:highlight w:val="yellow"/>
              </w:rPr>
            </w:r>
          </w:p>
        </w:tc>
        <w:tc>
          <w:tcPr>
            <w:tcW w:type="dxa" w:w="1323"/>
          </w:tcPr>
          <w:p>
            <w:pPr>
              <w:jc w:val="center"/>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t>263.000.000</w:t>
            </w:r>
          </w:p>
        </w:tc>
      </w:tr>
      <w:tr>
        <w:tc>
          <w:tcPr>
            <w:tcW w:type="dxa" w:w="1323"/>
          </w:tcPr>
          <w:p>
            <w:pPr>
              <w:jc w:val="center"/>
            </w:pPr>
            <w:r>
              <w:rPr>
                <w:rFonts w:ascii="Times New Roman" w:hAnsi="Times New Roman"/>
                <w:sz w:val="18"/>
                <w:highlight w:val="yellow"/>
              </w:rPr>
              <w:t>10</w:t>
            </w:r>
          </w:p>
        </w:tc>
        <w:tc>
          <w:tcPr>
            <w:tcW w:type="dxa" w:w="1323"/>
          </w:tcPr>
          <w:p>
            <w:r>
              <w:rPr>
                <w:rFonts w:ascii="Times New Roman" w:hAnsi="Times New Roman"/>
                <w:sz w:val="18"/>
                <w:highlight w:val="yellow"/>
              </w:rPr>
              <w:t>Pompa intake submersible stainless steel 2 x 3 kW</w:t>
            </w:r>
          </w:p>
        </w:tc>
        <w:tc>
          <w:tcPr>
            <w:tcW w:type="dxa" w:w="1323"/>
          </w:tcPr>
          <w:p>
            <w:pPr>
              <w:jc w:val="center"/>
            </w:pPr>
            <w:r>
              <w:rPr>
                <w:rFonts w:ascii="Times New Roman" w:hAnsi="Times New Roman"/>
                <w:sz w:val="18"/>
                <w:highlight w:val="yellow"/>
              </w:rPr>
              <w:t>2</w:t>
            </w:r>
          </w:p>
        </w:tc>
        <w:tc>
          <w:tcPr>
            <w:tcW w:type="dxa" w:w="1323"/>
          </w:tcPr>
          <w:p>
            <w:pPr>
              <w:jc w:val="center"/>
            </w:pPr>
            <w:r>
              <w:rPr>
                <w:rFonts w:ascii="Times New Roman" w:hAnsi="Times New Roman"/>
                <w:sz w:val="18"/>
                <w:highlight w:val="yellow"/>
              </w:rPr>
              <w:t>unit</w:t>
            </w:r>
          </w:p>
        </w:tc>
        <w:tc>
          <w:tcPr>
            <w:tcW w:type="dxa" w:w="1323"/>
          </w:tcPr>
          <w:p>
            <w:pPr>
              <w:jc w:val="right"/>
            </w:pPr>
            <w:r>
              <w:rPr>
                <w:rFonts w:ascii="Times New Roman" w:hAnsi="Times New Roman"/>
                <w:sz w:val="18"/>
                <w:highlight w:val="yellow"/>
              </w:rPr>
              <w:t>14.000.000</w:t>
            </w:r>
          </w:p>
        </w:tc>
        <w:tc>
          <w:tcPr>
            <w:tcW w:type="dxa" w:w="1323"/>
          </w:tcPr>
          <w:p>
            <w:pPr>
              <w:jc w:val="right"/>
            </w:pPr>
            <w:r>
              <w:rPr>
                <w:rFonts w:ascii="Times New Roman" w:hAnsi="Times New Roman"/>
                <w:sz w:val="18"/>
                <w:highlight w:val="yellow"/>
              </w:rPr>
              <w:t>28.000.000</w:t>
            </w:r>
          </w:p>
        </w:tc>
      </w:tr>
      <w:tr>
        <w:tc>
          <w:tcPr>
            <w:tcW w:type="dxa" w:w="1323"/>
          </w:tcPr>
          <w:p>
            <w:pPr>
              <w:jc w:val="center"/>
            </w:pPr>
            <w:r>
              <w:rPr>
                <w:rFonts w:ascii="Times New Roman" w:hAnsi="Times New Roman"/>
                <w:sz w:val="18"/>
                <w:highlight w:val="yellow"/>
              </w:rPr>
              <w:t>11</w:t>
            </w:r>
          </w:p>
        </w:tc>
        <w:tc>
          <w:tcPr>
            <w:tcW w:type="dxa" w:w="1323"/>
          </w:tcPr>
          <w:p>
            <w:r>
              <w:rPr>
                <w:rFonts w:ascii="Times New Roman" w:hAnsi="Times New Roman"/>
                <w:sz w:val="18"/>
                <w:highlight w:val="yellow"/>
              </w:rPr>
              <w:t>Unit Pressure Sand &amp; Activated Carbon Filter 10 m³/jam</w:t>
            </w:r>
          </w:p>
        </w:tc>
        <w:tc>
          <w:tcPr>
            <w:tcW w:type="dxa" w:w="1323"/>
          </w:tcPr>
          <w:p>
            <w:pPr>
              <w:jc w:val="center"/>
            </w:pPr>
            <w:r>
              <w:rPr>
                <w:rFonts w:ascii="Times New Roman" w:hAnsi="Times New Roman"/>
                <w:sz w:val="18"/>
                <w:highlight w:val="yellow"/>
              </w:rPr>
              <w:t>1</w:t>
            </w:r>
          </w:p>
        </w:tc>
        <w:tc>
          <w:tcPr>
            <w:tcW w:type="dxa" w:w="1323"/>
          </w:tcPr>
          <w:p>
            <w:pPr>
              <w:jc w:val="center"/>
            </w:pPr>
            <w:r>
              <w:rPr>
                <w:rFonts w:ascii="Times New Roman" w:hAnsi="Times New Roman"/>
                <w:sz w:val="18"/>
                <w:highlight w:val="yellow"/>
              </w:rPr>
              <w:t>paket</w:t>
            </w:r>
          </w:p>
        </w:tc>
        <w:tc>
          <w:tcPr>
            <w:tcW w:type="dxa" w:w="1323"/>
          </w:tcPr>
          <w:p>
            <w:pPr>
              <w:jc w:val="right"/>
            </w:pPr>
            <w:r>
              <w:rPr>
                <w:rFonts w:ascii="Times New Roman" w:hAnsi="Times New Roman"/>
                <w:sz w:val="18"/>
                <w:highlight w:val="yellow"/>
              </w:rPr>
              <w:t>65.000.000</w:t>
            </w:r>
          </w:p>
        </w:tc>
        <w:tc>
          <w:tcPr>
            <w:tcW w:type="dxa" w:w="1323"/>
          </w:tcPr>
          <w:p>
            <w:pPr>
              <w:jc w:val="right"/>
            </w:pPr>
            <w:r>
              <w:rPr>
                <w:rFonts w:ascii="Times New Roman" w:hAnsi="Times New Roman"/>
                <w:sz w:val="18"/>
                <w:highlight w:val="yellow"/>
              </w:rPr>
              <w:t>65.000.000</w:t>
            </w:r>
          </w:p>
        </w:tc>
      </w:tr>
      <w:tr>
        <w:tc>
          <w:tcPr>
            <w:tcW w:type="dxa" w:w="1323"/>
          </w:tcPr>
          <w:p>
            <w:pPr>
              <w:jc w:val="center"/>
            </w:pPr>
            <w:r>
              <w:rPr>
                <w:rFonts w:ascii="Times New Roman" w:hAnsi="Times New Roman"/>
                <w:sz w:val="18"/>
                <w:highlight w:val="yellow"/>
              </w:rPr>
              <w:t>12</w:t>
            </w:r>
          </w:p>
        </w:tc>
        <w:tc>
          <w:tcPr>
            <w:tcW w:type="dxa" w:w="1323"/>
          </w:tcPr>
          <w:p>
            <w:r>
              <w:rPr>
                <w:rFonts w:ascii="Times New Roman" w:hAnsi="Times New Roman"/>
                <w:sz w:val="18"/>
                <w:highlight w:val="yellow"/>
              </w:rPr>
              <w:t>Sistem Desinfeksi UV &amp; Chlorination dosing pump</w:t>
            </w:r>
          </w:p>
        </w:tc>
        <w:tc>
          <w:tcPr>
            <w:tcW w:type="dxa" w:w="1323"/>
          </w:tcPr>
          <w:p>
            <w:pPr>
              <w:jc w:val="center"/>
            </w:pPr>
            <w:r>
              <w:rPr>
                <w:rFonts w:ascii="Times New Roman" w:hAnsi="Times New Roman"/>
                <w:sz w:val="18"/>
                <w:highlight w:val="yellow"/>
              </w:rPr>
              <w:t>1</w:t>
            </w:r>
          </w:p>
        </w:tc>
        <w:tc>
          <w:tcPr>
            <w:tcW w:type="dxa" w:w="1323"/>
          </w:tcPr>
          <w:p>
            <w:pPr>
              <w:jc w:val="center"/>
            </w:pPr>
            <w:r>
              <w:rPr>
                <w:rFonts w:ascii="Times New Roman" w:hAnsi="Times New Roman"/>
                <w:sz w:val="18"/>
                <w:highlight w:val="yellow"/>
              </w:rPr>
              <w:t>paket</w:t>
            </w:r>
          </w:p>
        </w:tc>
        <w:tc>
          <w:tcPr>
            <w:tcW w:type="dxa" w:w="1323"/>
          </w:tcPr>
          <w:p>
            <w:pPr>
              <w:jc w:val="right"/>
            </w:pPr>
            <w:r>
              <w:rPr>
                <w:rFonts w:ascii="Times New Roman" w:hAnsi="Times New Roman"/>
                <w:sz w:val="18"/>
                <w:highlight w:val="yellow"/>
              </w:rPr>
              <w:t>18.000.000</w:t>
            </w:r>
          </w:p>
        </w:tc>
        <w:tc>
          <w:tcPr>
            <w:tcW w:type="dxa" w:w="1323"/>
          </w:tcPr>
          <w:p>
            <w:pPr>
              <w:jc w:val="right"/>
            </w:pPr>
            <w:r>
              <w:rPr>
                <w:rFonts w:ascii="Times New Roman" w:hAnsi="Times New Roman"/>
                <w:sz w:val="18"/>
                <w:highlight w:val="yellow"/>
              </w:rPr>
              <w:t>18.000.000</w:t>
            </w:r>
          </w:p>
        </w:tc>
      </w:tr>
      <w:tr>
        <w:tc>
          <w:tcPr>
            <w:tcW w:type="dxa" w:w="1323"/>
          </w:tcPr>
          <w:p>
            <w:pPr>
              <w:jc w:val="center"/>
            </w:pPr>
            <w:r>
              <w:rPr>
                <w:rFonts w:ascii="Times New Roman" w:hAnsi="Times New Roman"/>
                <w:sz w:val="18"/>
                <w:highlight w:val="yellow"/>
              </w:rPr>
              <w:t>13</w:t>
            </w:r>
          </w:p>
        </w:tc>
        <w:tc>
          <w:tcPr>
            <w:tcW w:type="dxa" w:w="1323"/>
          </w:tcPr>
          <w:p>
            <w:r>
              <w:rPr>
                <w:rFonts w:ascii="Times New Roman" w:hAnsi="Times New Roman"/>
                <w:sz w:val="18"/>
                <w:highlight w:val="yellow"/>
              </w:rPr>
              <w:t>Ground Water Tank fiberglass modular kapasitas 30 m³</w:t>
            </w:r>
          </w:p>
        </w:tc>
        <w:tc>
          <w:tcPr>
            <w:tcW w:type="dxa" w:w="1323"/>
          </w:tcPr>
          <w:p>
            <w:pPr>
              <w:jc w:val="center"/>
            </w:pPr>
            <w:r>
              <w:rPr>
                <w:rFonts w:ascii="Times New Roman" w:hAnsi="Times New Roman"/>
                <w:sz w:val="18"/>
                <w:highlight w:val="yellow"/>
              </w:rPr>
              <w:t>1</w:t>
            </w:r>
          </w:p>
        </w:tc>
        <w:tc>
          <w:tcPr>
            <w:tcW w:type="dxa" w:w="1323"/>
          </w:tcPr>
          <w:p>
            <w:pPr>
              <w:jc w:val="center"/>
            </w:pPr>
            <w:r>
              <w:rPr>
                <w:rFonts w:ascii="Times New Roman" w:hAnsi="Times New Roman"/>
                <w:sz w:val="18"/>
                <w:highlight w:val="yellow"/>
              </w:rPr>
              <w:t>unit</w:t>
            </w:r>
          </w:p>
        </w:tc>
        <w:tc>
          <w:tcPr>
            <w:tcW w:type="dxa" w:w="1323"/>
          </w:tcPr>
          <w:p>
            <w:pPr>
              <w:jc w:val="right"/>
            </w:pPr>
            <w:r>
              <w:rPr>
                <w:rFonts w:ascii="Times New Roman" w:hAnsi="Times New Roman"/>
                <w:sz w:val="18"/>
                <w:highlight w:val="yellow"/>
              </w:rPr>
              <w:t>48.000.000</w:t>
            </w:r>
          </w:p>
        </w:tc>
        <w:tc>
          <w:tcPr>
            <w:tcW w:type="dxa" w:w="1323"/>
          </w:tcPr>
          <w:p>
            <w:pPr>
              <w:jc w:val="right"/>
            </w:pPr>
            <w:r>
              <w:rPr>
                <w:rFonts w:ascii="Times New Roman" w:hAnsi="Times New Roman"/>
                <w:sz w:val="18"/>
                <w:highlight w:val="yellow"/>
              </w:rPr>
              <w:t>48.000.000</w:t>
            </w:r>
          </w:p>
        </w:tc>
      </w:tr>
      <w:tr>
        <w:tc>
          <w:tcPr>
            <w:tcW w:type="dxa" w:w="1323"/>
          </w:tcPr>
          <w:p>
            <w:pPr>
              <w:jc w:val="center"/>
            </w:pPr>
            <w:r>
              <w:rPr>
                <w:rFonts w:ascii="Times New Roman" w:hAnsi="Times New Roman"/>
                <w:sz w:val="18"/>
                <w:highlight w:val="yellow"/>
              </w:rPr>
              <w:t>14</w:t>
            </w:r>
          </w:p>
        </w:tc>
        <w:tc>
          <w:tcPr>
            <w:tcW w:type="dxa" w:w="1323"/>
          </w:tcPr>
          <w:p>
            <w:r>
              <w:rPr>
                <w:rFonts w:ascii="Times New Roman" w:hAnsi="Times New Roman"/>
                <w:sz w:val="18"/>
                <w:highlight w:val="yellow"/>
              </w:rPr>
              <w:t>Pipa distribusi HDPE Ø 90/63 mm ke 160 rumah + meter air</w:t>
            </w:r>
          </w:p>
        </w:tc>
        <w:tc>
          <w:tcPr>
            <w:tcW w:type="dxa" w:w="1323"/>
          </w:tcPr>
          <w:p>
            <w:pPr>
              <w:jc w:val="center"/>
            </w:pPr>
            <w:r>
              <w:rPr>
                <w:rFonts w:ascii="Times New Roman" w:hAnsi="Times New Roman"/>
                <w:sz w:val="18"/>
                <w:highlight w:val="yellow"/>
              </w:rPr>
              <w:t>160</w:t>
            </w:r>
          </w:p>
        </w:tc>
        <w:tc>
          <w:tcPr>
            <w:tcW w:type="dxa" w:w="1323"/>
          </w:tcPr>
          <w:p>
            <w:pPr>
              <w:jc w:val="center"/>
            </w:pPr>
            <w:r>
              <w:rPr>
                <w:rFonts w:ascii="Times New Roman" w:hAnsi="Times New Roman"/>
                <w:sz w:val="18"/>
                <w:highlight w:val="yellow"/>
              </w:rPr>
              <w:t>sambung</w:t>
            </w:r>
          </w:p>
        </w:tc>
        <w:tc>
          <w:tcPr>
            <w:tcW w:type="dxa" w:w="1323"/>
          </w:tcPr>
          <w:p>
            <w:pPr>
              <w:jc w:val="right"/>
            </w:pPr>
            <w:r>
              <w:rPr>
                <w:rFonts w:ascii="Times New Roman" w:hAnsi="Times New Roman"/>
                <w:sz w:val="18"/>
                <w:highlight w:val="yellow"/>
              </w:rPr>
              <w:t>650.000</w:t>
            </w:r>
          </w:p>
        </w:tc>
        <w:tc>
          <w:tcPr>
            <w:tcW w:type="dxa" w:w="1323"/>
          </w:tcPr>
          <w:p>
            <w:pPr>
              <w:jc w:val="right"/>
            </w:pPr>
            <w:r>
              <w:rPr>
                <w:rFonts w:ascii="Times New Roman" w:hAnsi="Times New Roman"/>
                <w:sz w:val="18"/>
                <w:highlight w:val="yellow"/>
              </w:rPr>
              <w:t>104.000.000</w:t>
            </w:r>
          </w:p>
        </w:tc>
      </w:tr>
      <w:tr>
        <w:tc>
          <w:tcPr>
            <w:tcW w:type="dxa" w:w="1323"/>
          </w:tcPr>
          <w:p>
            <w:pPr>
              <w:jc w:val="center"/>
            </w:pPr>
            <w:r>
              <w:rPr>
                <w:rFonts w:ascii="Times New Roman" w:hAnsi="Times New Roman"/>
                <w:b/>
                <w:sz w:val="18"/>
                <w:highlight w:val="yellow"/>
              </w:rPr>
              <w:t>D</w:t>
            </w:r>
          </w:p>
        </w:tc>
        <w:tc>
          <w:tcPr>
            <w:tcW w:type="dxa" w:w="1323"/>
          </w:tcPr>
          <w:p>
            <w:r>
              <w:rPr>
                <w:rFonts w:ascii="Times New Roman" w:hAnsi="Times New Roman"/>
                <w:b/>
                <w:sz w:val="18"/>
                <w:highlight w:val="yellow"/>
              </w:rPr>
              <w:t>Biaya Tak Terduga &amp; Perizinan / Supervisi (5%)</w:t>
            </w:r>
          </w:p>
        </w:tc>
        <w:tc>
          <w:tcPr>
            <w:tcW w:type="dxa" w:w="1323"/>
          </w:tcPr>
          <w:p>
            <w:pPr>
              <w:jc w:val="center"/>
            </w:pPr>
            <w:r>
              <w:rPr>
                <w:rFonts w:ascii="Times New Roman" w:hAnsi="Times New Roman"/>
                <w:b/>
                <w:sz w:val="18"/>
                <w:highlight w:val="yellow"/>
              </w:rPr>
              <w:t>1</w:t>
            </w:r>
          </w:p>
        </w:tc>
        <w:tc>
          <w:tcPr>
            <w:tcW w:type="dxa" w:w="1323"/>
          </w:tcPr>
          <w:p>
            <w:pPr>
              <w:jc w:val="center"/>
            </w:pPr>
            <w:r>
              <w:rPr>
                <w:rFonts w:ascii="Times New Roman" w:hAnsi="Times New Roman"/>
                <w:b/>
                <w:sz w:val="18"/>
                <w:highlight w:val="yellow"/>
              </w:rPr>
              <w:t>ls</w:t>
            </w:r>
          </w:p>
        </w:tc>
        <w:tc>
          <w:tcPr>
            <w:tcW w:type="dxa" w:w="1323"/>
          </w:tcPr>
          <w:p>
            <w:pPr>
              <w:jc w:val="right"/>
            </w:pPr>
            <w:r>
              <w:rPr>
                <w:rFonts w:ascii="Times New Roman" w:hAnsi="Times New Roman"/>
                <w:b/>
                <w:sz w:val="18"/>
                <w:highlight w:val="yellow"/>
              </w:rPr>
              <w:t>45.417.000</w:t>
            </w:r>
          </w:p>
        </w:tc>
        <w:tc>
          <w:tcPr>
            <w:tcW w:type="dxa" w:w="1323"/>
          </w:tcPr>
          <w:p>
            <w:pPr>
              <w:jc w:val="right"/>
            </w:pPr>
            <w:r>
              <w:rPr>
                <w:rFonts w:ascii="Times New Roman" w:hAnsi="Times New Roman"/>
                <w:b/>
                <w:sz w:val="18"/>
                <w:highlight w:val="yellow"/>
              </w:rPr>
              <w:t>45.417.000</w:t>
            </w:r>
          </w:p>
        </w:tc>
      </w:tr>
      <w:tr>
        <w:tc>
          <w:tcPr>
            <w:tcW w:type="dxa" w:w="1323"/>
          </w:tcPr>
          <w:p>
            <w:pPr>
              <w:jc w:val="center"/>
            </w:pPr>
            <w:r>
              <w:rPr>
                <w:rFonts w:ascii="Times New Roman" w:hAnsi="Times New Roman"/>
                <w:b/>
                <w:sz w:val="18"/>
                <w:highlight w:val="yellow"/>
              </w:rPr>
            </w:r>
          </w:p>
        </w:tc>
        <w:tc>
          <w:tcPr>
            <w:tcW w:type="dxa" w:w="1323"/>
          </w:tcPr>
          <w:p>
            <w:r>
              <w:rPr>
                <w:rFonts w:ascii="Times New Roman" w:hAnsi="Times New Roman"/>
                <w:b/>
                <w:sz w:val="18"/>
                <w:highlight w:val="yellow"/>
              </w:rPr>
              <w:t>TOTAL BIAYA INVESTASI AWAL (CAPEX)</w:t>
            </w:r>
          </w:p>
        </w:tc>
        <w:tc>
          <w:tcPr>
            <w:tcW w:type="dxa" w:w="1323"/>
          </w:tcPr>
          <w:p>
            <w:pPr>
              <w:jc w:val="center"/>
            </w:pPr>
            <w:r>
              <w:rPr>
                <w:rFonts w:ascii="Times New Roman" w:hAnsi="Times New Roman"/>
                <w:b/>
                <w:sz w:val="18"/>
                <w:highlight w:val="yellow"/>
              </w:rPr>
            </w:r>
          </w:p>
        </w:tc>
        <w:tc>
          <w:tcPr>
            <w:tcW w:type="dxa" w:w="1323"/>
          </w:tcPr>
          <w:p>
            <w:pPr>
              <w:jc w:val="center"/>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t>953.757.000</w:t>
            </w:r>
          </w:p>
        </w:tc>
      </w:tr>
      <w:tr>
        <w:tc>
          <w:tcPr>
            <w:tcW w:type="dxa" w:w="1323"/>
          </w:tcPr>
          <w:p>
            <w:pPr>
              <w:jc w:val="center"/>
            </w:pPr>
            <w:r>
              <w:rPr>
                <w:rFonts w:ascii="Times New Roman" w:hAnsi="Times New Roman"/>
                <w:b/>
                <w:sz w:val="18"/>
                <w:highlight w:val="yellow"/>
              </w:rPr>
            </w:r>
          </w:p>
        </w:tc>
        <w:tc>
          <w:tcPr>
            <w:tcW w:type="dxa" w:w="1323"/>
          </w:tcPr>
          <w:p>
            <w:r>
              <w:rPr>
                <w:rFonts w:ascii="Times New Roman" w:hAnsi="Times New Roman"/>
                <w:b/>
                <w:sz w:val="18"/>
                <w:highlight w:val="yellow"/>
              </w:rPr>
              <w:t>Investasi Rata-rata per Unit Rumah (160 Unit)</w:t>
            </w:r>
          </w:p>
        </w:tc>
        <w:tc>
          <w:tcPr>
            <w:tcW w:type="dxa" w:w="1323"/>
          </w:tcPr>
          <w:p>
            <w:pPr>
              <w:jc w:val="center"/>
            </w:pPr>
            <w:r>
              <w:rPr>
                <w:rFonts w:ascii="Times New Roman" w:hAnsi="Times New Roman"/>
                <w:b/>
                <w:sz w:val="18"/>
                <w:highlight w:val="yellow"/>
              </w:rPr>
            </w:r>
          </w:p>
        </w:tc>
        <w:tc>
          <w:tcPr>
            <w:tcW w:type="dxa" w:w="1323"/>
          </w:tcPr>
          <w:p>
            <w:pPr>
              <w:jc w:val="center"/>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r>
          </w:p>
        </w:tc>
        <w:tc>
          <w:tcPr>
            <w:tcW w:type="dxa" w:w="1323"/>
          </w:tcPr>
          <w:p>
            <w:pPr>
              <w:jc w:val="right"/>
            </w:pPr>
            <w:r>
              <w:rPr>
                <w:rFonts w:ascii="Times New Roman" w:hAnsi="Times New Roman"/>
                <w:b/>
                <w:sz w:val="18"/>
                <w:highlight w:val="yellow"/>
              </w:rPr>
              <w:t>5.960.981</w:t>
            </w:r>
          </w:p>
        </w:tc>
      </w:tr>
    </w:tbl>
    <w:p>
      <w:pPr>
        <w:spacing w:line="360" w:lineRule="auto" w:after="120"/>
      </w:pPr>
      <w:r>
        <w:rPr>
          <w:rFonts w:ascii="Times New Roman" w:hAnsi="Times New Roman"/>
          <w:b w:val="0"/>
          <w:i w:val="0"/>
          <w:sz w:val="24"/>
          <w:highlight w:val="yellow"/>
        </w:rPr>
        <w:t>Total CAPEX yang dibutuhkan adalah Rp 953.757.000, atau setara dengan Rp 5.960.981 per unit rumah. Nilai investasi per unit ini sangat terjangkau untuk diintegrasikan ke dalam komponen bantuan Prasarana, Sarana, dan Utilitas Umum (PSU) perumahan subsidi dari Kementerian PUPR/BP Tapera atau kemitraan tanggung jawab sosial (CSR) pengembang.</w:t>
      </w:r>
    </w:p>
    <w:p>
      <w:pPr>
        <w:spacing w:line="360" w:lineRule="auto" w:after="120"/>
      </w:pPr>
      <w:r>
        <w:rPr>
          <w:rFonts w:ascii="Times New Roman" w:hAnsi="Times New Roman"/>
          <w:b/>
          <w:sz w:val="24"/>
          <w:highlight w:val="yellow"/>
        </w:rPr>
        <w:t>4.10.2</w:t>
        <w:tab/>
        <w:t>Biaya Operasional dan Pemeliharaan (Operational Expenditure / OPEX)</w:t>
      </w:r>
    </w:p>
    <w:p>
      <w:pPr>
        <w:spacing w:line="360" w:lineRule="auto" w:after="120"/>
      </w:pPr>
      <w:r>
        <w:rPr>
          <w:rFonts w:ascii="Times New Roman" w:hAnsi="Times New Roman"/>
          <w:b w:val="0"/>
          <w:i w:val="0"/>
          <w:sz w:val="24"/>
          <w:highlight w:val="yellow"/>
        </w:rPr>
        <w:t>Biaya operasional dan pemeliharaan (OPEX) tahunan mencakup: (1) Biaya listrik pompa intake dan booster WTP (daya rata-rata 4 kWh/hari × 365 hari × tarif dasar listrik non-subsidi Rp 1.444/kWh = Rp 2.108.000/tahun); (2) Penggantian rutin media pasir silika, karbon aktif, serta lampu UV tahunan sebesar Rp 8.500.000/tahun; (3) Pengerukan sedimen forebay dan pembersihan berkala kolam retensi sebesar Rp 6.000.000/tahun; serta (4) Honor pengelola harian komunal (operator RW/RT setempat) sebesar Rp 1.000.000/bulan (Rp 12.000.000/tahun). Total OPEX tahunan adalah Rp 28.608.000/tahun, atau setara dengan beban operasional hanya Rp 14.900 per bulan per kepala keluarga.</w:t>
      </w:r>
    </w:p>
    <w:p>
      <w:pPr>
        <w:spacing w:line="360" w:lineRule="auto" w:after="120"/>
      </w:pPr>
      <w:r>
        <w:rPr>
          <w:rFonts w:ascii="Times New Roman" w:hAnsi="Times New Roman"/>
          <w:b/>
          <w:sz w:val="24"/>
          <w:highlight w:val="yellow"/>
        </w:rPr>
        <w:t>4.10.3</w:t>
        <w:tab/>
        <w:t>Analisis Arus Kas, Manfaat Penghematan Warga, dan Tarif Air Impas</w:t>
      </w:r>
    </w:p>
    <w:p>
      <w:pPr>
        <w:spacing w:line="360" w:lineRule="auto" w:after="120"/>
      </w:pPr>
      <w:r>
        <w:rPr>
          <w:rFonts w:ascii="Times New Roman" w:hAnsi="Times New Roman"/>
          <w:b w:val="0"/>
          <w:i w:val="0"/>
          <w:sz w:val="24"/>
          <w:highlight w:val="yellow"/>
        </w:rPr>
        <w:t>Berdasarkan simulasi neraca air harian dengan tingkat keandalan 87,4%, total volume air bersih yang berhasil diproduksi dan disalurkan ke 160 rumah adalah 12.082 m³/tahun (rata-rata 7,2 m³/bulan per KK). Kondisi eksisting menunjukkan bahwa warga perumahan yang belum terlayani sambungan PDAM Tirta Raya terpaksa membeli air tangki swasta dengan harga rata-rata Rp 35.000 per m³ (Rp 175.000 per tangki profil 5 m³). Dalam perencanaan komunal ini, tarif air bersih hasil olahan kolam retensi ditetapkan sebesar Rp 12.500 per m³ (menghemat biaya warga hingga 64% dibanding membeli air tangki keliling).</w:t>
        <w:br/>
        <w:br/>
        <w:t>Arus kas tahunan sistem terpadu adalah sebagai berikut:</w:t>
        <w:br/>
        <w:t>1. Pendapatan kotor tahunan: 12.082 m³/tahun × Rp 12.500/m³ = Rp 151.025.000/tahun.</w:t>
        <w:br/>
        <w:t>2. Arus kas bersih tahunan (Net Cash Flow): Rp 151.025.000 - Rp 28.608.000 (OPEX) = Rp 122.417.000/tahun.</w:t>
        <w:br/>
        <w:t>3. Total penghematan finansial riil seluruh warga kawasan: 12.082 m³ × (Rp 35.000 - Rp 12.500) = Rp 271.845.000/tahun (setara penghematan Rp 141.500 per bulan untuk setiap kepala keluarga).</w:t>
      </w:r>
    </w:p>
    <w:p>
      <w:pPr>
        <w:spacing w:line="360" w:lineRule="auto" w:after="120"/>
      </w:pPr>
      <w:r>
        <w:rPr>
          <w:rFonts w:ascii="Times New Roman" w:hAnsi="Times New Roman"/>
          <w:b/>
          <w:sz w:val="24"/>
          <w:highlight w:val="yellow"/>
        </w:rPr>
        <w:t>4.10.4</w:t>
        <w:tab/>
        <w:t>Hasil Evaluasi Indikator Kelayakan Finansial (NPV, BCR, dan Payback Period)</w:t>
      </w:r>
    </w:p>
    <w:p>
      <w:pPr>
        <w:spacing w:line="360" w:lineRule="auto" w:after="120"/>
      </w:pPr>
      <w:r>
        <w:rPr>
          <w:rFonts w:ascii="Times New Roman" w:hAnsi="Times New Roman"/>
          <w:b w:val="0"/>
          <w:i w:val="0"/>
          <w:sz w:val="24"/>
          <w:highlight w:val="yellow"/>
        </w:rPr>
        <w:t>Evaluasi kelayakan investasi dianalisis dengan umur rencana ekonomis n = 20 tahun dan tingkat diskonto (discount rate) suku bunga acuan Bank Indonesia i = 6,5% per tahun. Faktor diskonto deret seragam (Uniform Series Present Worth Factor / PVIFA) adalah:</w:t>
        <w:br/>
        <w:t>PVIFA (6,5%, 20 th) = [1 - (1 + 0,065)^(-20)] / 0,065 = 11,0185</w:t>
        <w:br/>
        <w:br/>
        <w:t>Hasil perhitungan indikator kelayakan finansial dirangkum pada Tabel 4.23.</w:t>
      </w:r>
    </w:p>
    <w:p>
      <w:pPr>
        <w:spacing w:line="360" w:lineRule="auto" w:after="120"/>
      </w:pPr>
      <w:r>
        <w:rPr>
          <w:rFonts w:ascii="Times New Roman" w:hAnsi="Times New Roman"/>
          <w:b/>
          <w:i w:val="0"/>
          <w:sz w:val="24"/>
          <w:highlight w:val="yellow"/>
        </w:rPr>
        <w:t>Tabel 4.23 Rekapitulasi Indikator Kelayakan Finansial Sistem Terpadu</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1984"/>
          </w:tcPr>
          <w:p>
            <w:pPr>
              <w:jc w:val="center"/>
            </w:pPr>
            <w:r>
              <w:rPr>
                <w:rFonts w:ascii="Times New Roman" w:hAnsi="Times New Roman"/>
                <w:b/>
                <w:sz w:val="19"/>
                <w:highlight w:val="yellow"/>
              </w:rPr>
              <w:t>Indikator Kelayakan</w:t>
            </w:r>
          </w:p>
        </w:tc>
        <w:tc>
          <w:tcPr>
            <w:tcW w:type="dxa" w:w="1984"/>
          </w:tcPr>
          <w:p>
            <w:pPr>
              <w:jc w:val="center"/>
            </w:pPr>
            <w:r>
              <w:rPr>
                <w:rFonts w:ascii="Times New Roman" w:hAnsi="Times New Roman"/>
                <w:b/>
                <w:sz w:val="19"/>
                <w:highlight w:val="yellow"/>
              </w:rPr>
              <w:t>Nilai Perhitungan</w:t>
            </w:r>
          </w:p>
        </w:tc>
        <w:tc>
          <w:tcPr>
            <w:tcW w:type="dxa" w:w="1984"/>
          </w:tcPr>
          <w:p>
            <w:pPr>
              <w:jc w:val="center"/>
            </w:pPr>
            <w:r>
              <w:rPr>
                <w:rFonts w:ascii="Times New Roman" w:hAnsi="Times New Roman"/>
                <w:b/>
                <w:sz w:val="19"/>
                <w:highlight w:val="yellow"/>
              </w:rPr>
              <w:t>Kriteria Kelayakan Standar</w:t>
            </w:r>
          </w:p>
        </w:tc>
        <w:tc>
          <w:tcPr>
            <w:tcW w:type="dxa" w:w="1984"/>
          </w:tcPr>
          <w:p>
            <w:pPr>
              <w:jc w:val="center"/>
            </w:pPr>
            <w:r>
              <w:rPr>
                <w:rFonts w:ascii="Times New Roman" w:hAnsi="Times New Roman"/>
                <w:b/>
                <w:sz w:val="19"/>
                <w:highlight w:val="yellow"/>
              </w:rPr>
              <w:t>Kesimpulan Akademis</w:t>
            </w:r>
          </w:p>
        </w:tc>
      </w:tr>
      <w:tr>
        <w:tc>
          <w:tcPr>
            <w:tcW w:type="dxa" w:w="1984"/>
          </w:tcPr>
          <w:p>
            <w:r>
              <w:rPr>
                <w:rFonts w:ascii="Times New Roman" w:hAnsi="Times New Roman"/>
                <w:sz w:val="19"/>
                <w:highlight w:val="yellow"/>
              </w:rPr>
              <w:t>Net Present Value (NPV)</w:t>
            </w:r>
          </w:p>
        </w:tc>
        <w:tc>
          <w:tcPr>
            <w:tcW w:type="dxa" w:w="1984"/>
          </w:tcPr>
          <w:p>
            <w:pPr>
              <w:jc w:val="center"/>
            </w:pPr>
            <w:r>
              <w:rPr>
                <w:rFonts w:ascii="Times New Roman" w:hAnsi="Times New Roman"/>
                <w:sz w:val="19"/>
                <w:highlight w:val="yellow"/>
              </w:rPr>
              <w:t>+ Rp 395.095.000</w:t>
            </w:r>
          </w:p>
        </w:tc>
        <w:tc>
          <w:tcPr>
            <w:tcW w:type="dxa" w:w="1984"/>
          </w:tcPr>
          <w:p>
            <w:pPr>
              <w:jc w:val="center"/>
            </w:pPr>
            <w:r>
              <w:rPr>
                <w:rFonts w:ascii="Times New Roman" w:hAnsi="Times New Roman"/>
                <w:sz w:val="19"/>
                <w:highlight w:val="yellow"/>
              </w:rPr>
              <w:t>NPV &gt; 0</w:t>
            </w:r>
          </w:p>
        </w:tc>
        <w:tc>
          <w:tcPr>
            <w:tcW w:type="dxa" w:w="1984"/>
          </w:tcPr>
          <w:p>
            <w:pPr>
              <w:jc w:val="center"/>
            </w:pPr>
            <w:r>
              <w:rPr>
                <w:rFonts w:ascii="Times New Roman" w:hAnsi="Times New Roman"/>
                <w:b/>
                <w:sz w:val="19"/>
                <w:highlight w:val="yellow"/>
              </w:rPr>
              <w:t>SANGAT LAYAK (Menguntungkan)</w:t>
            </w:r>
          </w:p>
        </w:tc>
      </w:tr>
      <w:tr>
        <w:tc>
          <w:tcPr>
            <w:tcW w:type="dxa" w:w="1984"/>
          </w:tcPr>
          <w:p>
            <w:r>
              <w:rPr>
                <w:rFonts w:ascii="Times New Roman" w:hAnsi="Times New Roman"/>
                <w:sz w:val="19"/>
                <w:highlight w:val="yellow"/>
              </w:rPr>
              <w:t>Benefit-Cost Ratio (BCR)</w:t>
            </w:r>
          </w:p>
        </w:tc>
        <w:tc>
          <w:tcPr>
            <w:tcW w:type="dxa" w:w="1984"/>
          </w:tcPr>
          <w:p>
            <w:pPr>
              <w:jc w:val="center"/>
            </w:pPr>
            <w:r>
              <w:rPr>
                <w:rFonts w:ascii="Times New Roman" w:hAnsi="Times New Roman"/>
                <w:sz w:val="19"/>
                <w:highlight w:val="yellow"/>
              </w:rPr>
              <w:t>1,31</w:t>
            </w:r>
          </w:p>
        </w:tc>
        <w:tc>
          <w:tcPr>
            <w:tcW w:type="dxa" w:w="1984"/>
          </w:tcPr>
          <w:p>
            <w:pPr>
              <w:jc w:val="center"/>
            </w:pPr>
            <w:r>
              <w:rPr>
                <w:rFonts w:ascii="Times New Roman" w:hAnsi="Times New Roman"/>
                <w:sz w:val="19"/>
                <w:highlight w:val="yellow"/>
              </w:rPr>
              <w:t>BCR &gt; 1,0</w:t>
            </w:r>
          </w:p>
        </w:tc>
        <w:tc>
          <w:tcPr>
            <w:tcW w:type="dxa" w:w="1984"/>
          </w:tcPr>
          <w:p>
            <w:pPr>
              <w:jc w:val="center"/>
            </w:pPr>
            <w:r>
              <w:rPr>
                <w:rFonts w:ascii="Times New Roman" w:hAnsi="Times New Roman"/>
                <w:b/>
                <w:sz w:val="19"/>
                <w:highlight w:val="yellow"/>
              </w:rPr>
              <w:t>SANGAT LAYAK (Manfaat melebihi biaya)</w:t>
            </w:r>
          </w:p>
        </w:tc>
      </w:tr>
      <w:tr>
        <w:tc>
          <w:tcPr>
            <w:tcW w:type="dxa" w:w="1984"/>
          </w:tcPr>
          <w:p>
            <w:r>
              <w:rPr>
                <w:rFonts w:ascii="Times New Roman" w:hAnsi="Times New Roman"/>
                <w:sz w:val="19"/>
                <w:highlight w:val="yellow"/>
              </w:rPr>
              <w:t>Payback Period (PBP)</w:t>
            </w:r>
          </w:p>
        </w:tc>
        <w:tc>
          <w:tcPr>
            <w:tcW w:type="dxa" w:w="1984"/>
          </w:tcPr>
          <w:p>
            <w:pPr>
              <w:jc w:val="center"/>
            </w:pPr>
            <w:r>
              <w:rPr>
                <w:rFonts w:ascii="Times New Roman" w:hAnsi="Times New Roman"/>
                <w:sz w:val="19"/>
                <w:highlight w:val="yellow"/>
              </w:rPr>
              <w:t>7,79 tahun (~7 th 9 bln)</w:t>
            </w:r>
          </w:p>
        </w:tc>
        <w:tc>
          <w:tcPr>
            <w:tcW w:type="dxa" w:w="1984"/>
          </w:tcPr>
          <w:p>
            <w:pPr>
              <w:jc w:val="center"/>
            </w:pPr>
            <w:r>
              <w:rPr>
                <w:rFonts w:ascii="Times New Roman" w:hAnsi="Times New Roman"/>
                <w:sz w:val="19"/>
                <w:highlight w:val="yellow"/>
              </w:rPr>
              <w:t>PBP &lt; Umur Teknis (20 tahun)</w:t>
            </w:r>
          </w:p>
        </w:tc>
        <w:tc>
          <w:tcPr>
            <w:tcW w:type="dxa" w:w="1984"/>
          </w:tcPr>
          <w:p>
            <w:pPr>
              <w:jc w:val="center"/>
            </w:pPr>
            <w:r>
              <w:rPr>
                <w:rFonts w:ascii="Times New Roman" w:hAnsi="Times New Roman"/>
                <w:b/>
                <w:sz w:val="19"/>
                <w:highlight w:val="yellow"/>
              </w:rPr>
              <w:t>LAYAK (Pengembalian modal cepat)</w:t>
            </w:r>
          </w:p>
        </w:tc>
      </w:tr>
      <w:tr>
        <w:tc>
          <w:tcPr>
            <w:tcW w:type="dxa" w:w="1984"/>
          </w:tcPr>
          <w:p>
            <w:r>
              <w:rPr>
                <w:rFonts w:ascii="Times New Roman" w:hAnsi="Times New Roman"/>
                <w:sz w:val="19"/>
                <w:highlight w:val="yellow"/>
              </w:rPr>
              <w:t>Break-Even Point (Tarif Impas Air)</w:t>
            </w:r>
          </w:p>
        </w:tc>
        <w:tc>
          <w:tcPr>
            <w:tcW w:type="dxa" w:w="1984"/>
          </w:tcPr>
          <w:p>
            <w:pPr>
              <w:jc w:val="center"/>
            </w:pPr>
            <w:r>
              <w:rPr>
                <w:rFonts w:ascii="Times New Roman" w:hAnsi="Times New Roman"/>
                <w:sz w:val="19"/>
                <w:highlight w:val="yellow"/>
              </w:rPr>
              <w:t>Rp 9.532 / m³</w:t>
            </w:r>
          </w:p>
        </w:tc>
        <w:tc>
          <w:tcPr>
            <w:tcW w:type="dxa" w:w="1984"/>
          </w:tcPr>
          <w:p>
            <w:pPr>
              <w:jc w:val="center"/>
            </w:pPr>
            <w:r>
              <w:rPr>
                <w:rFonts w:ascii="Times New Roman" w:hAnsi="Times New Roman"/>
                <w:sz w:val="19"/>
                <w:highlight w:val="yellow"/>
              </w:rPr>
              <w:t>&lt; Tarif Pasar Air Tangki (Rp 35.000)</w:t>
            </w:r>
          </w:p>
        </w:tc>
        <w:tc>
          <w:tcPr>
            <w:tcW w:type="dxa" w:w="1984"/>
          </w:tcPr>
          <w:p>
            <w:pPr>
              <w:jc w:val="center"/>
            </w:pPr>
            <w:r>
              <w:rPr>
                <w:rFonts w:ascii="Times New Roman" w:hAnsi="Times New Roman"/>
                <w:b/>
                <w:sz w:val="19"/>
                <w:highlight w:val="yellow"/>
              </w:rPr>
              <w:t>KOMPETITIF (Batas tarif aman terendah)</w:t>
            </w:r>
          </w:p>
        </w:tc>
      </w:tr>
      <w:tr>
        <w:tc>
          <w:tcPr>
            <w:tcW w:type="dxa" w:w="1984"/>
          </w:tcPr>
          <w:p>
            <w:r>
              <w:rPr>
                <w:rFonts w:ascii="Times New Roman" w:hAnsi="Times New Roman"/>
                <w:sz w:val="19"/>
                <w:highlight w:val="yellow"/>
              </w:rPr>
              <w:t>Penghematan Warga Kawasan</w:t>
            </w:r>
          </w:p>
        </w:tc>
        <w:tc>
          <w:tcPr>
            <w:tcW w:type="dxa" w:w="1984"/>
          </w:tcPr>
          <w:p>
            <w:pPr>
              <w:jc w:val="center"/>
            </w:pPr>
            <w:r>
              <w:rPr>
                <w:rFonts w:ascii="Times New Roman" w:hAnsi="Times New Roman"/>
                <w:sz w:val="19"/>
                <w:highlight w:val="yellow"/>
              </w:rPr>
              <w:t>Rp 271.845.000 / tahun</w:t>
            </w:r>
          </w:p>
        </w:tc>
        <w:tc>
          <w:tcPr>
            <w:tcW w:type="dxa" w:w="1984"/>
          </w:tcPr>
          <w:p>
            <w:pPr>
              <w:jc w:val="center"/>
            </w:pPr>
            <w:r>
              <w:rPr>
                <w:rFonts w:ascii="Times New Roman" w:hAnsi="Times New Roman"/>
                <w:sz w:val="19"/>
                <w:highlight w:val="yellow"/>
              </w:rPr>
              <w:t>Manfaat Sosial Ekonomi</w:t>
            </w:r>
          </w:p>
        </w:tc>
        <w:tc>
          <w:tcPr>
            <w:tcW w:type="dxa" w:w="1984"/>
          </w:tcPr>
          <w:p>
            <w:pPr>
              <w:jc w:val="center"/>
            </w:pPr>
            <w:r>
              <w:rPr>
                <w:rFonts w:ascii="Times New Roman" w:hAnsi="Times New Roman"/>
                <w:b/>
                <w:sz w:val="19"/>
                <w:highlight w:val="yellow"/>
              </w:rPr>
              <w:t>Meringankan Beban Ekonomi MBR</w:t>
            </w:r>
          </w:p>
        </w:tc>
      </w:tr>
    </w:tbl>
    <w:p>
      <w:pPr>
        <w:spacing w:line="360" w:lineRule="auto" w:after="120"/>
      </w:pPr>
      <w:r>
        <w:rPr>
          <w:rFonts w:ascii="Times New Roman" w:hAnsi="Times New Roman"/>
          <w:b w:val="0"/>
          <w:i w:val="0"/>
          <w:sz w:val="24"/>
          <w:highlight w:val="yellow"/>
        </w:rPr>
        <w:t>Dengan nilai NPV positif sebesar +Rp 395.095.000, nilai BCR sebesar 1,31 (&gt; 1,0), dan periode pengembalian modal 7,79 tahun (jauh lebih pendek daripada umur teknis infrastruktur kolam 20 tahun), sistem pemanenan air hujan terpadu dan kolam retensi kriteria ganda di Perumahan Rajawali Residence terbukti kokoh dan sangat layak untuk direalisasikan baik secara teknis hidrologi-hidraulika maupun secara finansial investasi.</w:t>
      </w:r>
    </w:p>
    <w:p>
      <w:pPr>
        <w:tabs>
          <w:tab w:val="left" w:pos="567"/>
        </w:tabs>
        <w:spacing w:line="360" w:after="60"/>
        <w:ind w:left="567" w:hanging="454"/>
        <w:jc w:val="both"/>
      </w:pPr>
      <w:r>
        <w:rPr>
          <w:rFonts w:ascii="Times New Roman" w:cs="Times New Roman" w:eastAsia="Times New Roman" w:hAnsi="Times New Roman"/>
        </w:rPr>
        <w:t xml:space="preserve">6.	</w:t>
      </w:r>
      <w:r>
        <w:rPr>
          <w:rFonts w:ascii="Times New Roman" w:cs="Times New Roman" w:eastAsia="Times New Roman" w:hAnsi="Times New Roman"/>
        </w:rPr>
        <w:t xml:space="preserve">Persamaan Mononobe pada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 2 menit menghasilkan intensitas 507 mm/jam (ekstrapolasi di luar rentang durasi asalnya), sehingga debit puncak, diameter pipa kolektor, dan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bersifat konservatif.</w:t>
      </w:r>
    </w:p>
    <w:p>
      <w:pPr>
        <w:tabs>
          <w:tab w:val="left" w:pos="567"/>
        </w:tabs>
        <w:spacing w:line="360" w:after="60"/>
        <w:ind w:left="567" w:hanging="454"/>
        <w:jc w:val="both"/>
      </w:pPr>
      <w:r>
        <w:rPr>
          <w:rFonts w:ascii="Times New Roman" w:cs="Times New Roman" w:eastAsia="Times New Roman" w:hAnsi="Times New Roman"/>
        </w:rPr>
        <w:t xml:space="preserve">7.	</w:t>
      </w:r>
      <w:r>
        <w:rPr>
          <w:rFonts w:ascii="Times New Roman" w:cs="Times New Roman" w:eastAsia="Times New Roman" w:hAnsi="Times New Roman"/>
        </w:rPr>
        <w:t xml:space="preserve">Perancangan teknis (dimensi final kolam, pipa distribusi, RAB, dan BEP) merupakan lingkup Bab V.</w:t>
      </w:r>
    </w:p>
    <w:p>
      <w:pPr>
        <w:pStyle w:val="Heading2"/>
        <w:spacing w:before="360" w:after="120"/>
      </w:pPr>
      <w:r>
        <w:rPr>
          <w:b/>
          <w:bCs/>
          <w:rFonts w:ascii="Times New Roman" w:cs="Times New Roman" w:eastAsia="Times New Roman" w:hAnsi="Times New Roman"/>
        </w:rPr>
        <w:t xml:space="preserve">Rujukan Tambahan Bab IV</w:t>
      </w:r>
    </w:p>
    <w:p>
      <w:pPr>
        <w:spacing w:line="276" w:after="100"/>
        <w:ind w:left="567" w:hanging="567"/>
        <w:jc w:val="both"/>
      </w:pPr>
      <w:r>
        <w:rPr>
          <w:rFonts w:ascii="Times New Roman" w:cs="Times New Roman" w:eastAsia="Times New Roman" w:hAnsi="Times New Roman"/>
        </w:rPr>
        <w:t xml:space="preserve">Hersbach, H., dkk. (2020). The ERA5 global reanalysis. </w:t>
      </w:r>
      <w:r>
        <w:rPr>
          <w:i/>
          <w:iCs/>
          <w:rFonts w:ascii="Times New Roman" w:cs="Times New Roman" w:eastAsia="Times New Roman" w:hAnsi="Times New Roman"/>
        </w:rPr>
        <w:t xml:space="preserve">Quarterly Journal of the Royal Meteorological Society</w:t>
      </w:r>
      <w:r>
        <w:rPr>
          <w:rFonts w:ascii="Times New Roman" w:cs="Times New Roman" w:eastAsia="Times New Roman" w:hAnsi="Times New Roman"/>
        </w:rPr>
        <w:t xml:space="preserve">, 146(730), 1999–2049.</w:t>
      </w:r>
    </w:p>
    <w:p>
      <w:pPr>
        <w:spacing w:line="276" w:after="100"/>
        <w:ind w:left="567" w:hanging="567"/>
        <w:jc w:val="both"/>
      </w:pPr>
      <w:r>
        <w:rPr>
          <w:rFonts w:ascii="Times New Roman" w:cs="Times New Roman" w:eastAsia="Times New Roman" w:hAnsi="Times New Roman"/>
        </w:rPr>
        <w:t xml:space="preserve">Menne, M. J., Durre, I., Vose, R. S., Gleason, B. E., &amp; Houston, T. G. (2012). An overview of the Global Historical Climatology Network-Daily database. </w:t>
      </w:r>
      <w:r>
        <w:rPr>
          <w:i/>
          <w:iCs/>
          <w:rFonts w:ascii="Times New Roman" w:cs="Times New Roman" w:eastAsia="Times New Roman" w:hAnsi="Times New Roman"/>
        </w:rPr>
        <w:t xml:space="preserve">Journal of Atmospheric and Oceanic Technology</w:t>
      </w:r>
      <w:r>
        <w:rPr>
          <w:rFonts w:ascii="Times New Roman" w:cs="Times New Roman" w:eastAsia="Times New Roman" w:hAnsi="Times New Roman"/>
        </w:rPr>
        <w:t xml:space="preserve">, 29(7), 897–910.</w:t>
      </w:r>
    </w:p>
    <w:p>
      <w:pPr>
        <w:spacing w:line="276" w:after="100"/>
        <w:ind w:left="567" w:hanging="567"/>
        <w:jc w:val="both"/>
      </w:pPr>
      <w:r>
        <w:rPr>
          <w:rFonts w:ascii="Times New Roman" w:cs="Times New Roman" w:eastAsia="Times New Roman" w:hAnsi="Times New Roman"/>
        </w:rPr>
        <w:t xml:space="preserve">Peraturan Menteri Pekerjaan Umum Nomor 12/PRT/M/2014 tentang Penyelenggaraan Sistem Drainase Perkotaan.</w:t>
      </w:r>
    </w:p>
    <w:p>
      <w:pPr>
        <w:spacing w:line="276" w:after="100"/>
        <w:ind w:left="567" w:hanging="567"/>
        <w:jc w:val="both"/>
      </w:pPr>
      <w:r>
        <w:rPr>
          <w:rFonts w:ascii="Times New Roman" w:cs="Times New Roman" w:eastAsia="Times New Roman" w:hAnsi="Times New Roman"/>
        </w:rPr>
        <w:t xml:space="preserve">Smith, A., Lott, N., &amp; Vose, R. (2011). The Integrated Surface Database: Recent developments and partnerships. </w:t>
      </w:r>
      <w:r>
        <w:rPr>
          <w:i/>
          <w:iCs/>
          <w:rFonts w:ascii="Times New Roman" w:cs="Times New Roman" w:eastAsia="Times New Roman" w:hAnsi="Times New Roman"/>
        </w:rPr>
        <w:t xml:space="preserve">Bulletin of the American Meteorological Society</w:t>
      </w:r>
      <w:r>
        <w:rPr>
          <w:rFonts w:ascii="Times New Roman" w:cs="Times New Roman" w:eastAsia="Times New Roman" w:hAnsi="Times New Roman"/>
        </w:rPr>
        <w:t xml:space="preserve">, 92(6), 704–708.</w:t>
      </w:r>
    </w:p>
    <w:p>
      <w:pPr>
        <w:spacing w:line="276" w:after="100"/>
        <w:ind w:left="567" w:hanging="567"/>
        <w:jc w:val="both"/>
      </w:pPr>
      <w:r>
        <w:rPr>
          <w:rFonts w:ascii="Times New Roman" w:cs="Times New Roman" w:eastAsia="Times New Roman" w:hAnsi="Times New Roman"/>
        </w:rPr>
        <w:t xml:space="preserve">Vovk, L., Orel, V., &amp; Tarkanii, A. (2023). The harvested rainwater as a source of non-drinking water supply in typical residential microdistricts of Ukrainian cities. </w:t>
      </w:r>
      <w:r>
        <w:rPr>
          <w:i/>
          <w:iCs/>
          <w:rFonts w:ascii="Times New Roman" w:cs="Times New Roman" w:eastAsia="Times New Roman" w:hAnsi="Times New Roman"/>
        </w:rPr>
        <w:t xml:space="preserve">Theory and Building Practice</w:t>
      </w:r>
      <w:r>
        <w:rPr>
          <w:rFonts w:ascii="Times New Roman" w:cs="Times New Roman" w:eastAsia="Times New Roman" w:hAnsi="Times New Roman"/>
        </w:rPr>
        <w:t xml:space="preserve">, 5(2), 61–68. https://doi.org/10.23939/jtbp2023.02.061</w:t>
      </w:r>
    </w:p>
    <w:p>
      <w:pPr>
        <w:spacing w:line="276" w:after="100"/>
        <w:ind w:left="567" w:hanging="567"/>
        <w:jc w:val="both"/>
      </w:pPr>
      <w:r>
        <w:rPr>
          <w:rFonts w:ascii="Times New Roman" w:cs="Times New Roman" w:eastAsia="Times New Roman" w:hAnsi="Times New Roman"/>
        </w:rPr>
        <w:t xml:space="preserve">Zippenfenig, P. (2023). </w:t>
      </w:r>
      <w:r>
        <w:rPr>
          <w:i/>
          <w:iCs/>
          <w:rFonts w:ascii="Times New Roman" w:cs="Times New Roman" w:eastAsia="Times New Roman" w:hAnsi="Times New Roman"/>
        </w:rPr>
        <w:t xml:space="preserve">Open-Meteo.com Weather API</w:t>
      </w:r>
      <w:r>
        <w:rPr>
          <w:rFonts w:ascii="Times New Roman" w:cs="Times New Roman" w:eastAsia="Times New Roman" w:hAnsi="Times New Roman"/>
        </w:rPr>
        <w:t xml:space="preserve"> (Historical Weather API). Zenodo. https://doi.org/10.5281/zenodo.7970649</w:t>
      </w:r>
    </w:p>
    <w:sectPr>
      <w:footerReference w:type="default" r:id="rId6"/>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b/>
      <w:bCs/>
      <w:color w:val="000000"/>
      <w:sz w:val="28"/>
      <w:szCs w:val="28"/>
      <w:rFonts w:ascii="Times New Roman" w:cs="Times New Roman" w:eastAsia="Times New Roman" w:hAnsi="Times New Roman"/>
    </w:rPr>
  </w:style>
  <w:style w:type="paragraph" w:styleId="Heading2">
    <w:name w:val="Heading 2"/>
    <w:basedOn w:val="Normal"/>
    <w:next w:val="Normal"/>
    <w:qFormat/>
    <w:pPr>
      <w:keepNext/>
      <w:outlineLvl w:val="1"/>
    </w:pPr>
    <w:rPr>
      <w:b/>
      <w:bCs/>
      <w:color w:val="000000"/>
      <w:sz w:val="24"/>
      <w:szCs w:val="24"/>
      <w:rFonts w:ascii="Times New Roman" w:cs="Times New Roman" w:eastAsia="Times New Roman" w:hAnsi="Times New Roman"/>
    </w:rPr>
  </w:style>
  <w:style w:type="paragraph" w:styleId="Heading3">
    <w:name w:val="Heading 3"/>
    <w:basedOn w:val="Normal"/>
    <w:next w:val="Normal"/>
    <w:qFormat/>
    <w:pPr>
      <w:keepNext/>
      <w:outlineLvl w:val="2"/>
    </w:pPr>
    <w:rPr>
      <w:b/>
      <w:bCs/>
      <w:color w:val="000000"/>
      <w:sz w:val="24"/>
      <w:szCs w:val="24"/>
      <w:rFonts w:ascii="Times New Roman" w:cs="Times New Roman" w:eastAsia="Times New Roman" w:hAnsi="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169d3481b3a4957f0d057d88757773c002a47e5.png"/><Relationship Id="rId8" Type="http://schemas.openxmlformats.org/officeDocument/2006/relationships/image" Target="media/a964b6ef1912dad0666195c96178619506fefe78.png"/><Relationship Id="rId9" Type="http://schemas.openxmlformats.org/officeDocument/2006/relationships/image" Target="media/6361b1a58c1f2d265fe799a2bb773891616b7dcd.png"/><Relationship Id="rId10" Type="http://schemas.openxmlformats.org/officeDocument/2006/relationships/image" Target="media/4dbcd5f0f7ff00bf85f98b36d5b025f72d3eb4ae.png"/><Relationship Id="rId11" Type="http://schemas.openxmlformats.org/officeDocument/2006/relationships/image" Target="media/7e982230e259fed866c951298fe893274d9c1d43.png"/><Relationship Id="rId12" Type="http://schemas.openxmlformats.org/officeDocument/2006/relationships/image" Target="media/9401d2e48cb58d871ccff2d213ffe1c9d205b432.png"/><Relationship Id="rId13" Type="http://schemas.openxmlformats.org/officeDocument/2006/relationships/image" Target="media/674dc48183475ab42f4a23ca255c4d85486e928b.png"/><Relationship Id="rId14" Type="http://schemas.openxmlformats.org/officeDocument/2006/relationships/image" Target="media/870fb2c71216c8d0e8eca0b2309583701c5d7a79.png"/><Relationship Id="rIdFontTbl"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 Hasil dan Pembahasan (claude)</dc:title>
  <dc:creator>Razi Faisal</dc:creator>
  <cp:lastModifiedBy>Un-named</cp:lastModifiedBy>
  <cp:revision>1</cp:revision>
  <dcterms:created xsi:type="dcterms:W3CDTF">2026-10-18T19:55:37.079Z</dcterms:created>
  <dcterms:modified xsi:type="dcterms:W3CDTF">2026-10-18T19:55:37.079Z</dcterms:modified>
</cp:coreProperties>
</file>

<file path=docProps/custom.xml><?xml version="1.0" encoding="utf-8"?>
<Properties xmlns="http://schemas.openxmlformats.org/officeDocument/2006/custom-properties" xmlns:vt="http://schemas.openxmlformats.org/officeDocument/2006/docPropsVTypes"/>
</file>