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УТВЕРЖДАЮ</w:t>
      </w:r>
    </w:p>
    <w:p>
      <w:pPr>
        <w:pStyle w:val="Normal"/>
        <w:spacing w:lineRule="auto" w:line="240" w:before="0" w:after="0"/>
        <w:ind w:firstLine="4395"/>
        <w:rPr>
          <w:rFonts w:ascii="Times New Roman" w:hAnsi="Times New Roman" w:cs="Times New Roman"/>
          <w:color w:val="000000"/>
          <w:sz w:val="28"/>
          <w:szCs w:val="28"/>
          <w:lang w:val="be-BY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Индивидуальный</w:t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предприниматель1010_ Юманов К.А.</w:t>
      </w:r>
    </w:p>
    <w:p>
      <w:pPr>
        <w:pStyle w:val="Normal"/>
        <w:spacing w:lineRule="auto" w:line="240" w:before="0" w:after="0"/>
        <w:ind w:firstLine="4395"/>
        <w:rPr>
          <w:rFonts w:ascii="Times New Roman" w:hAnsi="Times New Roman" w:cs="Times New Roman"/>
          <w:color w:val="000000"/>
          <w:sz w:val="28"/>
          <w:szCs w:val="28"/>
          <w:lang w:val="be-BY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</w:r>
    </w:p>
    <w:p>
      <w:pPr>
        <w:pStyle w:val="Normal"/>
        <w:spacing w:lineRule="auto" w:line="240" w:before="0" w:after="0"/>
        <w:ind w:firstLine="4395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“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10</w:t>
      </w:r>
      <w:r>
        <w:rPr>
          <w:rFonts w:cs="Times New Roman" w:ascii="Times New Roman" w:hAnsi="Times New Roman"/>
          <w:color w:val="000000"/>
          <w:sz w:val="28"/>
          <w:szCs w:val="28"/>
          <w:lang w:val="pl-PL"/>
        </w:rPr>
        <w:t>”</w:t>
      </w: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 xml:space="preserve"> октября 2026 г.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>
        <w:rPr>
          <w:rFonts w:cs="Times New Roman" w:ascii="Times New Roman" w:hAnsi="Times New Roman"/>
          <w:b/>
          <w:bCs/>
          <w:color w:val="000000"/>
          <w:sz w:val="30"/>
          <w:szCs w:val="30"/>
        </w:rPr>
      </w:r>
    </w:p>
    <w:p>
      <w:pPr>
        <w:pStyle w:val="Normal"/>
        <w:spacing w:lineRule="exact" w:line="280" w:before="0" w:after="12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>ПОЛОЖЕНИЕ</w:t>
      </w:r>
    </w:p>
    <w:p>
      <w:pPr>
        <w:pStyle w:val="Normal"/>
        <w:spacing w:lineRule="exact" w:line="280" w:before="0" w:after="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о политике в отношении обработки </w:t>
      </w:r>
    </w:p>
    <w:p>
      <w:pPr>
        <w:pStyle w:val="Normal"/>
        <w:spacing w:lineRule="exact" w:line="280" w:before="0" w:after="0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персональных данных</w:t>
      </w:r>
    </w:p>
    <w:p>
      <w:pPr>
        <w:pStyle w:val="Normal"/>
        <w:spacing w:lineRule="auto" w:line="240" w:before="0" w:after="0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1.1. Настоящий документ определяет политику индивидуального предпринимателя Юманова Константина Александровича, УНП AA9542341, зарегистрированного 28.11.2017,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(далее по тексту – Оператор)  в отношении обработки персональных данных пользователей (далее по тексту – политика). Действие настоящей политики распространяется на все операции, совершаемые Оператора с персональными данными с использованием средств автоматизации или без их использования, а также отражает имеющиеся в связи с этим у субъектов персональных данных права и механизм их реализации,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данных, осуществляемые с использованием средств автоматизации и без использования таких средств.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Сайт Оператора </w:t>
      </w:r>
      <w:r>
        <w:rPr>
          <w:rFonts w:eastAsia="Times New Roman" w:cs="Times New Roman" w:ascii="Times New Roman" w:hAnsi="Times New Roman"/>
          <w:color w:val="FF0000"/>
          <w:sz w:val="28"/>
          <w:szCs w:val="28"/>
          <w:lang w:eastAsia="ru-RU"/>
        </w:rPr>
        <w:t>https://grabli.net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 (далее – Сайт).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1.2. Настоящая Политика не применяется к обработке персональных данных пользователей сайта (в части файлов Cookies).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1.3. Настоящая Политика распространяется на все процессы Оператора, процедуры и операции, в рамках которых осуществляется обработка персональных данных, как с испо</w:t>
      </w:r>
      <w:bookmarkStart w:id="0" w:name="_GoBack"/>
      <w:bookmarkEnd w:id="0"/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льзованием средств автоматизации, так и без использования средств автоматизации.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1.4. Действие настоящей Политики не распространяется на отношения, касающиеся случаев обработки персональных данных, отнесенных в установленном порядке к государственным секретам.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1.5. Настоящая Политика, а также все изменения и дополнения к ней принимаются и утверждаются в установленном у Оператора порядке и действуют до замены их новыми.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1.6. Ответственность за поддержание настоящей Политики в актуальном состоянии возлагается на лицо, ответственное за осуществление внутреннего контроля за обработкой персональных данных у Оператора.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1.7. Изменения в настоящую Политику могут вноситься в случаях изменения законодательства Республики Беларусь о защите персональных данных и принятых в соответствии с ним нормативных правовых актов, существенного изменения в структуре процессов, в рамках которых осуществляется обработка персональных данных, изменения организационной структуры Оператора и полномочий участников процесса, а также по результатам анализа инцидентов информационной безопасности, актуальности, достаточности и эффективности используемых мер обеспечения информационной безопасности, по результатам проведения внутренних аудитов информационной безопасности и других контрольных мероприятий, утвержденных локальными правовыми актами Оператора.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1.8. В случае изменения законодательства Республики Беларусь о защите персональных данных и принятых в соответствии с ним нормативных правовых актов, настоящая Политика применяется в части, не противоречащей вновь принятым нормативным правовым документам до момента приведения ее положений в соответствие нормам изменившегося законодательства. 1.9. Локальные правовые акты Оператора, затрагивающие вопросы обработки и защиты персональных данных, должны разрабатываться с учетом положений настоящей Политики и не противоречить им.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1.10. Настоящая Политика является общедоступной и подлежит размещению по месту нахождения Оператора, внутри его помещений для ознакомления любым заинтересованным лицом, и на сайте Оператора.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 Термины и определения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2.1. «Автоматизированная обработка персональных данных» – обработка персональных данных с помощью средств вычислительной техники;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2.2. «Обработка персональных данных» – любое действие или совокупность действий, совершаемые с персональными данными, включая сбор, систематизацию, хранение, изменение, использование, обезличивание, блокирование, распространение, предоставление, удаление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2.3. «Общедоступные персональные данные» – персональные данные, распространенные самим субъектом персональных данных либо с его согласия или распространенные в соответствии с требованиями законодательства;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2.4. «Блокирование персональных данных» – прекращение доступа к персональным данным без их удаления;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2.5. «Обезличивание персональных данных» – 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данных;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2.6. «Удаление персональных данных» – действия, в результате которых становится невозможным восстановить персональные данные в информационных ресурсах (системах), содержащих персональные данные, и (или) в результате которых уничтожаются материальные носители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2.7. «Персональные данные» – любая информация, относящаяся к идентифицированному физическому лицу или физическому лицу, которое может быть идентифицировано;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2.8. «Предоставление персональных данных» – действия, направленные на ознакомление с персональными данными определенных лица или круга лиц;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2.9. «Распространение персональных данных» – действия, направленные на ознакомление с персональными данными неопределенного круга лиц;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2.10. «Специальные персональные данные» – персональные данные, касающиеся расовой или национальной принадлежности, политических взглядов, членства в профессиональных союзах, религиозных или других убеждений, здоровья или половой жизни, привлечения к административной или уголовной ответственности, а также биометрические и генетические персональные данные;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2.11. «Субъект персональных данных» – физическое лицо, в отношении которого осуществляется обработка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2.12. «Трансграничная передача персональных данных» – передача персональных данных на территорию иностранного государства;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2.13. «Уполномоченное лицо» – государственный орган, юридическое лицо Республики Беларусь, иная организация, физическое лицо, которые в соответствии с актом законодательства, решением государственного органа, являющегося оператором, либо на основании договора с Оператором осуществляют обработку персональных данных от имени оператора или в его интересах;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 xml:space="preserve">2.14. «Физическое лицо, которое может быть идентифицировано» – физическое лицо, которое может быть прямо или косвенно определено, в частности через фамилию, собственное имя, отчество, дату рождения, идентификационный номер либо через один или несколько признаков, характерных для его физической, психологической, умственной, экономической, культурной или социальной идентичности;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start="360"/>
        <w:jc w:val="both"/>
        <w:rPr>
          <w:color w:val="000000"/>
        </w:r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18" w:right="567" w:gutter="0" w:header="709" w:top="766" w:footer="0" w:bottom="992"/>
          <w:pgNumType w:fmt="decimal"/>
          <w:formProt w:val="false"/>
          <w:titlePg/>
          <w:textDirection w:val="lrTb"/>
          <w:docGrid w:type="default" w:linePitch="360" w:charSpace="0"/>
        </w:sect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eastAsia="ru-RU"/>
        </w:rPr>
        <w:t xml:space="preserve">   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3. Оператор осуществляет обработку персональных данных в следующих случаях: </w:t>
      </w:r>
    </w:p>
    <w:tbl>
      <w:tblPr>
        <w:tblStyle w:val="a6"/>
        <w:tblW w:w="1530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80"/>
        <w:gridCol w:w="3826"/>
        <w:gridCol w:w="3261"/>
        <w:gridCol w:w="4111"/>
        <w:gridCol w:w="2126"/>
      </w:tblGrid>
      <w:tr>
        <w:trPr>
          <w:tblHeader w:val="true"/>
        </w:trPr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Цели обработки</w:t>
            </w:r>
            <w:r>
              <w:rPr>
                <w:rFonts w:eastAsia="Calibri" w:cs="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персональных данных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Категории субъектов персональных данных, чьи данные подвергаются обработке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Перечень обрабатываемых персональных данных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Правовые основания обработки персональных данных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0"/>
                <w:szCs w:val="20"/>
                <w:lang w:val="ru-RU" w:eastAsia="en-US" w:bidi="ar-SA"/>
              </w:rPr>
              <w:t>Срок хранения персональных данных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Рассмотрение обращений, в том числе внесенных в книгу замечаний и предложений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start="18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Лица, направившие обращение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start="18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Иные лица, чьи персональные данные указаны в обращении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инициалы, адрес места жительства (места пребывания), суть обращения, иные персональные данные, указанные в обращении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Обработка персональных данных является необходимой для 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и абзац шестнадцатый пункта 2 статьи 8 Закона, пункт 1 статьи 3 Закона Республики Беларусь «Об обращениях граждан и юридических лиц»)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 лет с даты последнего обращения;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5 лет после окончания ведения книги замечаний и предложений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Заключение договоров (в том числе и путем акцепта оферт Оператора) с физическими лицами, их дальнейшее исполнение, обслуживание, сопровождение и прекращение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физические лица - клиенты Оператора;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номер мобильного телефона;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адрес электронной почты.</w:t>
            </w:r>
          </w:p>
          <w:p>
            <w:pPr>
              <w:pStyle w:val="Normal"/>
              <w:widowControl/>
              <w:suppressAutoHyphens w:val="true"/>
              <w:spacing w:lineRule="auto" w:line="240" w:before="20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Абзац  15 статьи 6 Закона Республики Беларусь № 99-З от 07.05.2023 «О защите персональных данных»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 момента окончания срока хранения документа, содержащего персональные данные, установленного законодательством.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Организация оказания информационно-консультационных услуг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Лица, уполномоченные на подписание договора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лица, личная подпись, иные персональные данные (при необходимости)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В случае заключения договора с физическим лицом – обработка на основании договора с субъектом персональных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пятнадцатый статьи 6 Закона)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В случае заключения договора с юридическим лицом – обработка персональных данных, которая является необходимой для 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Закона, статья 49, пункт 5 статьи 186 Гражданского кодекса)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 года после окончания срока действия договора, проведения налоговыми органами проверки соблюдения налогового законодательства. Если налоговыми органами проверка соблюдения налогового законодательства не проводилась – 10 лет после окончания срока действия договора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Заключение и исполнение гражданско-правовых договоров, не связанных с осуществлением основных задач, возложенных на Оператора</w:t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Лица, уполномоченные на подписание договора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Фамилия, собственное имя, отчество либо инициалы лица,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должность лица, подписавшего договор, иные данные в соответствии с условиями договора (при необходимости)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1. В случае заключения договора с физическим лицом – обработка на основании договора с субъектом персональных данных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пятнадцатый статьи 6 Закона)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2. В случае заключения договора с юридическим лицом – обработка персональных данных является необходимой для выполнения обязанностей (полномочий), предусмотренных законодательными актами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(абзац двадцатый статьи 6 Закона, статья 49, пункт 5 статьи 186 Гражданского кодекса)</w:t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3 года после окончания срока действия договора, проведения налоговыми органами проверки соблюдения налогового законодательства. Если налоговыми органами проверка соблюдения налогового законодательства не проводилась – 10 лет после окончания срока действия договора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Получение доступа в закрытую частную группу в электронном мессенджере физические лица - пользователя сайта Оператора;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38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физические лица - клиенты Оператора (в том числе и индивидуальные предприниматели); физические лица - представители клиентов контрагентов Оператора (юридических лиц и индивидуальных предпринимателей)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Ник субъекта персональных данных в электронном мессенджере</w:t>
            </w:r>
          </w:p>
        </w:tc>
        <w:tc>
          <w:tcPr>
            <w:tcW w:w="411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Абзац  15 статьи 6 Закона Республики Беларусь № 99-З от 07.05.2023 «О защите персональных данных»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0"/>
                <w:szCs w:val="20"/>
                <w:lang w:val="ru-RU" w:eastAsia="en-US" w:bidi="ar-SA"/>
              </w:rPr>
              <w:t>Оператор не хранит персональные данные субъекта персональных данных, которые последний предоставляет организации владельцу электронного мессенджера</w:t>
            </w:r>
          </w:p>
        </w:tc>
      </w:tr>
    </w:tbl>
    <w:p>
      <w:pPr>
        <w:sectPr>
          <w:headerReference w:type="even" r:id="rId8"/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orient="landscape" w:w="16838" w:h="11906"/>
          <w:pgMar w:left="992" w:right="567" w:gutter="0" w:header="709" w:top="1418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4. Персональные данные могут быть также использованы Оператором</w:t>
      </w:r>
      <w:r>
        <w:rPr>
          <w:rFonts w:cs="Times New Roman" w:ascii="Times New Roman" w:hAnsi="Times New Roman"/>
          <w:color w:val="000000"/>
          <w:sz w:val="28"/>
          <w:szCs w:val="28"/>
          <w:lang w:val="be-BY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в научных или иных исследовательских целях после обязательного обезличивания таких персональных данных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5. Оператор осуществляет обработку только тех персональных данных, которые необходимы для выполнения заявленных целей и не допускает их избыточной обработки. 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6. Оператор не осуществляет передачу персональных данных третьим лицам, за исключением случаев, предусмотренных законодательными актами.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7. Трансграничная передача персональных данных Оператором</w:t>
        <w:br/>
        <w:t>не осуществляется.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 Субъект персональных данных имеет право: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8.1. на отзыв своего согласия, </w:t>
      </w:r>
      <w:bookmarkStart w:id="1" w:name="_Hlk91167631"/>
      <w:r>
        <w:rPr>
          <w:rFonts w:cs="Times New Roman" w:ascii="Times New Roman" w:hAnsi="Times New Roman"/>
          <w:color w:val="000000"/>
          <w:sz w:val="28"/>
          <w:szCs w:val="28"/>
        </w:rPr>
        <w:t xml:space="preserve">если для обработки персональных данных </w:t>
      </w:r>
      <w:bookmarkEnd w:id="1"/>
      <w:r>
        <w:rPr>
          <w:rFonts w:cs="Times New Roman" w:ascii="Times New Roman" w:hAnsi="Times New Roman"/>
          <w:color w:val="000000"/>
          <w:sz w:val="28"/>
          <w:szCs w:val="28"/>
        </w:rPr>
        <w:t>Оператор обращалась к субъекту персональных данных за получением согласия. В этой связи право на отзыв согласия не может быть реализовано в случае, когда обработка осуществляется на основании договора (например, при реализации образовательных программ) либо в соответствии с требованиями законодательства (например, при проведении контроля либо рассмотрении поступившего обращения);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8.2. на получение информации, касающейся обработки своих персональных данных, содержащей: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место нахождения Оператора;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подтверждение факта обработки персональных данных обратившегося лица Оператором;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его персональные данные и источник их получения;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правовые основания и цели обработки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срок, на который дано его согласие (если обработка персональных данных осуществляется на основании согласия);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наименование и место нахождения уполномоченного лица (уполномоченных лиц);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иную информацию, предусмотренную законодательством;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8.3. требовать от Оператора внесения изменений в свои персональные данные в случае, если персональные данные являются неполными, устаревшими или неточными. В этих целях субъект персональных данных прилагает соответствующие документы и (или) их заверенные в установленном порядке копии, подтверждающие необходимость внесения изменений в персональные данные;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8.4. получить от Оператора информацию о предоставлении своих персональных данных, обрабатываемых Оператором, третьим лицам. Такое право может быть реализовано один раз в календарный год, </w:t>
        <w:br/>
        <w:t>а предоставление соответствующей информации осуществляется бесплатно;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8.5. требовать от Оператора бесплатного прекращения обработки своих персональных данных, включая их удаление, при отсутствии оснований для обработки персональных данных, предусмотренных Законом и иными законодательными актами;</w:t>
      </w:r>
    </w:p>
    <w:p>
      <w:pPr>
        <w:pStyle w:val="ListParagraph"/>
        <w:spacing w:lineRule="auto" w:line="240" w:before="0" w:after="0"/>
        <w:ind w:firstLine="709" w:start="0"/>
        <w:contextualSpacing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8.6</w:t>
      </w:r>
      <w:r>
        <w:rPr>
          <w:rFonts w:ascii="Times New Roman" w:hAnsi="Times New Roman"/>
          <w:color w:val="000000"/>
          <w:sz w:val="28"/>
          <w:szCs w:val="28"/>
        </w:rPr>
        <w:t xml:space="preserve"> обжаловать действия (бездействие) и решения Оператора, нарушающие его права при обработке персональных данных, </w:t>
        <w:br/>
        <w:t xml:space="preserve">в уполномоченный орган по защите прав субъектов персональных данных </w:t>
        <w:br/>
        <w:t xml:space="preserve">в порядке, установленном законодательством об обращениях граждан </w:t>
        <w:br/>
        <w:t>и юридических лиц.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9. Для реализации своих прав, связанных с обработкой персональных данных Оператором, субъект персональных данных подает </w:t>
        <w:br/>
        <w:t>Оператору заявление в письменной форме или в виде электронного документа (а в случае реализации права на отзыв согласия – также в форме, в которой такое согласие было получено) соответственно по почтовому адресу или адресу в сети Интернет, указанным в части пятой пункта 1 настоящей Политики. Такое заявление должно содержать: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фамилию, собственное имя, отчество (если таковое имеется) субъекта персональных данных, адрес его места жительства (места пребывания);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дату рождения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изложение сути требований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идентификационный номер субъекта персональных данных, при отсутствии такого номера – номер документа, удостоверяющего личность субъекта персональных данных, в случаях, если эта информация указывалась субъектом персональных данных при даче своего согласия или обработка персональных данных осуществляется без согласия субъекта персональных данных;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личную подпись (для заявления в письменной форме) либо электронную цифровую подпись (для заявления в виде электронного документа) субъекта персональных данных.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Оператор не рассматривает заявления субъектов персональных данных, направленные иными способами (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e</w:t>
      </w:r>
      <w:r>
        <w:rPr>
          <w:rFonts w:cs="Times New Roman" w:ascii="Times New Roman" w:hAnsi="Times New Roman"/>
          <w:color w:val="000000"/>
          <w:sz w:val="28"/>
          <w:szCs w:val="28"/>
        </w:rPr>
        <w:t>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mail</w:t>
      </w:r>
      <w:r>
        <w:rPr>
          <w:rFonts w:cs="Times New Roman" w:ascii="Times New Roman" w:hAnsi="Times New Roman"/>
          <w:color w:val="000000"/>
          <w:sz w:val="28"/>
          <w:szCs w:val="28"/>
        </w:rPr>
        <w:t>, телефон, факс и т.п).</w:t>
      </w:r>
    </w:p>
    <w:p>
      <w:pPr>
        <w:pStyle w:val="Normal"/>
        <w:spacing w:lineRule="auto" w:line="240" w:before="0" w:after="0"/>
        <w:ind w:firstLine="709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10. За содействием в реализации прав субъект персональных данных может также обратиться к лицу, ответственному за осуществление внутреннего контроля за обработкой персональных данных у Оператора, направив сообщение на электронный адрес Оператора.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11. При обработке персональных данных Оператор обязан: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 разъяснить субъекту персональных данных его права, связанные с обработкой персональных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получать согласие субъекта персональных данных, за исключением случаев,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обеспечивать защиту персональных данных в процессе их обработки;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предоставлять субъекту персональных данных информацию о его персональных данных, а также о предоставлении его персональных данных третьим лицам, за исключением случаев,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вносить изменения в персональные данные, которые являются неполными, устаревшими или неточными, за исключением случаев, когда иной порядок внесения изменений в персональные данные установлен законодательными актами либо если цели обработки персональных данных не предполагают последующих изменений таких данных;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прекращать обработку персональных данных, а также осуществлять их удаление или блокирование (обеспечивать прекращение обработки персональных данных, а также их удаление или блокирование уполномоченным лицом) при отсутствии оснований для обработки персональных данных, предусмотренных Законом «О защите персональных данных» и иными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осуществлять изменение, блокирование или удаление недостоверных или полученных незаконным путем персональных данных субъекта персональных данных по требованию Национального центра защиты персональных данных, если иной порядок внесения изменений в персональные данные, их блокирования или удаления не установлен законодательными актами;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выполнять иные обязанности, предусмотренные законодательством.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12. Оператор для выполнения своих обязанностей, предусмотренных Законом «О защите персональных данных» и принятыми в соответствии с ним локальными правовыми актами, в частности по обеспечению защиты персональных данных от несанкционированного или случайного доступа к ним, изменения, блокирования, копирования, распространения, предоставления, удаления персональных данных, а также от иных неправомерных действий в отношении персональных данных принимает следующие правовые, организационные и технические меры: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- назначает лицо, ответственное за осуществление внутреннего контроля за обработкой персональных данных: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издает политики и иные локальные правовые акты, определяющие подходы к обработке персональных данных и их защите;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- знакомит работников Оператора и иных лиц, непосредственно осуществляющих обработку персональных данных, с положениями законодательства о персональных данных, в том числе с требованиями по защите персональных данных, документами, определяющими политику Оператора в отношении обработки персональных данных, а также проводит обучение указанных работников и иных лиц в порядке, установленном законодательством;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- устанавливает порядок доступа к персональным данным, в том числе обрабатываемым в информационных системах Оператора; </w:t>
      </w:r>
    </w:p>
    <w:p>
      <w:pPr>
        <w:pStyle w:val="Normal"/>
        <w:spacing w:lineRule="auto" w:line="240" w:before="0" w:after="0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- осуществляет техническую и криптографическую защиту персональных данных в порядке, установленном Оперативно-аналитическим центром при Президенте Республики Беларусь, в соответствии с классификацией информационных ресурсов (систем), содержащих персональные данные.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13. Контроль за соблюдением законодательства Республики Беларусь и локальных правовых актов в области персональных данных, в том числе требований к защите персональных данных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13.1. Контроль за соблюдением Оператором законодательства Республики Беларусь и локальных правовых актов Оператора в области персональных данных, в том числе требований к защите персональных данных, осуществляется с целью проверки соответствия обработки персональных данных Оператором законодательству Республики Беларусь и локальным правовым актам Оператора в области персональных данных, в том числе требованиям к защите персональных данных, а также принятых мер, направленных на предотвращение и выявление нарушений законодательства Республики Беларусь в области персональных данных, выявления возможных каналов утечки и несанкционированного доступа к персональным данным, устранения последствий таких нарушений. </w:t>
      </w:r>
    </w:p>
    <w:p>
      <w:pPr>
        <w:pStyle w:val="Normal"/>
        <w:spacing w:lineRule="auto" w:line="240" w:before="0" w:after="0"/>
        <w:ind w:firstLine="708"/>
        <w:jc w:val="both"/>
        <w:rPr>
          <w:color w:val="000000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13.2. Внутренний контроль за соблюдением Оператором требований законодательства Республики Беларусь и локальных нормативных актов Оператора в области персональных данных осуществляется лицом, ответственным за осуществление внутреннего контроля за обработкой персональных данных у Оператора.</w:t>
      </w:r>
    </w:p>
    <w:p>
      <w:pPr>
        <w:pStyle w:val="Normal"/>
        <w:spacing w:lineRule="auto" w:line="240" w:before="0"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ConsPlusTitle"/>
        <w:spacing w:lineRule="exact" w:line="280"/>
        <w:jc w:val="both"/>
        <w:rPr>
          <w:rFonts w:ascii="Times New Roman" w:hAnsi="Times New Roman" w:eastAsia="Calibri" w:cs="Times New Roman" w:eastAsiaTheme="minorHAnsi"/>
          <w:b w:val="false"/>
          <w:bCs w:val="false"/>
          <w:color w:val="000000"/>
          <w:sz w:val="30"/>
          <w:szCs w:val="30"/>
          <w:lang w:eastAsia="en-US"/>
        </w:rPr>
      </w:pPr>
      <w:r>
        <w:rPr>
          <w:rFonts w:eastAsia="Calibri" w:cs="Times New Roman" w:eastAsiaTheme="minorHAnsi" w:ascii="Times New Roman" w:hAnsi="Times New Roman"/>
          <w:b w:val="false"/>
          <w:bCs w:val="false"/>
          <w:color w:val="000000"/>
          <w:sz w:val="30"/>
          <w:szCs w:val="30"/>
          <w:lang w:eastAsia="en-US"/>
        </w:rPr>
      </w:r>
    </w:p>
    <w:sectPr>
      <w:headerReference w:type="even" r:id="rId13"/>
      <w:headerReference w:type="default" r:id="rId14"/>
      <w:headerReference w:type="first" r:id="rId15"/>
      <w:footerReference w:type="default" r:id="rId16"/>
      <w:footerReference w:type="first" r:id="rId17"/>
      <w:type w:val="nextPage"/>
      <w:pgSz w:w="11906" w:h="16838"/>
      <w:pgMar w:left="1701" w:right="567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3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5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8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60531421"/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6</w:t>
        </w:r>
        <w:r>
          <w:rPr>
            <w:rFonts w:cs="Times New Roman" w:ascii="Times New Roman" w:hAnsi="Times New Roman"/>
          </w:rPr>
          <w:fldChar w:fldCharType="end"/>
        </w:r>
      </w:p>
    </w:sdtContent>
  </w:sdt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25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0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d0a2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d0a2d"/>
    <w:rPr>
      <w:color w:themeColor="hyperlink" w:val="0563C1"/>
      <w:u w:val="single"/>
    </w:rPr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fd0a2d"/>
    <w:rPr/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sid w:val="007700cf"/>
    <w:rPr>
      <w:color w:val="605E5C"/>
      <w:shd w:fill="E1DFDD" w:val="clear"/>
    </w:rPr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ec3438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fd340e"/>
    <w:rPr>
      <w:rFonts w:ascii="Segoe UI" w:hAnsi="Segoe UI" w:cs="Segoe UI"/>
      <w:sz w:val="18"/>
      <w:szCs w:val="18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87968"/>
    <w:rPr>
      <w:color w:val="605E5C"/>
      <w:shd w:fill="E1DFDD" w:val="clear"/>
    </w:rPr>
  </w:style>
  <w:style w:type="character" w:styleId="Style17" w:customStyle="1">
    <w:name w:val="Текст сноски Знак"/>
    <w:basedOn w:val="DefaultParagraphFont"/>
    <w:link w:val="FootnoteText"/>
    <w:uiPriority w:val="99"/>
    <w:semiHidden/>
    <w:qFormat/>
    <w:rsid w:val="00a10409"/>
    <w:rPr>
      <w:sz w:val="20"/>
      <w:szCs w:val="20"/>
    </w:rPr>
  </w:style>
  <w:style w:type="character" w:styleId="FootnoteCharactersuser">
    <w:name w:val="Footnote Characters (user)"/>
    <w:basedOn w:val="DefaultParagraphFont"/>
    <w:uiPriority w:val="99"/>
    <w:semiHidden/>
    <w:unhideWhenUsed/>
    <w:qFormat/>
    <w:rsid w:val="00a1040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fd0a2d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ec3438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fd340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4464e1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ConsPlusNormal" w:customStyle="1">
    <w:name w:val="ConsPlusNormal"/>
    <w:qFormat/>
    <w:rsid w:val="005b5d72"/>
    <w:pPr>
      <w:widowControl w:val="false"/>
      <w:suppressAutoHyphens w:val="true"/>
      <w:bidi w:val="0"/>
      <w:spacing w:lineRule="auto" w:line="240" w:before="0" w:after="0"/>
      <w:jc w:val="star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0"/>
      <w:lang w:val="ru-RU" w:eastAsia="ru-RU" w:bidi="ar-SA"/>
    </w:rPr>
  </w:style>
  <w:style w:type="paragraph" w:styleId="FootnoteText">
    <w:name w:val="footnote text"/>
    <w:basedOn w:val="Normal"/>
    <w:link w:val="Style17"/>
    <w:uiPriority w:val="99"/>
    <w:semiHidden/>
    <w:unhideWhenUsed/>
    <w:rsid w:val="00a10409"/>
    <w:pPr>
      <w:spacing w:lineRule="auto" w:line="240" w:before="0" w:after="0"/>
    </w:pPr>
    <w:rPr>
      <w:sz w:val="20"/>
      <w:szCs w:val="20"/>
    </w:rPr>
  </w:style>
  <w:style w:type="paragraph" w:styleId="ListParagraph">
    <w:name w:val="List Paragraph"/>
    <w:basedOn w:val="Normal"/>
    <w:qFormat/>
    <w:rsid w:val="0078798c"/>
    <w:pPr>
      <w:spacing w:before="0" w:after="160"/>
      <w:ind w:start="720"/>
      <w:contextualSpacing/>
    </w:pPr>
    <w:rPr/>
  </w:style>
  <w:style w:type="paragraph" w:styleId="ConsPlusTitle" w:customStyle="1">
    <w:name w:val="ConsPlusTitle"/>
    <w:uiPriority w:val="99"/>
    <w:qFormat/>
    <w:rsid w:val="00d9525b"/>
    <w:pPr>
      <w:widowControl w:val="false"/>
      <w:suppressAutoHyphens w:val="true"/>
      <w:bidi w:val="0"/>
      <w:spacing w:lineRule="auto" w:line="240" w:before="0" w:after="0"/>
      <w:jc w:val="start"/>
    </w:pPr>
    <w:rPr>
      <w:rFonts w:ascii="Arial" w:hAnsi="Arial" w:eastAsia="" w:cs="Arial" w:eastAsiaTheme="minorEastAsia"/>
      <w:b/>
      <w:bCs/>
      <w:color w:val="auto"/>
      <w:kern w:val="0"/>
      <w:sz w:val="20"/>
      <w:szCs w:val="20"/>
      <w:lang w:val="ru-RU" w:eastAsia="ru-RU" w:bidi="ar-SA"/>
    </w:rPr>
  </w:style>
  <w:style w:type="paragraph" w:styleId="append" w:customStyle="1">
    <w:name w:val="append"/>
    <w:basedOn w:val="Normal"/>
    <w:qFormat/>
    <w:rsid w:val="00d9525b"/>
    <w:pPr>
      <w:spacing w:lineRule="auto" w:line="240" w:before="0" w:after="0"/>
    </w:pPr>
    <w:rPr>
      <w:rFonts w:ascii="Times New Roman" w:hAnsi="Times New Roman" w:eastAsia="" w:cs="Times New Roman" w:eastAsiaTheme="minorEastAsia"/>
      <w:lang w:eastAsia="ru-RU"/>
    </w:rPr>
  </w:style>
  <w:style w:type="paragraph" w:styleId="append1" w:customStyle="1">
    <w:name w:val="append1"/>
    <w:basedOn w:val="Normal"/>
    <w:qFormat/>
    <w:rsid w:val="00d9525b"/>
    <w:pPr>
      <w:spacing w:lineRule="auto" w:line="240" w:before="0" w:after="28"/>
    </w:pPr>
    <w:rPr>
      <w:rFonts w:ascii="Times New Roman" w:hAnsi="Times New Roman" w:eastAsia="" w:cs="Times New Roman" w:eastAsiaTheme="minorEastAsia"/>
      <w:lang w:eastAsia="ru-RU"/>
    </w:rPr>
  </w:style>
  <w:style w:type="paragraph" w:styleId="newncpi" w:customStyle="1">
    <w:name w:val="newncpi"/>
    <w:basedOn w:val="Normal"/>
    <w:qFormat/>
    <w:rsid w:val="00d9525b"/>
    <w:pPr>
      <w:spacing w:lineRule="auto" w:line="240" w:before="0" w:after="0"/>
      <w:ind w:firstLine="567"/>
      <w:jc w:val="both"/>
    </w:pPr>
    <w:rPr>
      <w:rFonts w:ascii="Times New Roman" w:hAnsi="Times New Roman" w:eastAsia="" w:cs="Times New Roman" w:eastAsiaTheme="minorEastAsia"/>
      <w:sz w:val="24"/>
      <w:szCs w:val="24"/>
      <w:lang w:eastAsia="ru-RU"/>
    </w:rPr>
  </w:style>
  <w:style w:type="paragraph" w:styleId="Standard" w:customStyle="1">
    <w:name w:val="Standard"/>
    <w:qFormat/>
    <w:rsid w:val="0019184b"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 w:asciiTheme="minorHAnsi" w:eastAsiaTheme="minorHAnsi" w:hAnsiTheme="minorHAnsi"/>
      <w:color w:val="auto"/>
      <w:kern w:val="2"/>
      <w:sz w:val="22"/>
      <w:szCs w:val="22"/>
      <w:lang w:val="ru-RU" w:eastAsia="zh-CN" w:bidi="ar-SA"/>
    </w:rPr>
  </w:style>
  <w:style w:type="paragraph" w:styleId="HeaderLeftuser">
    <w:name w:val="Header Left (user)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fd0a2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footer" Target="footer6.xml"/><Relationship Id="rId17" Type="http://schemas.openxmlformats.org/officeDocument/2006/relationships/footer" Target="footer7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73179-16ED-440F-9D81-10D9F702D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LibreOffice/26.2.5.2$Windows_X86_64 LibreOffice_project/cd7284b4cbbfeb507e630c1aac019f4157393acb</Application>
  <AppVersion>15.0000</AppVersion>
  <Pages>9</Pages>
  <Words>2258</Words>
  <Characters>16859</Characters>
  <CharactersWithSpaces>19073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2026-02-25T19:44:00Z</dcterms:created>
  <dc:creator>Диско Виталий Иванович</dc:creator>
  <dc:description/>
  <dc:language>ru-RU</dc:language>
  <cp:lastModifiedBy/>
  <cp:lastPrinted>2023-04-13T09:03:00Z</cp:lastPrinted>
  <dcterms:modified xsi:type="dcterms:W3CDTF">2026-08-07T12:48:24Z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