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64BC" w14:textId="77777777" w:rsidR="00ED2CF3" w:rsidRPr="00ED2CF3" w:rsidRDefault="00ED2CF3" w:rsidP="00ED2CF3">
      <w:pPr>
        <w:spacing w:before="360" w:after="120" w:line="240" w:lineRule="auto"/>
        <w:outlineLvl w:val="0"/>
        <w:rPr>
          <w:rFonts w:ascii="Arial" w:eastAsia="Arial" w:hAnsi="Arial" w:cs="Arial"/>
          <w:b/>
          <w:bCs/>
          <w:color w:val="1F3864"/>
          <w:kern w:val="0"/>
          <w:sz w:val="32"/>
          <w:szCs w:val="32"/>
          <w:lang w:val="en-US"/>
          <w14:ligatures w14:val="none"/>
        </w:rPr>
      </w:pPr>
      <w:r w:rsidRPr="00ED2CF3">
        <w:rPr>
          <w:rFonts w:ascii="Arial" w:eastAsia="Arial" w:hAnsi="Arial" w:cs="Arial"/>
          <w:b/>
          <w:bCs/>
          <w:color w:val="1F3864"/>
          <w:kern w:val="0"/>
          <w:sz w:val="32"/>
          <w:szCs w:val="32"/>
          <w:lang w:val="en-US"/>
          <w14:ligatures w14:val="none"/>
        </w:rPr>
        <w:t>Stage 2: Shiny Application Architecture</w:t>
      </w:r>
    </w:p>
    <w:p w14:paraId="6F6D7B24"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color w:val="000000"/>
          <w:kern w:val="0"/>
          <w:sz w:val="20"/>
          <w:szCs w:val="20"/>
          <w:lang w:val="en-US"/>
          <w14:ligatures w14:val="none"/>
        </w:rPr>
        <w:t>The Shiny decision-support tool is the primary policy-facing output of the project — the interface through which the conceptual framework and quantified indicators (Stages 1 and 3) become usable by marine planners, fisheries managers, regional governments, and civil society organisations. It also serves as a demonstration of methodological feasibility in the grant proposal.</w:t>
      </w:r>
    </w:p>
    <w:p w14:paraId="5619F975" w14:textId="77777777" w:rsidR="00ED2CF3" w:rsidRPr="00ED2CF3" w:rsidRDefault="00ED2CF3" w:rsidP="00ED2CF3">
      <w:pPr>
        <w:spacing w:before="60" w:after="0" w:line="240" w:lineRule="auto"/>
        <w:rPr>
          <w:rFonts w:ascii="Arial" w:eastAsia="Arial" w:hAnsi="Arial" w:cs="Arial"/>
          <w:kern w:val="0"/>
          <w:sz w:val="20"/>
          <w:szCs w:val="20"/>
          <w:lang w:val="en-US"/>
          <w14:ligatures w14:val="none"/>
        </w:rPr>
      </w:pPr>
    </w:p>
    <w:p w14:paraId="3D83CE34" w14:textId="77777777" w:rsidR="00ED2CF3" w:rsidRPr="00ED2CF3" w:rsidRDefault="00ED2CF3" w:rsidP="00ED2CF3">
      <w:pPr>
        <w:pBdr>
          <w:bottom w:val="single" w:sz="4" w:space="4" w:color="2E75B6"/>
        </w:pBdr>
        <w:spacing w:before="280" w:after="100" w:line="240" w:lineRule="auto"/>
        <w:outlineLvl w:val="1"/>
        <w:rPr>
          <w:rFonts w:ascii="Arial" w:eastAsia="Arial" w:hAnsi="Arial" w:cs="Arial"/>
          <w:b/>
          <w:bCs/>
          <w:color w:val="2E75B6"/>
          <w:kern w:val="0"/>
          <w:sz w:val="26"/>
          <w:szCs w:val="26"/>
          <w:lang w:val="en-US"/>
          <w14:ligatures w14:val="none"/>
        </w:rPr>
      </w:pPr>
      <w:r w:rsidRPr="00ED2CF3">
        <w:rPr>
          <w:rFonts w:ascii="Arial" w:eastAsia="Arial" w:hAnsi="Arial" w:cs="Arial"/>
          <w:b/>
          <w:bCs/>
          <w:color w:val="2E75B6"/>
          <w:kern w:val="0"/>
          <w:sz w:val="26"/>
          <w:szCs w:val="26"/>
          <w:lang w:val="en-US"/>
          <w14:ligatures w14:val="none"/>
        </w:rPr>
        <w:t>Application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D2CF3" w:rsidRPr="00ED2CF3" w14:paraId="1526F796" w14:textId="77777777" w:rsidTr="00BE06A1">
        <w:tblPrEx>
          <w:tblCellMar>
            <w:top w:w="0" w:type="dxa"/>
            <w:bottom w:w="0" w:type="dxa"/>
          </w:tblCellMar>
        </w:tblPrEx>
        <w:tc>
          <w:tcPr>
            <w:tcW w:w="9026" w:type="dxa"/>
            <w:tcBorders>
              <w:top w:val="nil"/>
              <w:left w:val="nil"/>
              <w:bottom w:val="nil"/>
              <w:right w:val="nil"/>
            </w:tcBorders>
            <w:shd w:val="clear" w:color="auto" w:fill="D6E4F0"/>
            <w:tcMar>
              <w:top w:w="160" w:type="dxa"/>
              <w:left w:w="200" w:type="dxa"/>
              <w:bottom w:w="160" w:type="dxa"/>
              <w:right w:w="200" w:type="dxa"/>
            </w:tcMar>
          </w:tcPr>
          <w:p w14:paraId="048A6C6C" w14:textId="77777777" w:rsidR="00ED2CF3" w:rsidRPr="00ED2CF3" w:rsidRDefault="00ED2CF3" w:rsidP="00ED2CF3">
            <w:pPr>
              <w:spacing w:before="60" w:after="40" w:line="240" w:lineRule="auto"/>
              <w:rPr>
                <w:rFonts w:ascii="Arial" w:eastAsia="Arial" w:hAnsi="Arial" w:cs="Arial"/>
                <w:kern w:val="0"/>
                <w:sz w:val="20"/>
                <w:szCs w:val="20"/>
                <w:lang w:val="en-US"/>
                <w14:ligatures w14:val="none"/>
              </w:rPr>
            </w:pPr>
            <w:r w:rsidRPr="00ED2CF3">
              <w:rPr>
                <w:rFonts w:ascii="Arial" w:eastAsia="Arial" w:hAnsi="Arial" w:cs="Arial"/>
                <w:b/>
                <w:bCs/>
                <w:color w:val="1F3864"/>
                <w:kern w:val="0"/>
                <w:sz w:val="20"/>
                <w:szCs w:val="20"/>
                <w:lang w:val="en-US"/>
                <w14:ligatures w14:val="none"/>
              </w:rPr>
              <w:t xml:space="preserve">Working title: </w:t>
            </w:r>
            <w:r w:rsidRPr="00ED2CF3">
              <w:rPr>
                <w:rFonts w:ascii="Arial" w:eastAsia="Arial" w:hAnsi="Arial" w:cs="Arial"/>
                <w:i/>
                <w:iCs/>
                <w:kern w:val="0"/>
                <w:sz w:val="20"/>
                <w:szCs w:val="20"/>
                <w:lang w:val="en-US"/>
                <w14:ligatures w14:val="none"/>
              </w:rPr>
              <w:t>NatureJust-EU — A Decision-Support Tool for Equitable Biodiversity Governance</w:t>
            </w:r>
          </w:p>
          <w:p w14:paraId="4D6E224E" w14:textId="77777777" w:rsidR="00ED2CF3" w:rsidRPr="00ED2CF3" w:rsidRDefault="00ED2CF3" w:rsidP="00ED2CF3">
            <w:pPr>
              <w:spacing w:before="20" w:after="60" w:line="240" w:lineRule="auto"/>
              <w:rPr>
                <w:rFonts w:ascii="Arial" w:eastAsia="Arial" w:hAnsi="Arial" w:cs="Arial"/>
                <w:kern w:val="0"/>
                <w:sz w:val="20"/>
                <w:szCs w:val="20"/>
                <w:lang w:val="en-US"/>
                <w14:ligatures w14:val="none"/>
              </w:rPr>
            </w:pPr>
            <w:r w:rsidRPr="00ED2CF3">
              <w:rPr>
                <w:rFonts w:ascii="Arial" w:eastAsia="Arial" w:hAnsi="Arial" w:cs="Arial"/>
                <w:color w:val="595959"/>
                <w:kern w:val="0"/>
                <w:sz w:val="18"/>
                <w:szCs w:val="18"/>
                <w:lang w:val="en-US"/>
                <w14:ligatures w14:val="none"/>
              </w:rPr>
              <w:t>Stack: R Shiny + Leaflet + Plotly + tidyverse | Deployable via shinyapps.io or Docker | Open source (GitHub)</w:t>
            </w:r>
          </w:p>
        </w:tc>
      </w:tr>
    </w:tbl>
    <w:p w14:paraId="12F4E287" w14:textId="77777777" w:rsidR="00ED2CF3" w:rsidRPr="00ED2CF3" w:rsidRDefault="00ED2CF3" w:rsidP="00ED2CF3">
      <w:pPr>
        <w:spacing w:before="80" w:after="0" w:line="240" w:lineRule="auto"/>
        <w:rPr>
          <w:rFonts w:ascii="Arial" w:eastAsia="Arial" w:hAnsi="Arial" w:cs="Arial"/>
          <w:kern w:val="0"/>
          <w:sz w:val="20"/>
          <w:szCs w:val="20"/>
          <w:lang w:val="en-US"/>
          <w14:ligatures w14:val="none"/>
        </w:rPr>
      </w:pPr>
    </w:p>
    <w:p w14:paraId="57A30EE3" w14:textId="77777777" w:rsidR="00ED2CF3" w:rsidRPr="00ED2CF3" w:rsidRDefault="00ED2CF3" w:rsidP="00ED2CF3">
      <w:pPr>
        <w:pBdr>
          <w:bottom w:val="single" w:sz="4" w:space="4" w:color="2E75B6"/>
        </w:pBdr>
        <w:spacing w:before="280" w:after="100" w:line="240" w:lineRule="auto"/>
        <w:outlineLvl w:val="1"/>
        <w:rPr>
          <w:rFonts w:ascii="Arial" w:eastAsia="Arial" w:hAnsi="Arial" w:cs="Arial"/>
          <w:b/>
          <w:bCs/>
          <w:color w:val="2E75B6"/>
          <w:kern w:val="0"/>
          <w:sz w:val="26"/>
          <w:szCs w:val="26"/>
          <w:lang w:val="en-US"/>
          <w14:ligatures w14:val="none"/>
        </w:rPr>
      </w:pPr>
      <w:r w:rsidRPr="00ED2CF3">
        <w:rPr>
          <w:rFonts w:ascii="Arial" w:eastAsia="Arial" w:hAnsi="Arial" w:cs="Arial"/>
          <w:b/>
          <w:bCs/>
          <w:color w:val="2E75B6"/>
          <w:kern w:val="0"/>
          <w:sz w:val="26"/>
          <w:szCs w:val="26"/>
          <w:lang w:val="en-US"/>
          <w14:ligatures w14:val="none"/>
        </w:rPr>
        <w:t>Module Architecture</w:t>
      </w:r>
    </w:p>
    <w:p w14:paraId="257EFCFF" w14:textId="77777777" w:rsidR="00ED2CF3" w:rsidRPr="00ED2CF3" w:rsidRDefault="00ED2CF3" w:rsidP="00ED2CF3">
      <w:pPr>
        <w:spacing w:before="200" w:after="80" w:line="240" w:lineRule="auto"/>
        <w:outlineLvl w:val="2"/>
        <w:rPr>
          <w:rFonts w:ascii="Arial" w:eastAsia="Arial" w:hAnsi="Arial" w:cs="Arial"/>
          <w:b/>
          <w:bCs/>
          <w:color w:val="1F3864"/>
          <w:kern w:val="0"/>
          <w:sz w:val="22"/>
          <w:szCs w:val="22"/>
          <w:lang w:val="en-US"/>
          <w14:ligatures w14:val="none"/>
        </w:rPr>
      </w:pPr>
      <w:r w:rsidRPr="00ED2CF3">
        <w:rPr>
          <w:rFonts w:ascii="Arial" w:eastAsia="Arial" w:hAnsi="Arial" w:cs="Arial"/>
          <w:b/>
          <w:bCs/>
          <w:color w:val="1F3864"/>
          <w:kern w:val="0"/>
          <w:sz w:val="22"/>
          <w:szCs w:val="22"/>
          <w:lang w:val="en-US"/>
          <w14:ligatures w14:val="none"/>
        </w:rPr>
        <w:t>Module 0 — Home and Navigation</w:t>
      </w:r>
    </w:p>
    <w:p w14:paraId="13BC9702"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color w:val="000000"/>
          <w:kern w:val="0"/>
          <w:sz w:val="20"/>
          <w:szCs w:val="20"/>
          <w:lang w:val="en-US"/>
          <w14:ligatures w14:val="none"/>
        </w:rPr>
        <w:t>Landing page with the NFF triangle as an interactive entry point. Users click on the triangle vertex or edge most relevant to their role (conservationist, fisheries manager, coastal planner) and are routed to the most relevant module. Includes a brief tutorial on the NFF-GBF-Justice framework.</w:t>
      </w:r>
    </w:p>
    <w:p w14:paraId="44F9EF6F" w14:textId="77777777" w:rsidR="00ED2CF3" w:rsidRPr="00ED2CF3" w:rsidRDefault="00ED2CF3" w:rsidP="00ED2CF3">
      <w:pPr>
        <w:spacing w:before="200" w:after="80" w:line="240" w:lineRule="auto"/>
        <w:outlineLvl w:val="2"/>
        <w:rPr>
          <w:rFonts w:ascii="Arial" w:eastAsia="Arial" w:hAnsi="Arial" w:cs="Arial"/>
          <w:b/>
          <w:bCs/>
          <w:color w:val="1F3864"/>
          <w:kern w:val="0"/>
          <w:sz w:val="22"/>
          <w:szCs w:val="22"/>
          <w:lang w:val="en-US"/>
          <w14:ligatures w14:val="none"/>
        </w:rPr>
      </w:pPr>
      <w:r w:rsidRPr="00ED2CF3">
        <w:rPr>
          <w:rFonts w:ascii="Arial" w:eastAsia="Arial" w:hAnsi="Arial" w:cs="Arial"/>
          <w:b/>
          <w:bCs/>
          <w:color w:val="1F3864"/>
          <w:kern w:val="0"/>
          <w:sz w:val="22"/>
          <w:szCs w:val="22"/>
          <w:lang w:val="en-US"/>
          <w14:ligatures w14:val="none"/>
        </w:rPr>
        <w:t>Module 1 — Spatial Equity Diagnostic</w:t>
      </w:r>
    </w:p>
    <w:p w14:paraId="436348A5"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b/>
          <w:bCs/>
          <w:kern w:val="0"/>
          <w:sz w:val="20"/>
          <w:szCs w:val="20"/>
          <w:lang w:val="en-US"/>
          <w14:ligatures w14:val="none"/>
        </w:rPr>
        <w:t xml:space="preserve">Purpose: </w:t>
      </w:r>
      <w:r w:rsidRPr="00ED2CF3">
        <w:rPr>
          <w:rFonts w:ascii="Arial" w:eastAsia="Arial" w:hAnsi="Arial" w:cs="Arial"/>
          <w:kern w:val="0"/>
          <w:sz w:val="20"/>
          <w:szCs w:val="20"/>
          <w:lang w:val="en-US"/>
          <w14:ligatures w14:val="none"/>
        </w:rPr>
        <w:t>Reveal where conservation needs are highest and social risk is simultaneously greatest — the equity hotspots that require just transition-style interventions.</w:t>
      </w:r>
    </w:p>
    <w:p w14:paraId="52E6BB2E" w14:textId="77777777" w:rsidR="00ED2CF3" w:rsidRPr="00ED2CF3" w:rsidRDefault="00ED2CF3" w:rsidP="00ED2CF3">
      <w:pPr>
        <w:spacing w:before="40" w:after="0" w:line="240" w:lineRule="auto"/>
        <w:rPr>
          <w:rFonts w:ascii="Arial" w:eastAsia="Arial" w:hAnsi="Arial" w:cs="Arial"/>
          <w:kern w:val="0"/>
          <w:sz w:val="20"/>
          <w:szCs w:val="20"/>
          <w:lang w:val="en-US"/>
          <w14:ligatures w14:val="none"/>
        </w:rPr>
      </w:pPr>
    </w:p>
    <w:p w14:paraId="78A7BA5C"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color w:val="000000"/>
          <w:kern w:val="0"/>
          <w:sz w:val="20"/>
          <w:szCs w:val="20"/>
          <w:lang w:val="en-US"/>
          <w14:ligatures w14:val="none"/>
        </w:rPr>
        <w:t>Key components:</w:t>
      </w:r>
    </w:p>
    <w:p w14:paraId="55A555C7"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Interactive map (Leaflet) showing: Natura 2000 / Marine Protected Area coverage; protected area gaps requiring 30x30 expansion; Eurostat regional socio-economic vulnerability index; EMFAF small-scale fisheries dependency index; NRL habitat restoration priority zones</w:t>
      </w:r>
    </w:p>
    <w:p w14:paraId="42D8A4F6"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Overlap analysis: spatial correlation between conservation pressure and socio-economic fragility — identifying where the costs and benefits of GBF targets are most unevenly distributed</w:t>
      </w:r>
    </w:p>
    <w:p w14:paraId="0C3D39E7"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Filter controls by country, sea basin (Baltic, North Sea, Atlantic, Mediterranean, Black Sea), ecosystem type, and GBF target</w:t>
      </w:r>
    </w:p>
    <w:p w14:paraId="23E2FFCD" w14:textId="77777777" w:rsidR="00ED2CF3" w:rsidRPr="00ED2CF3" w:rsidRDefault="00ED2CF3" w:rsidP="00ED2CF3">
      <w:pPr>
        <w:spacing w:before="40" w:after="0" w:line="240" w:lineRule="auto"/>
        <w:rPr>
          <w:rFonts w:ascii="Arial" w:eastAsia="Arial" w:hAnsi="Arial" w:cs="Arial"/>
          <w:kern w:val="0"/>
          <w:sz w:val="20"/>
          <w:szCs w:val="20"/>
          <w:lang w:val="en-US"/>
          <w14:ligatures w14:val="none"/>
        </w:rPr>
      </w:pPr>
    </w:p>
    <w:p w14:paraId="567C2DBE"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color w:val="000000"/>
          <w:kern w:val="0"/>
          <w:sz w:val="20"/>
          <w:szCs w:val="20"/>
          <w:lang w:val="en-US"/>
          <w14:ligatures w14:val="none"/>
        </w:rPr>
        <w:t>R packages: leaflet, sf, terra, dplyr, eurostat (Eurostat API), rnaturalearth</w:t>
      </w:r>
    </w:p>
    <w:p w14:paraId="74F3BCCB" w14:textId="77777777" w:rsidR="00ED2CF3" w:rsidRPr="00ED2CF3" w:rsidRDefault="00ED2CF3" w:rsidP="00ED2CF3">
      <w:pPr>
        <w:spacing w:before="200" w:after="80" w:line="240" w:lineRule="auto"/>
        <w:outlineLvl w:val="2"/>
        <w:rPr>
          <w:rFonts w:ascii="Arial" w:eastAsia="Arial" w:hAnsi="Arial" w:cs="Arial"/>
          <w:b/>
          <w:bCs/>
          <w:color w:val="1F3864"/>
          <w:kern w:val="0"/>
          <w:sz w:val="22"/>
          <w:szCs w:val="22"/>
          <w:lang w:val="en-US"/>
          <w14:ligatures w14:val="none"/>
        </w:rPr>
      </w:pPr>
      <w:r w:rsidRPr="00ED2CF3">
        <w:rPr>
          <w:rFonts w:ascii="Arial" w:eastAsia="Arial" w:hAnsi="Arial" w:cs="Arial"/>
          <w:b/>
          <w:bCs/>
          <w:color w:val="1F3864"/>
          <w:kern w:val="0"/>
          <w:sz w:val="22"/>
          <w:szCs w:val="22"/>
          <w:lang w:val="en-US"/>
          <w14:ligatures w14:val="none"/>
        </w:rPr>
        <w:t>Module 2 — NFF Scenario Explorer</w:t>
      </w:r>
    </w:p>
    <w:p w14:paraId="459EB1BB"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b/>
          <w:bCs/>
          <w:kern w:val="0"/>
          <w:sz w:val="20"/>
          <w:szCs w:val="20"/>
          <w:lang w:val="en-US"/>
          <w14:ligatures w14:val="none"/>
        </w:rPr>
        <w:t xml:space="preserve">Purpose: </w:t>
      </w:r>
      <w:r w:rsidRPr="00ED2CF3">
        <w:rPr>
          <w:rFonts w:ascii="Arial" w:eastAsia="Arial" w:hAnsi="Arial" w:cs="Arial"/>
          <w:kern w:val="0"/>
          <w:sz w:val="20"/>
          <w:szCs w:val="20"/>
          <w:lang w:val="en-US"/>
          <w14:ligatures w14:val="none"/>
        </w:rPr>
        <w:t>Allow users to construct and compare biodiversity futures by adjusting the weight given to each NFF perspective, and see the projected ecological and socio-economic consequences.</w:t>
      </w:r>
    </w:p>
    <w:p w14:paraId="741521AE" w14:textId="77777777" w:rsidR="00ED2CF3" w:rsidRPr="00ED2CF3" w:rsidRDefault="00ED2CF3" w:rsidP="00ED2CF3">
      <w:pPr>
        <w:spacing w:before="40" w:after="0" w:line="240" w:lineRule="auto"/>
        <w:rPr>
          <w:rFonts w:ascii="Arial" w:eastAsia="Arial" w:hAnsi="Arial" w:cs="Arial"/>
          <w:kern w:val="0"/>
          <w:sz w:val="20"/>
          <w:szCs w:val="20"/>
          <w:lang w:val="en-US"/>
          <w14:ligatures w14:val="none"/>
        </w:rPr>
      </w:pPr>
    </w:p>
    <w:p w14:paraId="69BA0CBD"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color w:val="000000"/>
          <w:kern w:val="0"/>
          <w:sz w:val="20"/>
          <w:szCs w:val="20"/>
          <w:lang w:val="en-US"/>
          <w14:ligatures w14:val="none"/>
        </w:rPr>
        <w:t>Key components:</w:t>
      </w:r>
    </w:p>
    <w:p w14:paraId="2187AAAB"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NFF triangle input: interactive ternary plot (ggtern or custom) where users drag a point to specify their preferred balance of Nature for Nature / Nature for Society / Nature as Culture. Translates to SSP-aligned socio-economic assumptions and NFF scenario archetype.</w:t>
      </w:r>
    </w:p>
    <w:p w14:paraId="6CAB2D32"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lastRenderedPageBreak/>
        <w:t>Scenario projection output: for a chosen region and time horizon (2030, 2040, 2050), shows projected trends in: habitat condition index; ecosystem services bundle; livelihoods and employment in nature-dependent sectors; distributional equity score across income quintiles</w:t>
      </w:r>
    </w:p>
    <w:p w14:paraId="7DF1D783"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Multi-scenario comparison: users can define up to 4 scenarios and compare their outcomes across a radar chart (ecological dimensions) and stacked bar chart (justice dimensions)</w:t>
      </w:r>
    </w:p>
    <w:p w14:paraId="41E5C2A3"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GBF compliance check: automatic overlay showing which GBF targets are met, partly met, or missed under each scenario</w:t>
      </w:r>
    </w:p>
    <w:p w14:paraId="2668BF68" w14:textId="77777777" w:rsidR="00ED2CF3" w:rsidRPr="00ED2CF3" w:rsidRDefault="00ED2CF3" w:rsidP="00ED2CF3">
      <w:pPr>
        <w:spacing w:before="40" w:after="0" w:line="240" w:lineRule="auto"/>
        <w:rPr>
          <w:rFonts w:ascii="Arial" w:eastAsia="Arial" w:hAnsi="Arial" w:cs="Arial"/>
          <w:kern w:val="0"/>
          <w:sz w:val="20"/>
          <w:szCs w:val="20"/>
          <w:lang w:val="en-US"/>
          <w14:ligatures w14:val="none"/>
        </w:rPr>
      </w:pPr>
    </w:p>
    <w:p w14:paraId="1B83CA9B"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color w:val="000000"/>
          <w:kern w:val="0"/>
          <w:sz w:val="20"/>
          <w:szCs w:val="20"/>
          <w:lang w:val="en-US"/>
          <w14:ligatures w14:val="none"/>
        </w:rPr>
        <w:t>R packages: ggtern, plotly, tidyr, purrr, shinyWidgets</w:t>
      </w:r>
    </w:p>
    <w:p w14:paraId="2A005D46" w14:textId="77777777" w:rsidR="00ED2CF3" w:rsidRPr="00ED2CF3" w:rsidRDefault="00ED2CF3" w:rsidP="00ED2CF3">
      <w:pPr>
        <w:spacing w:before="200" w:after="80" w:line="240" w:lineRule="auto"/>
        <w:outlineLvl w:val="2"/>
        <w:rPr>
          <w:rFonts w:ascii="Arial" w:eastAsia="Arial" w:hAnsi="Arial" w:cs="Arial"/>
          <w:b/>
          <w:bCs/>
          <w:color w:val="1F3864"/>
          <w:kern w:val="0"/>
          <w:sz w:val="22"/>
          <w:szCs w:val="22"/>
          <w:lang w:val="en-US"/>
          <w14:ligatures w14:val="none"/>
        </w:rPr>
      </w:pPr>
      <w:r w:rsidRPr="00ED2CF3">
        <w:rPr>
          <w:rFonts w:ascii="Arial" w:eastAsia="Arial" w:hAnsi="Arial" w:cs="Arial"/>
          <w:b/>
          <w:bCs/>
          <w:color w:val="1F3864"/>
          <w:kern w:val="0"/>
          <w:sz w:val="22"/>
          <w:szCs w:val="22"/>
          <w:lang w:val="en-US"/>
          <w14:ligatures w14:val="none"/>
        </w:rPr>
        <w:t>Module 3 — Justice Impact Assessment</w:t>
      </w:r>
    </w:p>
    <w:p w14:paraId="6B070C69"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b/>
          <w:bCs/>
          <w:kern w:val="0"/>
          <w:sz w:val="20"/>
          <w:szCs w:val="20"/>
          <w:lang w:val="en-US"/>
          <w14:ligatures w14:val="none"/>
        </w:rPr>
        <w:t xml:space="preserve">Purpose: </w:t>
      </w:r>
      <w:r w:rsidRPr="00ED2CF3">
        <w:rPr>
          <w:rFonts w:ascii="Arial" w:eastAsia="Arial" w:hAnsi="Arial" w:cs="Arial"/>
          <w:kern w:val="0"/>
          <w:sz w:val="20"/>
          <w:szCs w:val="20"/>
          <w:lang w:val="en-US"/>
          <w14:ligatures w14:val="none"/>
        </w:rPr>
        <w:t>Evaluate a proposed conservation or restoration intervention against the four environmental justice dimensions, generating a structured equity impact report.</w:t>
      </w:r>
    </w:p>
    <w:p w14:paraId="08740B03" w14:textId="77777777" w:rsidR="00ED2CF3" w:rsidRPr="00ED2CF3" w:rsidRDefault="00ED2CF3" w:rsidP="00ED2CF3">
      <w:pPr>
        <w:spacing w:before="40" w:after="0" w:line="240" w:lineRule="auto"/>
        <w:rPr>
          <w:rFonts w:ascii="Arial" w:eastAsia="Arial" w:hAnsi="Arial" w:cs="Arial"/>
          <w:kern w:val="0"/>
          <w:sz w:val="20"/>
          <w:szCs w:val="20"/>
          <w:lang w:val="en-US"/>
          <w14:ligatures w14:val="none"/>
        </w:rPr>
      </w:pPr>
    </w:p>
    <w:p w14:paraId="66D73719"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color w:val="000000"/>
          <w:kern w:val="0"/>
          <w:sz w:val="20"/>
          <w:szCs w:val="20"/>
          <w:lang w:val="en-US"/>
          <w14:ligatures w14:val="none"/>
        </w:rPr>
        <w:t>Key components:</w:t>
      </w:r>
    </w:p>
    <w:p w14:paraId="69699F15"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Intervention selector: user describes or selects a proposed intervention (e.g., MPA establishment, seagrass restoration, offshore wind siting) and target area</w:t>
      </w:r>
    </w:p>
    <w:p w14:paraId="1408E324"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Justice scorecard: four-quadrant display scoring the intervention on distributional, procedural, recognitional, and restorative justice dimensions, with traffic-light indicators</w:t>
      </w:r>
    </w:p>
    <w:p w14:paraId="33FE8EE1"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Gap analysis: identifies which justice dimensions are unaddressed and suggests compensatory mechanisms from the EU policy toolkit (EMFAF payment schemes, Just Transition Fund, Aarhus-based participation procedures)</w:t>
      </w:r>
    </w:p>
    <w:p w14:paraId="47BC2D6C"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Downloadable report: generates a structured PDF justice impact assessment report for use in stakeholder consultations and NRL implementation planning</w:t>
      </w:r>
    </w:p>
    <w:p w14:paraId="1927605A" w14:textId="77777777" w:rsidR="00ED2CF3" w:rsidRPr="00ED2CF3" w:rsidRDefault="00ED2CF3" w:rsidP="00ED2CF3">
      <w:pPr>
        <w:spacing w:before="40" w:after="0" w:line="240" w:lineRule="auto"/>
        <w:rPr>
          <w:rFonts w:ascii="Arial" w:eastAsia="Arial" w:hAnsi="Arial" w:cs="Arial"/>
          <w:kern w:val="0"/>
          <w:sz w:val="20"/>
          <w:szCs w:val="20"/>
          <w:lang w:val="en-US"/>
          <w14:ligatures w14:val="none"/>
        </w:rPr>
      </w:pPr>
    </w:p>
    <w:p w14:paraId="16A8278D"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color w:val="000000"/>
          <w:kern w:val="0"/>
          <w:sz w:val="20"/>
          <w:szCs w:val="20"/>
          <w:lang w:val="en-US"/>
          <w14:ligatures w14:val="none"/>
        </w:rPr>
        <w:t>R packages: rmarkdown, knitr, DT, shinyjs</w:t>
      </w:r>
    </w:p>
    <w:p w14:paraId="4C02114E" w14:textId="77777777" w:rsidR="00ED2CF3" w:rsidRPr="00ED2CF3" w:rsidRDefault="00ED2CF3" w:rsidP="00ED2CF3">
      <w:pPr>
        <w:spacing w:before="200" w:after="80" w:line="240" w:lineRule="auto"/>
        <w:outlineLvl w:val="2"/>
        <w:rPr>
          <w:rFonts w:ascii="Arial" w:eastAsia="Arial" w:hAnsi="Arial" w:cs="Arial"/>
          <w:b/>
          <w:bCs/>
          <w:color w:val="1F3864"/>
          <w:kern w:val="0"/>
          <w:sz w:val="22"/>
          <w:szCs w:val="22"/>
          <w:lang w:val="en-US"/>
          <w14:ligatures w14:val="none"/>
        </w:rPr>
      </w:pPr>
      <w:r w:rsidRPr="00ED2CF3">
        <w:rPr>
          <w:rFonts w:ascii="Arial" w:eastAsia="Arial" w:hAnsi="Arial" w:cs="Arial"/>
          <w:b/>
          <w:bCs/>
          <w:color w:val="1F3864"/>
          <w:kern w:val="0"/>
          <w:sz w:val="22"/>
          <w:szCs w:val="22"/>
          <w:lang w:val="en-US"/>
          <w14:ligatures w14:val="none"/>
        </w:rPr>
        <w:t>Module 4 — Governance and Funding Alignment</w:t>
      </w:r>
    </w:p>
    <w:p w14:paraId="065EC950"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b/>
          <w:bCs/>
          <w:kern w:val="0"/>
          <w:sz w:val="20"/>
          <w:szCs w:val="20"/>
          <w:lang w:val="en-US"/>
          <w14:ligatures w14:val="none"/>
        </w:rPr>
        <w:t xml:space="preserve">Purpose: </w:t>
      </w:r>
      <w:r w:rsidRPr="00ED2CF3">
        <w:rPr>
          <w:rFonts w:ascii="Arial" w:eastAsia="Arial" w:hAnsi="Arial" w:cs="Arial"/>
          <w:kern w:val="0"/>
          <w:sz w:val="20"/>
          <w:szCs w:val="20"/>
          <w:lang w:val="en-US"/>
          <w14:ligatures w14:val="none"/>
        </w:rPr>
        <w:t>Map proposed interventions against existing EU funding instruments and governance requirements, identifying opportunities and gaps.</w:t>
      </w:r>
    </w:p>
    <w:p w14:paraId="7D5DABB8" w14:textId="77777777" w:rsidR="00ED2CF3" w:rsidRPr="00ED2CF3" w:rsidRDefault="00ED2CF3" w:rsidP="00ED2CF3">
      <w:pPr>
        <w:spacing w:before="40" w:after="0" w:line="240" w:lineRule="auto"/>
        <w:rPr>
          <w:rFonts w:ascii="Arial" w:eastAsia="Arial" w:hAnsi="Arial" w:cs="Arial"/>
          <w:kern w:val="0"/>
          <w:sz w:val="20"/>
          <w:szCs w:val="20"/>
          <w:lang w:val="en-US"/>
          <w14:ligatures w14:val="none"/>
        </w:rPr>
      </w:pPr>
    </w:p>
    <w:p w14:paraId="0D91B1C0"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color w:val="000000"/>
          <w:kern w:val="0"/>
          <w:sz w:val="20"/>
          <w:szCs w:val="20"/>
          <w:lang w:val="en-US"/>
          <w14:ligatures w14:val="none"/>
        </w:rPr>
        <w:t>Key components:</w:t>
      </w:r>
    </w:p>
    <w:p w14:paraId="295CC8A0"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Instrument matrix: interactive table matching intervention types to EMFAF, LIFE, Cohesion Fund, EARDF, and Just Transition Fund eligibility criteria</w:t>
      </w:r>
    </w:p>
    <w:p w14:paraId="67896C9A"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CFP alignment checker: flags where proposed marine conservation measures require or conflict with CFP management plans</w:t>
      </w:r>
    </w:p>
    <w:p w14:paraId="1E183EEB"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Stakeholder inclusion tracker: tracks which actor groups have been consulted in a planning process and highlights procedural justice gaps relative to GBF Target 22 requirements</w:t>
      </w:r>
    </w:p>
    <w:p w14:paraId="23327139" w14:textId="77777777" w:rsidR="00ED2CF3" w:rsidRPr="00ED2CF3" w:rsidRDefault="00ED2CF3" w:rsidP="00ED2CF3">
      <w:pPr>
        <w:spacing w:before="200" w:after="80" w:line="240" w:lineRule="auto"/>
        <w:outlineLvl w:val="2"/>
        <w:rPr>
          <w:rFonts w:ascii="Arial" w:eastAsia="Arial" w:hAnsi="Arial" w:cs="Arial"/>
          <w:b/>
          <w:bCs/>
          <w:color w:val="1F3864"/>
          <w:kern w:val="0"/>
          <w:sz w:val="22"/>
          <w:szCs w:val="22"/>
          <w:lang w:val="en-US"/>
          <w14:ligatures w14:val="none"/>
        </w:rPr>
      </w:pPr>
      <w:r w:rsidRPr="00ED2CF3">
        <w:rPr>
          <w:rFonts w:ascii="Arial" w:eastAsia="Arial" w:hAnsi="Arial" w:cs="Arial"/>
          <w:b/>
          <w:bCs/>
          <w:color w:val="1F3864"/>
          <w:kern w:val="0"/>
          <w:sz w:val="22"/>
          <w:szCs w:val="22"/>
          <w:lang w:val="en-US"/>
          <w14:ligatures w14:val="none"/>
        </w:rPr>
        <w:t>Module 5 — Indicator Dashboard</w:t>
      </w:r>
    </w:p>
    <w:p w14:paraId="612E65DB"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b/>
          <w:bCs/>
          <w:kern w:val="0"/>
          <w:sz w:val="20"/>
          <w:szCs w:val="20"/>
          <w:lang w:val="en-US"/>
          <w14:ligatures w14:val="none"/>
        </w:rPr>
        <w:t xml:space="preserve">Purpose: </w:t>
      </w:r>
      <w:r w:rsidRPr="00ED2CF3">
        <w:rPr>
          <w:rFonts w:ascii="Arial" w:eastAsia="Arial" w:hAnsi="Arial" w:cs="Arial"/>
          <w:kern w:val="0"/>
          <w:sz w:val="20"/>
          <w:szCs w:val="20"/>
          <w:lang w:val="en-US"/>
          <w14:ligatures w14:val="none"/>
        </w:rPr>
        <w:t>Real-time display of the quantifiable indicator framework (Stage 3) for a user-selected region, with trend analysis and GBF target compliance status.</w:t>
      </w:r>
    </w:p>
    <w:p w14:paraId="4C066DB5" w14:textId="77777777" w:rsidR="00ED2CF3" w:rsidRPr="00ED2CF3" w:rsidRDefault="00ED2CF3" w:rsidP="00ED2CF3">
      <w:pPr>
        <w:spacing w:before="40" w:after="0" w:line="240" w:lineRule="auto"/>
        <w:rPr>
          <w:rFonts w:ascii="Arial" w:eastAsia="Arial" w:hAnsi="Arial" w:cs="Arial"/>
          <w:kern w:val="0"/>
          <w:sz w:val="20"/>
          <w:szCs w:val="20"/>
          <w:lang w:val="en-US"/>
          <w14:ligatures w14:val="none"/>
        </w:rPr>
      </w:pPr>
    </w:p>
    <w:p w14:paraId="2DAB88DB" w14:textId="77777777" w:rsidR="00ED2CF3" w:rsidRPr="00ED2CF3" w:rsidRDefault="00ED2CF3" w:rsidP="00ED2CF3">
      <w:pPr>
        <w:spacing w:before="80" w:after="80" w:line="240" w:lineRule="auto"/>
        <w:jc w:val="both"/>
        <w:rPr>
          <w:rFonts w:ascii="Arial" w:eastAsia="Arial" w:hAnsi="Arial" w:cs="Arial"/>
          <w:kern w:val="0"/>
          <w:sz w:val="20"/>
          <w:szCs w:val="20"/>
          <w:lang w:val="en-US"/>
          <w14:ligatures w14:val="none"/>
        </w:rPr>
      </w:pPr>
      <w:r w:rsidRPr="00ED2CF3">
        <w:rPr>
          <w:rFonts w:ascii="Arial" w:eastAsia="Arial" w:hAnsi="Arial" w:cs="Arial"/>
          <w:color w:val="000000"/>
          <w:kern w:val="0"/>
          <w:sz w:val="20"/>
          <w:szCs w:val="20"/>
          <w:lang w:val="en-US"/>
          <w14:ligatures w14:val="none"/>
        </w:rPr>
        <w:t>Key components:</w:t>
      </w:r>
    </w:p>
    <w:p w14:paraId="28ADF3B4"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Indicator time series with confidence bands (ggplot2 / plotly)</w:t>
      </w:r>
    </w:p>
    <w:p w14:paraId="346B186F"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Traffic-light GBF compliance summary</w:t>
      </w:r>
    </w:p>
    <w:p w14:paraId="0B951E36"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t>Equity trend decomposition: shows whether improvements in ecological indicators are associated with improving or worsening equity outcomes</w:t>
      </w:r>
    </w:p>
    <w:p w14:paraId="72B4C6D2" w14:textId="77777777" w:rsidR="00ED2CF3" w:rsidRPr="00ED2CF3" w:rsidRDefault="00ED2CF3" w:rsidP="00ED2CF3">
      <w:pPr>
        <w:numPr>
          <w:ilvl w:val="0"/>
          <w:numId w:val="1"/>
        </w:numPr>
        <w:spacing w:before="60" w:after="60" w:line="240" w:lineRule="auto"/>
        <w:rPr>
          <w:rFonts w:ascii="Arial" w:eastAsia="Arial" w:hAnsi="Arial" w:cs="Arial"/>
          <w:kern w:val="0"/>
          <w:sz w:val="20"/>
          <w:szCs w:val="20"/>
          <w:lang w:val="en-US"/>
          <w14:ligatures w14:val="none"/>
        </w:rPr>
      </w:pPr>
      <w:r w:rsidRPr="00ED2CF3">
        <w:rPr>
          <w:rFonts w:ascii="Arial" w:eastAsia="Arial" w:hAnsi="Arial" w:cs="Arial"/>
          <w:kern w:val="0"/>
          <w:sz w:val="20"/>
          <w:szCs w:val="20"/>
          <w:lang w:val="en-US"/>
          <w14:ligatures w14:val="none"/>
        </w:rPr>
        <w:lastRenderedPageBreak/>
        <w:t>Data export for integration with national reporting under NRL and GBF</w:t>
      </w:r>
    </w:p>
    <w:p w14:paraId="1C3C51E3" w14:textId="77777777" w:rsidR="00ED2CF3" w:rsidRPr="00ED2CF3" w:rsidRDefault="00ED2CF3" w:rsidP="00ED2CF3">
      <w:pPr>
        <w:spacing w:before="60" w:after="0" w:line="240" w:lineRule="auto"/>
        <w:rPr>
          <w:rFonts w:ascii="Arial" w:eastAsia="Arial" w:hAnsi="Arial" w:cs="Arial"/>
          <w:kern w:val="0"/>
          <w:sz w:val="20"/>
          <w:szCs w:val="20"/>
          <w:lang w:val="en-US"/>
          <w14:ligatures w14:val="none"/>
        </w:rPr>
      </w:pPr>
    </w:p>
    <w:p w14:paraId="511E4502" w14:textId="77777777" w:rsidR="00ED2CF3" w:rsidRPr="00ED2CF3" w:rsidRDefault="00ED2CF3" w:rsidP="00ED2CF3">
      <w:pPr>
        <w:pBdr>
          <w:bottom w:val="single" w:sz="4" w:space="4" w:color="2E75B6"/>
        </w:pBdr>
        <w:spacing w:before="280" w:after="100" w:line="240" w:lineRule="auto"/>
        <w:outlineLvl w:val="1"/>
        <w:rPr>
          <w:rFonts w:ascii="Arial" w:eastAsia="Arial" w:hAnsi="Arial" w:cs="Arial"/>
          <w:b/>
          <w:bCs/>
          <w:color w:val="2E75B6"/>
          <w:kern w:val="0"/>
          <w:sz w:val="26"/>
          <w:szCs w:val="26"/>
          <w:lang w:val="en-US"/>
          <w14:ligatures w14:val="none"/>
        </w:rPr>
      </w:pPr>
      <w:r w:rsidRPr="00ED2CF3">
        <w:rPr>
          <w:rFonts w:ascii="Arial" w:eastAsia="Arial" w:hAnsi="Arial" w:cs="Arial"/>
          <w:b/>
          <w:bCs/>
          <w:color w:val="2E75B6"/>
          <w:kern w:val="0"/>
          <w:sz w:val="26"/>
          <w:szCs w:val="26"/>
          <w:lang w:val="en-US"/>
          <w14:ligatures w14:val="none"/>
        </w:rPr>
        <w:t>Technical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26"/>
        <w:gridCol w:w="3700"/>
      </w:tblGrid>
      <w:tr w:rsidR="00ED2CF3" w:rsidRPr="00ED2CF3" w14:paraId="3E558062" w14:textId="77777777" w:rsidTr="00BE06A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4A4BE0"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b/>
                <w:bCs/>
                <w:color w:val="FFFFFF"/>
                <w:kern w:val="0"/>
                <w:sz w:val="18"/>
                <w:szCs w:val="18"/>
                <w:lang w:val="en-US"/>
                <w14:ligatures w14:val="none"/>
              </w:rPr>
              <w:t>Component</w:t>
            </w:r>
          </w:p>
        </w:tc>
        <w:tc>
          <w:tcPr>
            <w:tcW w:w="2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4D844C"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b/>
                <w:bCs/>
                <w:color w:val="FFFFFF"/>
                <w:kern w:val="0"/>
                <w:sz w:val="18"/>
                <w:szCs w:val="18"/>
                <w:lang w:val="en-US"/>
                <w14:ligatures w14:val="none"/>
              </w:rPr>
              <w:t>Technology</w:t>
            </w:r>
          </w:p>
        </w:tc>
        <w:tc>
          <w:tcPr>
            <w:tcW w:w="3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D95318"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b/>
                <w:bCs/>
                <w:color w:val="FFFFFF"/>
                <w:kern w:val="0"/>
                <w:sz w:val="18"/>
                <w:szCs w:val="18"/>
                <w:lang w:val="en-US"/>
                <w14:ligatures w14:val="none"/>
              </w:rPr>
              <w:t>Notes</w:t>
            </w:r>
          </w:p>
        </w:tc>
      </w:tr>
      <w:tr w:rsidR="00ED2CF3" w:rsidRPr="00ED2CF3" w14:paraId="23476956" w14:textId="77777777" w:rsidTr="00BE06A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2B0012"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UI framework</w:t>
            </w:r>
          </w:p>
        </w:tc>
        <w:tc>
          <w:tcPr>
            <w:tcW w:w="2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AEB5E4"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R Shiny + shinydashboard or bslib</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84AF56"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Responsive, professional layout</w:t>
            </w:r>
          </w:p>
        </w:tc>
      </w:tr>
      <w:tr w:rsidR="00ED2CF3" w:rsidRPr="00ED2CF3" w14:paraId="5DA0A632" w14:textId="77777777" w:rsidTr="00BE06A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0BBB9"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Maps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E5385"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leaflet + sf + terra</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6C859"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Vector and raster spatial layers</w:t>
            </w:r>
          </w:p>
        </w:tc>
      </w:tr>
      <w:tr w:rsidR="00ED2CF3" w:rsidRPr="00ED2CF3" w14:paraId="329469B2" w14:textId="77777777" w:rsidTr="00BE06A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14AEEB"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Interactive plots</w:t>
            </w:r>
          </w:p>
        </w:tc>
        <w:tc>
          <w:tcPr>
            <w:tcW w:w="2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8756A5"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plotly + ggplot2</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13D9B9"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Scenario comparison, radar charts</w:t>
            </w:r>
          </w:p>
        </w:tc>
      </w:tr>
      <w:tr w:rsidR="00ED2CF3" w:rsidRPr="00ED2CF3" w14:paraId="5AACADB0" w14:textId="77777777" w:rsidTr="00BE06A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7A331"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NFF triangle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C33E3"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ggtern + custom Shiny widget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F884C"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Custom ternary input slider</w:t>
            </w:r>
          </w:p>
        </w:tc>
      </w:tr>
      <w:tr w:rsidR="00ED2CF3" w:rsidRPr="00ED2CF3" w14:paraId="26D5312D" w14:textId="77777777" w:rsidTr="00BE06A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90303A"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Data backend</w:t>
            </w:r>
          </w:p>
        </w:tc>
        <w:tc>
          <w:tcPr>
            <w:tcW w:w="2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F96DB25"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dplyr + dbplyr + DuckDB</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61C527"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Fast in-process analytics on large spatial datasets</w:t>
            </w:r>
          </w:p>
        </w:tc>
      </w:tr>
      <w:tr w:rsidR="00ED2CF3" w:rsidRPr="00ED2CF3" w14:paraId="0A1D9783" w14:textId="77777777" w:rsidTr="00BE06A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542D"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EU open data</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63177"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eurostat R package + GBIF API + EMODnet WFS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48A61"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Live data where feasible; cached snapshots for performance</w:t>
            </w:r>
          </w:p>
        </w:tc>
      </w:tr>
      <w:tr w:rsidR="00ED2CF3" w:rsidRPr="00ED2CF3" w14:paraId="31544501" w14:textId="77777777" w:rsidTr="00BE06A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4A4233"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Report generation</w:t>
            </w:r>
          </w:p>
        </w:tc>
        <w:tc>
          <w:tcPr>
            <w:tcW w:w="2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DA6E8D"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rmarkdown + pagedown</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CFF0C3"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Justice impact assessment PDF outputs</w:t>
            </w:r>
          </w:p>
        </w:tc>
      </w:tr>
      <w:tr w:rsidR="00ED2CF3" w:rsidRPr="00ED2CF3" w14:paraId="172CD532" w14:textId="77777777" w:rsidTr="00BE06A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7FAE1"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Deployment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0301A"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shinyapps.io + Docker + Binder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22F49"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Multiple access modes for different user groups</w:t>
            </w:r>
          </w:p>
        </w:tc>
      </w:tr>
      <w:tr w:rsidR="00ED2CF3" w:rsidRPr="00ED2CF3" w14:paraId="40095796" w14:textId="77777777" w:rsidTr="00BE06A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FB9231"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Version control</w:t>
            </w:r>
          </w:p>
        </w:tc>
        <w:tc>
          <w:tcPr>
            <w:tcW w:w="2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243007"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GitHub (public repo)</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53484C" w14:textId="77777777" w:rsidR="00ED2CF3" w:rsidRPr="00ED2CF3" w:rsidRDefault="00ED2CF3" w:rsidP="00ED2CF3">
            <w:pPr>
              <w:spacing w:after="0" w:line="240" w:lineRule="auto"/>
              <w:rPr>
                <w:rFonts w:ascii="Arial" w:eastAsia="Arial" w:hAnsi="Arial" w:cs="Arial"/>
                <w:kern w:val="0"/>
                <w:sz w:val="20"/>
                <w:szCs w:val="20"/>
                <w:lang w:val="en-US"/>
                <w14:ligatures w14:val="none"/>
              </w:rPr>
            </w:pPr>
            <w:r w:rsidRPr="00ED2CF3">
              <w:rPr>
                <w:rFonts w:ascii="Arial" w:eastAsia="Arial" w:hAnsi="Arial" w:cs="Arial"/>
                <w:kern w:val="0"/>
                <w:sz w:val="18"/>
                <w:szCs w:val="18"/>
                <w:lang w:val="en-US"/>
                <w14:ligatures w14:val="none"/>
              </w:rPr>
              <w:t>Open science requirement of Horizon Europe</w:t>
            </w:r>
          </w:p>
        </w:tc>
      </w:tr>
    </w:tbl>
    <w:p w14:paraId="4171F660" w14:textId="77777777" w:rsidR="00ED2CF3" w:rsidRPr="00ED2CF3" w:rsidRDefault="00ED2CF3" w:rsidP="00ED2CF3">
      <w:pPr>
        <w:spacing w:before="60" w:after="0" w:line="240" w:lineRule="auto"/>
        <w:rPr>
          <w:rFonts w:ascii="Arial" w:eastAsia="Arial" w:hAnsi="Arial" w:cs="Arial"/>
          <w:kern w:val="0"/>
          <w:sz w:val="20"/>
          <w:szCs w:val="20"/>
          <w:lang w:val="en-US"/>
          <w14:ligatures w14:val="none"/>
        </w:rPr>
      </w:pPr>
    </w:p>
    <w:p w14:paraId="74D78D67" w14:textId="77777777" w:rsidR="00B07B15" w:rsidRPr="00ED2CF3" w:rsidRDefault="00B07B15">
      <w:pPr>
        <w:rPr>
          <w:lang w:val="en-US"/>
        </w:rPr>
      </w:pPr>
    </w:p>
    <w:sectPr w:rsidR="00B07B15" w:rsidRPr="00ED2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50260"/>
    <w:multiLevelType w:val="hybridMultilevel"/>
    <w:tmpl w:val="987EAB48"/>
    <w:lvl w:ilvl="0" w:tplc="701C641E">
      <w:start w:val="1"/>
      <w:numFmt w:val="bullet"/>
      <w:lvlText w:val="•"/>
      <w:lvlJc w:val="left"/>
      <w:pPr>
        <w:ind w:left="720" w:hanging="360"/>
      </w:pPr>
    </w:lvl>
    <w:lvl w:ilvl="1" w:tplc="5BF08210">
      <w:numFmt w:val="decimal"/>
      <w:lvlText w:val=""/>
      <w:lvlJc w:val="left"/>
    </w:lvl>
    <w:lvl w:ilvl="2" w:tplc="2C5E7C54">
      <w:numFmt w:val="decimal"/>
      <w:lvlText w:val=""/>
      <w:lvlJc w:val="left"/>
    </w:lvl>
    <w:lvl w:ilvl="3" w:tplc="04E40F02">
      <w:numFmt w:val="decimal"/>
      <w:lvlText w:val=""/>
      <w:lvlJc w:val="left"/>
    </w:lvl>
    <w:lvl w:ilvl="4" w:tplc="3656DCBC">
      <w:numFmt w:val="decimal"/>
      <w:lvlText w:val=""/>
      <w:lvlJc w:val="left"/>
    </w:lvl>
    <w:lvl w:ilvl="5" w:tplc="D9E0FC8A">
      <w:numFmt w:val="decimal"/>
      <w:lvlText w:val=""/>
      <w:lvlJc w:val="left"/>
    </w:lvl>
    <w:lvl w:ilvl="6" w:tplc="E8B4C92A">
      <w:numFmt w:val="decimal"/>
      <w:lvlText w:val=""/>
      <w:lvlJc w:val="left"/>
    </w:lvl>
    <w:lvl w:ilvl="7" w:tplc="F3E8BBA4">
      <w:numFmt w:val="decimal"/>
      <w:lvlText w:val=""/>
      <w:lvlJc w:val="left"/>
    </w:lvl>
    <w:lvl w:ilvl="8" w:tplc="286410B6">
      <w:numFmt w:val="decimal"/>
      <w:lvlText w:val=""/>
      <w:lvlJc w:val="left"/>
    </w:lvl>
  </w:abstractNum>
  <w:num w:numId="1" w16cid:durableId="80417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90"/>
    <w:rsid w:val="0038796C"/>
    <w:rsid w:val="004B5169"/>
    <w:rsid w:val="00584190"/>
    <w:rsid w:val="008769A8"/>
    <w:rsid w:val="00A459A5"/>
    <w:rsid w:val="00B07B15"/>
    <w:rsid w:val="00ED2CF3"/>
    <w:rsid w:val="00F05D0F"/>
    <w:rsid w:val="00F82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29C7"/>
  <w15:chartTrackingRefBased/>
  <w15:docId w15:val="{67F0ACAD-0AA5-447C-BDAF-F6C92CEBA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84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19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8419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8419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8419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8419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8419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8419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8419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8419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84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19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84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19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84190"/>
    <w:pPr>
      <w:spacing w:before="160"/>
      <w:jc w:val="center"/>
    </w:pPr>
    <w:rPr>
      <w:i/>
      <w:iCs/>
      <w:color w:val="404040" w:themeColor="text1" w:themeTint="BF"/>
    </w:rPr>
  </w:style>
  <w:style w:type="character" w:customStyle="1" w:styleId="QuoteChar">
    <w:name w:val="Quote Char"/>
    <w:basedOn w:val="DefaultParagraphFont"/>
    <w:link w:val="Quote"/>
    <w:uiPriority w:val="29"/>
    <w:rsid w:val="00584190"/>
    <w:rPr>
      <w:i/>
      <w:iCs/>
      <w:color w:val="404040" w:themeColor="text1" w:themeTint="BF"/>
      <w:lang w:val="en-GB"/>
    </w:rPr>
  </w:style>
  <w:style w:type="paragraph" w:styleId="ListParagraph">
    <w:name w:val="List Paragraph"/>
    <w:basedOn w:val="Normal"/>
    <w:uiPriority w:val="34"/>
    <w:qFormat/>
    <w:rsid w:val="00584190"/>
    <w:pPr>
      <w:ind w:left="720"/>
      <w:contextualSpacing/>
    </w:pPr>
  </w:style>
  <w:style w:type="character" w:styleId="IntenseEmphasis">
    <w:name w:val="Intense Emphasis"/>
    <w:basedOn w:val="DefaultParagraphFont"/>
    <w:uiPriority w:val="21"/>
    <w:qFormat/>
    <w:rsid w:val="00584190"/>
    <w:rPr>
      <w:i/>
      <w:iCs/>
      <w:color w:val="0F4761" w:themeColor="accent1" w:themeShade="BF"/>
    </w:rPr>
  </w:style>
  <w:style w:type="paragraph" w:styleId="IntenseQuote">
    <w:name w:val="Intense Quote"/>
    <w:basedOn w:val="Normal"/>
    <w:next w:val="Normal"/>
    <w:link w:val="IntenseQuoteChar"/>
    <w:uiPriority w:val="30"/>
    <w:qFormat/>
    <w:rsid w:val="00584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190"/>
    <w:rPr>
      <w:i/>
      <w:iCs/>
      <w:color w:val="0F4761" w:themeColor="accent1" w:themeShade="BF"/>
      <w:lang w:val="en-GB"/>
    </w:rPr>
  </w:style>
  <w:style w:type="character" w:styleId="IntenseReference">
    <w:name w:val="Intense Reference"/>
    <w:basedOn w:val="DefaultParagraphFont"/>
    <w:uiPriority w:val="32"/>
    <w:qFormat/>
    <w:rsid w:val="005841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883</Words>
  <Characters>5034</Characters>
  <Application>Microsoft Office Word</Application>
  <DocSecurity>0</DocSecurity>
  <Lines>41</Lines>
  <Paragraphs>11</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Artūras Razinkovas-Baziukas</dc:creator>
  <cp:keywords/>
  <dc:description/>
  <cp:lastModifiedBy>Artūras Razinkovas-Baziukas</cp:lastModifiedBy>
  <cp:revision>2</cp:revision>
  <dcterms:created xsi:type="dcterms:W3CDTF">2026-02-21T09:58:00Z</dcterms:created>
  <dcterms:modified xsi:type="dcterms:W3CDTF">2026-02-21T09:58:00Z</dcterms:modified>
</cp:coreProperties>
</file>