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E9883" w14:textId="77777777" w:rsidR="00361B4F" w:rsidRPr="00C97481" w:rsidRDefault="00361B4F" w:rsidP="00C97481">
      <w:pPr>
        <w:pStyle w:val="Heading1"/>
        <w:spacing w:before="0"/>
        <w:jc w:val="both"/>
        <w:rPr>
          <w:sz w:val="44"/>
          <w:szCs w:val="44"/>
        </w:rPr>
      </w:pPr>
      <w:bookmarkStart w:id="0" w:name="_Toc180925029"/>
      <w:bookmarkStart w:id="1" w:name="_Toc180925685"/>
      <w:bookmarkStart w:id="2" w:name="_Toc181095105"/>
      <w:r w:rsidRPr="00C97481">
        <w:rPr>
          <w:sz w:val="44"/>
          <w:szCs w:val="44"/>
        </w:rPr>
        <w:t>Causal Loop Diagram Model Building</w:t>
      </w:r>
      <w:bookmarkEnd w:id="0"/>
      <w:bookmarkEnd w:id="1"/>
      <w:bookmarkEnd w:id="2"/>
    </w:p>
    <w:p w14:paraId="64CDB753" w14:textId="77777777" w:rsidR="00361B4F" w:rsidRPr="00710F16" w:rsidRDefault="00361B4F" w:rsidP="00C97481">
      <w:pPr>
        <w:pStyle w:val="Subtitle"/>
        <w:jc w:val="both"/>
        <w:rPr>
          <w:rFonts w:ascii="Aptos" w:hAnsi="Aptos"/>
          <w:sz w:val="24"/>
          <w:szCs w:val="24"/>
          <w:lang w:val="en-IE"/>
        </w:rPr>
      </w:pPr>
      <w:r w:rsidRPr="00710F16">
        <w:rPr>
          <w:rFonts w:ascii="Aptos" w:hAnsi="Aptos"/>
          <w:sz w:val="24"/>
          <w:szCs w:val="24"/>
          <w:lang w:val="en-IE"/>
        </w:rPr>
        <w:t>Standard Operating Procedure</w:t>
      </w:r>
    </w:p>
    <w:p w14:paraId="1E434BD6" w14:textId="0CD064F9" w:rsidR="00874C87" w:rsidRPr="00874C87" w:rsidRDefault="00874C87" w:rsidP="00874C87">
      <w:pPr>
        <w:spacing w:after="240"/>
        <w:jc w:val="both"/>
        <w:rPr>
          <w:i/>
          <w:iCs/>
          <w:color w:val="FF0000"/>
        </w:rPr>
      </w:pPr>
      <w:bookmarkStart w:id="3" w:name="_Toc180925030"/>
      <w:bookmarkStart w:id="4" w:name="_Toc180925686"/>
      <w:bookmarkStart w:id="5" w:name="_Toc181095106"/>
      <w:r>
        <w:rPr>
          <w:i/>
          <w:iCs/>
          <w:color w:val="FF0000"/>
        </w:rPr>
        <w:t xml:space="preserve">NOTE: </w:t>
      </w:r>
      <w:commentRangeStart w:id="6"/>
      <w:commentRangeStart w:id="7"/>
      <w:r w:rsidRPr="001B0F39">
        <w:rPr>
          <w:i/>
          <w:iCs/>
          <w:color w:val="FF0000"/>
        </w:rPr>
        <w:t xml:space="preserve">This SOP </w:t>
      </w:r>
      <w:r>
        <w:rPr>
          <w:i/>
          <w:iCs/>
          <w:color w:val="FF0000"/>
        </w:rPr>
        <w:t>will detail</w:t>
      </w:r>
      <w:r w:rsidRPr="001B0F39">
        <w:rPr>
          <w:i/>
          <w:iCs/>
          <w:color w:val="FF0000"/>
        </w:rPr>
        <w:t xml:space="preserve"> </w:t>
      </w:r>
      <w:r>
        <w:rPr>
          <w:i/>
          <w:iCs/>
          <w:color w:val="FF0000"/>
        </w:rPr>
        <w:t>the</w:t>
      </w:r>
      <w:r w:rsidRPr="001B0F39">
        <w:rPr>
          <w:i/>
          <w:iCs/>
          <w:color w:val="FF0000"/>
        </w:rPr>
        <w:t xml:space="preserve"> process of CLD model building when using the Simple SES </w:t>
      </w:r>
      <w:r>
        <w:rPr>
          <w:i/>
          <w:iCs/>
          <w:color w:val="FF0000"/>
        </w:rPr>
        <w:t>DST</w:t>
      </w:r>
      <w:r w:rsidRPr="001B0F39">
        <w:rPr>
          <w:i/>
          <w:iCs/>
          <w:color w:val="FF0000"/>
        </w:rPr>
        <w:t xml:space="preserve">, </w:t>
      </w:r>
      <w:r>
        <w:rPr>
          <w:i/>
          <w:iCs/>
          <w:color w:val="FF0000"/>
        </w:rPr>
        <w:t>we will need to provide guidance on interpreting the information</w:t>
      </w:r>
      <w:r w:rsidRPr="001B0F39">
        <w:rPr>
          <w:i/>
          <w:iCs/>
          <w:color w:val="FF0000"/>
        </w:rPr>
        <w:t>.</w:t>
      </w:r>
      <w:commentRangeEnd w:id="6"/>
      <w:r w:rsidRPr="001B0F39">
        <w:rPr>
          <w:rStyle w:val="CommentReference"/>
          <w:i/>
          <w:iCs/>
          <w:color w:val="FF0000"/>
        </w:rPr>
        <w:commentReference w:id="6"/>
      </w:r>
      <w:commentRangeEnd w:id="7"/>
      <w:r w:rsidRPr="001B0F39">
        <w:rPr>
          <w:rStyle w:val="CommentReference"/>
          <w:rFonts w:ascii="Aptos" w:eastAsia="Times New Roman" w:hAnsi="Aptos" w:cstheme="minorHAnsi"/>
          <w:i/>
          <w:iCs/>
          <w:color w:val="FF0000"/>
          <w:kern w:val="28"/>
          <w:lang w:val="en-IE" w:eastAsia="en-IE"/>
          <w14:ligatures w14:val="none"/>
        </w:rPr>
        <w:commentReference w:id="7"/>
      </w:r>
    </w:p>
    <w:p w14:paraId="42FECDE8" w14:textId="573EC61E" w:rsidR="00361B4F" w:rsidRPr="00FE3C1F" w:rsidRDefault="00361B4F" w:rsidP="00C97481">
      <w:pPr>
        <w:pStyle w:val="Heading2"/>
        <w:jc w:val="both"/>
      </w:pPr>
      <w:r w:rsidRPr="00FE3C1F">
        <w:t>Purpose:</w:t>
      </w:r>
      <w:bookmarkEnd w:id="3"/>
      <w:bookmarkEnd w:id="4"/>
      <w:bookmarkEnd w:id="5"/>
      <w:r w:rsidRPr="00FE3C1F">
        <w:t xml:space="preserve"> </w:t>
      </w:r>
    </w:p>
    <w:p w14:paraId="442E268E" w14:textId="77777777" w:rsidR="00361B4F" w:rsidRPr="001B0F39" w:rsidRDefault="00361B4F" w:rsidP="00C97481">
      <w:pPr>
        <w:jc w:val="both"/>
        <w:rPr>
          <w:b/>
          <w:bCs/>
          <w:i/>
          <w:iCs/>
          <w:color w:val="FF0000"/>
          <w:szCs w:val="24"/>
        </w:rPr>
      </w:pPr>
      <w:r w:rsidRPr="001B0F39">
        <w:rPr>
          <w:i/>
          <w:iCs/>
          <w:color w:val="FF0000"/>
          <w:szCs w:val="24"/>
        </w:rPr>
        <w:t>A Causal Loop Diagram (CLD) serves multiple purposes; it is a tool that enhances expert dialogue, generating research questions and hypotheses essential for data collection and theory building. As a knowledge management tool, it integrates existing insights, highlighting how elements interact within the broader SES. CLDs also serve as diagnostic tools, identifying policy gaps and operational "leverage points" for targeted interventions (Meadows, 1999). Crucially, the value of a CLD lies largely in its creation process, fostering holistic thinking about SES elements and their interactions, with 90% of its utility embedded in this process and only 10% in the final diagram (Liebovitch et al., 2020).</w:t>
      </w:r>
    </w:p>
    <w:p w14:paraId="3989F74B" w14:textId="77777777" w:rsidR="00361B4F" w:rsidRPr="00FE3C1F" w:rsidRDefault="00361B4F" w:rsidP="00C97481">
      <w:pPr>
        <w:pStyle w:val="Heading2"/>
        <w:jc w:val="both"/>
      </w:pPr>
      <w:bookmarkStart w:id="8" w:name="_Toc180925031"/>
      <w:bookmarkStart w:id="9" w:name="_Toc180925687"/>
      <w:bookmarkStart w:id="10" w:name="_Toc181095107"/>
      <w:r w:rsidRPr="00FE3C1F">
        <w:t>Scope:</w:t>
      </w:r>
      <w:bookmarkEnd w:id="8"/>
      <w:bookmarkEnd w:id="9"/>
      <w:bookmarkEnd w:id="10"/>
      <w:r w:rsidRPr="00FE3C1F">
        <w:t xml:space="preserve"> </w:t>
      </w:r>
    </w:p>
    <w:p w14:paraId="7CE0CCB0" w14:textId="77777777" w:rsidR="00361B4F" w:rsidRPr="00710F16" w:rsidRDefault="00361B4F" w:rsidP="00C97481">
      <w:pPr>
        <w:jc w:val="both"/>
        <w:rPr>
          <w:szCs w:val="24"/>
        </w:rPr>
      </w:pPr>
      <w:r w:rsidRPr="001B0F39">
        <w:rPr>
          <w:i/>
          <w:iCs/>
          <w:color w:val="FF0000"/>
          <w:szCs w:val="24"/>
        </w:rPr>
        <w:t xml:space="preserve">This SOP provides methodological steps to standardise the CLD creation process for SES analysis, ensuring a structured, transparent, and efficient approach to understanding, visualising, and managing complex ecological and social interdependencies. It instructs users to visualise the </w:t>
      </w:r>
      <w:proofErr w:type="gramStart"/>
      <w:r w:rsidRPr="001B0F39">
        <w:rPr>
          <w:i/>
          <w:iCs/>
          <w:color w:val="FF0000"/>
          <w:szCs w:val="24"/>
        </w:rPr>
        <w:t>SES as a whole</w:t>
      </w:r>
      <w:proofErr w:type="gramEnd"/>
      <w:r>
        <w:rPr>
          <w:szCs w:val="24"/>
        </w:rPr>
        <w:t xml:space="preserve">. </w:t>
      </w:r>
    </w:p>
    <w:p w14:paraId="571970F9" w14:textId="77777777" w:rsidR="00361B4F" w:rsidRPr="00FE3C1F" w:rsidRDefault="00361B4F" w:rsidP="00C97481">
      <w:pPr>
        <w:pStyle w:val="Heading2"/>
        <w:jc w:val="both"/>
      </w:pPr>
      <w:bookmarkStart w:id="11" w:name="_Toc180925032"/>
      <w:bookmarkStart w:id="12" w:name="_Toc180925688"/>
      <w:bookmarkStart w:id="13" w:name="_Toc181095108"/>
      <w:r w:rsidRPr="00FE3C1F">
        <w:t>Definitions:</w:t>
      </w:r>
      <w:bookmarkEnd w:id="11"/>
      <w:bookmarkEnd w:id="12"/>
      <w:bookmarkEnd w:id="13"/>
      <w:r w:rsidRPr="00FE3C1F">
        <w:t xml:space="preserve"> </w:t>
      </w:r>
    </w:p>
    <w:tbl>
      <w:tblPr>
        <w:tblStyle w:val="GridTable4-Accent5"/>
        <w:tblW w:w="0" w:type="auto"/>
        <w:tblLook w:val="04A0" w:firstRow="1" w:lastRow="0" w:firstColumn="1" w:lastColumn="0" w:noHBand="0" w:noVBand="1"/>
      </w:tblPr>
      <w:tblGrid>
        <w:gridCol w:w="1980"/>
        <w:gridCol w:w="7030"/>
      </w:tblGrid>
      <w:tr w:rsidR="001B0F39" w:rsidRPr="001B0F39" w14:paraId="6576EDDF" w14:textId="77777777" w:rsidTr="00C97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0FF62C" w14:textId="77777777" w:rsidR="00361B4F" w:rsidRPr="001B0F39" w:rsidRDefault="00361B4F" w:rsidP="00C97481">
            <w:pPr>
              <w:rPr>
                <w:b w:val="0"/>
                <w:bCs w:val="0"/>
                <w:i/>
                <w:iCs/>
                <w:color w:val="FF0000"/>
              </w:rPr>
            </w:pPr>
            <w:r w:rsidRPr="001B0F39">
              <w:rPr>
                <w:b w:val="0"/>
                <w:bCs w:val="0"/>
                <w:i/>
                <w:iCs/>
                <w:color w:val="FF0000"/>
              </w:rPr>
              <w:t>Term</w:t>
            </w:r>
          </w:p>
        </w:tc>
        <w:tc>
          <w:tcPr>
            <w:tcW w:w="7030" w:type="dxa"/>
            <w:vAlign w:val="center"/>
          </w:tcPr>
          <w:p w14:paraId="2D63B72C" w14:textId="77777777" w:rsidR="00361B4F" w:rsidRPr="001B0F39" w:rsidRDefault="00361B4F" w:rsidP="00C97481">
            <w:pPr>
              <w:cnfStyle w:val="100000000000" w:firstRow="1" w:lastRow="0" w:firstColumn="0" w:lastColumn="0" w:oddVBand="0" w:evenVBand="0" w:oddHBand="0" w:evenHBand="0" w:firstRowFirstColumn="0" w:firstRowLastColumn="0" w:lastRowFirstColumn="0" w:lastRowLastColumn="0"/>
              <w:rPr>
                <w:b w:val="0"/>
                <w:bCs w:val="0"/>
                <w:i/>
                <w:iCs/>
                <w:color w:val="FF0000"/>
              </w:rPr>
            </w:pPr>
            <w:r w:rsidRPr="001B0F39">
              <w:rPr>
                <w:b w:val="0"/>
                <w:bCs w:val="0"/>
                <w:i/>
                <w:iCs/>
                <w:color w:val="FF0000"/>
              </w:rPr>
              <w:t>Definition</w:t>
            </w:r>
          </w:p>
        </w:tc>
      </w:tr>
      <w:tr w:rsidR="001B0F39" w:rsidRPr="001B0F39" w14:paraId="7E9A168E" w14:textId="77777777" w:rsidTr="00C97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906A84" w14:textId="77777777" w:rsidR="00361B4F" w:rsidRPr="001B0F39" w:rsidRDefault="00361B4F" w:rsidP="00C97481">
            <w:pPr>
              <w:rPr>
                <w:b w:val="0"/>
                <w:bCs w:val="0"/>
                <w:i/>
                <w:iCs/>
                <w:color w:val="FF0000"/>
              </w:rPr>
            </w:pPr>
            <w:r w:rsidRPr="001B0F39">
              <w:rPr>
                <w:b w:val="0"/>
                <w:bCs w:val="0"/>
                <w:i/>
                <w:iCs/>
                <w:color w:val="FF0000"/>
              </w:rPr>
              <w:t>Causal loop diagram</w:t>
            </w:r>
          </w:p>
        </w:tc>
        <w:tc>
          <w:tcPr>
            <w:tcW w:w="7030" w:type="dxa"/>
            <w:vAlign w:val="center"/>
          </w:tcPr>
          <w:p w14:paraId="25531003" w14:textId="77777777" w:rsidR="00361B4F" w:rsidRPr="001B0F39" w:rsidRDefault="00361B4F" w:rsidP="00C97481">
            <w:pPr>
              <w:cnfStyle w:val="000000100000" w:firstRow="0" w:lastRow="0" w:firstColumn="0" w:lastColumn="0" w:oddVBand="0" w:evenVBand="0" w:oddHBand="1" w:evenHBand="0" w:firstRowFirstColumn="0" w:firstRowLastColumn="0" w:lastRowFirstColumn="0" w:lastRowLastColumn="0"/>
              <w:rPr>
                <w:i/>
                <w:iCs/>
                <w:color w:val="FF0000"/>
              </w:rPr>
            </w:pPr>
            <w:r w:rsidRPr="001B0F39">
              <w:rPr>
                <w:i/>
                <w:iCs/>
                <w:color w:val="FF0000"/>
              </w:rPr>
              <w:t>Causal Loop Diagrams are rooted in systems thinking and are designed to visually represent the intricate interrelations between system variables (Senge, 1990).</w:t>
            </w:r>
          </w:p>
        </w:tc>
      </w:tr>
      <w:tr w:rsidR="001B0F39" w:rsidRPr="001B0F39" w14:paraId="1D9FFAF6" w14:textId="77777777" w:rsidTr="00C97481">
        <w:tc>
          <w:tcPr>
            <w:cnfStyle w:val="001000000000" w:firstRow="0" w:lastRow="0" w:firstColumn="1" w:lastColumn="0" w:oddVBand="0" w:evenVBand="0" w:oddHBand="0" w:evenHBand="0" w:firstRowFirstColumn="0" w:firstRowLastColumn="0" w:lastRowFirstColumn="0" w:lastRowLastColumn="0"/>
            <w:tcW w:w="1980" w:type="dxa"/>
            <w:vAlign w:val="center"/>
          </w:tcPr>
          <w:p w14:paraId="7860531F" w14:textId="77777777" w:rsidR="00361B4F" w:rsidRPr="001B0F39" w:rsidRDefault="00361B4F" w:rsidP="00C97481">
            <w:pPr>
              <w:rPr>
                <w:b w:val="0"/>
                <w:bCs w:val="0"/>
                <w:i/>
                <w:iCs/>
                <w:color w:val="FF0000"/>
              </w:rPr>
            </w:pPr>
            <w:r w:rsidRPr="001B0F39">
              <w:rPr>
                <w:b w:val="0"/>
                <w:bCs w:val="0"/>
                <w:i/>
                <w:iCs/>
                <w:color w:val="FF0000"/>
              </w:rPr>
              <w:t xml:space="preserve">Connection </w:t>
            </w:r>
          </w:p>
        </w:tc>
        <w:tc>
          <w:tcPr>
            <w:tcW w:w="7030" w:type="dxa"/>
            <w:vAlign w:val="center"/>
          </w:tcPr>
          <w:p w14:paraId="2261D11D" w14:textId="77777777" w:rsidR="00361B4F" w:rsidRPr="001B0F39" w:rsidRDefault="00361B4F" w:rsidP="00C97481">
            <w:pPr>
              <w:cnfStyle w:val="000000000000" w:firstRow="0" w:lastRow="0" w:firstColumn="0" w:lastColumn="0" w:oddVBand="0" w:evenVBand="0" w:oddHBand="0" w:evenHBand="0" w:firstRowFirstColumn="0" w:firstRowLastColumn="0" w:lastRowFirstColumn="0" w:lastRowLastColumn="0"/>
              <w:rPr>
                <w:i/>
                <w:iCs/>
                <w:color w:val="FF0000"/>
              </w:rPr>
            </w:pPr>
            <w:r w:rsidRPr="001B0F39">
              <w:rPr>
                <w:i/>
                <w:iCs/>
                <w:color w:val="FF0000"/>
              </w:rPr>
              <w:t>A connection represents a causal relationship between two elements within the system. It indicates that a change in one element (the cause) will lead to a change in another (the effect), based on available evidence or expert judgement.</w:t>
            </w:r>
          </w:p>
        </w:tc>
      </w:tr>
      <w:tr w:rsidR="001B0F39" w:rsidRPr="001B0F39" w14:paraId="1C1095EF" w14:textId="77777777" w:rsidTr="00C97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D6B7667" w14:textId="77777777" w:rsidR="00361B4F" w:rsidRPr="001B0F39" w:rsidRDefault="00361B4F" w:rsidP="00C97481">
            <w:pPr>
              <w:rPr>
                <w:b w:val="0"/>
                <w:bCs w:val="0"/>
                <w:i/>
                <w:iCs/>
                <w:color w:val="FF0000"/>
              </w:rPr>
            </w:pPr>
            <w:r w:rsidRPr="001B0F39">
              <w:rPr>
                <w:b w:val="0"/>
                <w:bCs w:val="0"/>
                <w:i/>
                <w:iCs/>
                <w:color w:val="FF0000"/>
              </w:rPr>
              <w:t>Connection Strength</w:t>
            </w:r>
          </w:p>
        </w:tc>
        <w:tc>
          <w:tcPr>
            <w:tcW w:w="7030" w:type="dxa"/>
            <w:vAlign w:val="center"/>
          </w:tcPr>
          <w:p w14:paraId="3EAA0863" w14:textId="77777777" w:rsidR="00361B4F" w:rsidRPr="001B0F39" w:rsidRDefault="00361B4F" w:rsidP="00C97481">
            <w:pPr>
              <w:cnfStyle w:val="000000100000" w:firstRow="0" w:lastRow="0" w:firstColumn="0" w:lastColumn="0" w:oddVBand="0" w:evenVBand="0" w:oddHBand="1" w:evenHBand="0" w:firstRowFirstColumn="0" w:firstRowLastColumn="0" w:lastRowFirstColumn="0" w:lastRowLastColumn="0"/>
              <w:rPr>
                <w:i/>
                <w:iCs/>
                <w:color w:val="FF0000"/>
              </w:rPr>
            </w:pPr>
            <w:r w:rsidRPr="001B0F39">
              <w:rPr>
                <w:i/>
                <w:iCs/>
                <w:color w:val="FF0000"/>
              </w:rPr>
              <w:t>Refers to the intensity of influence that one element has on another within the system, based on available evidence or expert judgement.</w:t>
            </w:r>
          </w:p>
        </w:tc>
      </w:tr>
      <w:tr w:rsidR="001B0F39" w:rsidRPr="001B0F39" w14:paraId="4D6F4D8E" w14:textId="77777777" w:rsidTr="00C97481">
        <w:tc>
          <w:tcPr>
            <w:cnfStyle w:val="001000000000" w:firstRow="0" w:lastRow="0" w:firstColumn="1" w:lastColumn="0" w:oddVBand="0" w:evenVBand="0" w:oddHBand="0" w:evenHBand="0" w:firstRowFirstColumn="0" w:firstRowLastColumn="0" w:lastRowFirstColumn="0" w:lastRowLastColumn="0"/>
            <w:tcW w:w="1980" w:type="dxa"/>
            <w:vAlign w:val="center"/>
          </w:tcPr>
          <w:p w14:paraId="4354AEBE" w14:textId="77777777" w:rsidR="00361B4F" w:rsidRPr="001B0F39" w:rsidRDefault="00361B4F" w:rsidP="00C97481">
            <w:pPr>
              <w:rPr>
                <w:b w:val="0"/>
                <w:bCs w:val="0"/>
                <w:i/>
                <w:iCs/>
                <w:color w:val="FF0000"/>
              </w:rPr>
            </w:pPr>
            <w:r w:rsidRPr="001B0F39">
              <w:rPr>
                <w:b w:val="0"/>
                <w:bCs w:val="0"/>
                <w:i/>
                <w:iCs/>
                <w:color w:val="FF0000"/>
              </w:rPr>
              <w:t>Confidence</w:t>
            </w:r>
          </w:p>
        </w:tc>
        <w:tc>
          <w:tcPr>
            <w:tcW w:w="7030" w:type="dxa"/>
            <w:vAlign w:val="center"/>
          </w:tcPr>
          <w:p w14:paraId="22C07C5A" w14:textId="77777777" w:rsidR="00361B4F" w:rsidRPr="001B0F39" w:rsidRDefault="00361B4F" w:rsidP="00C97481">
            <w:pPr>
              <w:cnfStyle w:val="000000000000" w:firstRow="0" w:lastRow="0" w:firstColumn="0" w:lastColumn="0" w:oddVBand="0" w:evenVBand="0" w:oddHBand="0" w:evenHBand="0" w:firstRowFirstColumn="0" w:firstRowLastColumn="0" w:lastRowFirstColumn="0" w:lastRowLastColumn="0"/>
              <w:rPr>
                <w:i/>
                <w:iCs/>
                <w:color w:val="FF0000"/>
              </w:rPr>
            </w:pPr>
            <w:r w:rsidRPr="001B0F39">
              <w:rPr>
                <w:i/>
                <w:iCs/>
                <w:color w:val="FF0000"/>
              </w:rPr>
              <w:t>Confidence represents the level of certainty in the identified connection between two elements, based on available evidence or expert judgement.</w:t>
            </w:r>
          </w:p>
        </w:tc>
      </w:tr>
      <w:tr w:rsidR="001B0F39" w:rsidRPr="001B0F39" w14:paraId="65C87780" w14:textId="77777777" w:rsidTr="00C97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1FF17A7" w14:textId="77777777" w:rsidR="00361B4F" w:rsidRPr="001B0F39" w:rsidRDefault="00361B4F" w:rsidP="00C97481">
            <w:pPr>
              <w:rPr>
                <w:b w:val="0"/>
                <w:bCs w:val="0"/>
                <w:i/>
                <w:iCs/>
                <w:color w:val="FF0000"/>
              </w:rPr>
            </w:pPr>
            <w:r w:rsidRPr="001B0F39">
              <w:rPr>
                <w:b w:val="0"/>
                <w:bCs w:val="0"/>
                <w:i/>
                <w:iCs/>
                <w:color w:val="FF0000"/>
              </w:rPr>
              <w:t xml:space="preserve">Element </w:t>
            </w:r>
          </w:p>
        </w:tc>
        <w:tc>
          <w:tcPr>
            <w:tcW w:w="7030" w:type="dxa"/>
            <w:vAlign w:val="center"/>
          </w:tcPr>
          <w:p w14:paraId="723B3E0D" w14:textId="77777777" w:rsidR="00361B4F" w:rsidRPr="001B0F39" w:rsidRDefault="00361B4F" w:rsidP="00C97481">
            <w:pPr>
              <w:cnfStyle w:val="000000100000" w:firstRow="0" w:lastRow="0" w:firstColumn="0" w:lastColumn="0" w:oddVBand="0" w:evenVBand="0" w:oddHBand="1" w:evenHBand="0" w:firstRowFirstColumn="0" w:firstRowLastColumn="0" w:lastRowFirstColumn="0" w:lastRowLastColumn="0"/>
              <w:rPr>
                <w:i/>
                <w:iCs/>
                <w:color w:val="FF0000"/>
              </w:rPr>
            </w:pPr>
            <w:r w:rsidRPr="001B0F39">
              <w:rPr>
                <w:i/>
                <w:iCs/>
                <w:color w:val="FF0000"/>
              </w:rPr>
              <w:t>An element is a representation of an indicator which is a variable that is liable to vary or change (Oxford English Dictionary).</w:t>
            </w:r>
          </w:p>
        </w:tc>
      </w:tr>
      <w:tr w:rsidR="001B0F39" w:rsidRPr="001B0F39" w14:paraId="7A3DCC60" w14:textId="77777777" w:rsidTr="00C97481">
        <w:tc>
          <w:tcPr>
            <w:cnfStyle w:val="001000000000" w:firstRow="0" w:lastRow="0" w:firstColumn="1" w:lastColumn="0" w:oddVBand="0" w:evenVBand="0" w:oddHBand="0" w:evenHBand="0" w:firstRowFirstColumn="0" w:firstRowLastColumn="0" w:lastRowFirstColumn="0" w:lastRowLastColumn="0"/>
            <w:tcW w:w="1980" w:type="dxa"/>
            <w:vAlign w:val="center"/>
          </w:tcPr>
          <w:p w14:paraId="569D503A" w14:textId="77777777" w:rsidR="00361B4F" w:rsidRPr="001B0F39" w:rsidRDefault="00361B4F" w:rsidP="00C97481">
            <w:pPr>
              <w:rPr>
                <w:b w:val="0"/>
                <w:bCs w:val="0"/>
                <w:i/>
                <w:iCs/>
                <w:color w:val="FF0000"/>
              </w:rPr>
            </w:pPr>
            <w:r w:rsidRPr="001B0F39">
              <w:rPr>
                <w:b w:val="0"/>
                <w:bCs w:val="0"/>
                <w:i/>
                <w:iCs/>
                <w:color w:val="FF0000"/>
              </w:rPr>
              <w:t xml:space="preserve">Negative Link </w:t>
            </w:r>
          </w:p>
        </w:tc>
        <w:tc>
          <w:tcPr>
            <w:tcW w:w="7030" w:type="dxa"/>
            <w:vAlign w:val="center"/>
          </w:tcPr>
          <w:p w14:paraId="6C1B9C08" w14:textId="77777777" w:rsidR="00361B4F" w:rsidRPr="001B0F39" w:rsidRDefault="00361B4F" w:rsidP="00C97481">
            <w:pPr>
              <w:cnfStyle w:val="000000000000" w:firstRow="0" w:lastRow="0" w:firstColumn="0" w:lastColumn="0" w:oddVBand="0" w:evenVBand="0" w:oddHBand="0" w:evenHBand="0" w:firstRowFirstColumn="0" w:firstRowLastColumn="0" w:lastRowFirstColumn="0" w:lastRowLastColumn="0"/>
              <w:rPr>
                <w:i/>
                <w:iCs/>
                <w:color w:val="FF0000"/>
              </w:rPr>
            </w:pPr>
            <w:r w:rsidRPr="001B0F39">
              <w:rPr>
                <w:i/>
                <w:iCs/>
                <w:color w:val="FF0000"/>
              </w:rPr>
              <w:t>A negative link represents an inverse relationship between two elements, where an increase in the cause leads to a decrease in the effect.</w:t>
            </w:r>
          </w:p>
        </w:tc>
      </w:tr>
      <w:tr w:rsidR="001B0F39" w:rsidRPr="001B0F39" w14:paraId="79876E37" w14:textId="77777777" w:rsidTr="00C97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D66740" w14:textId="77777777" w:rsidR="00361B4F" w:rsidRPr="001B0F39" w:rsidRDefault="00361B4F" w:rsidP="00C97481">
            <w:pPr>
              <w:rPr>
                <w:b w:val="0"/>
                <w:bCs w:val="0"/>
                <w:i/>
                <w:iCs/>
                <w:color w:val="FF0000"/>
              </w:rPr>
            </w:pPr>
            <w:r w:rsidRPr="001B0F39">
              <w:rPr>
                <w:b w:val="0"/>
                <w:bCs w:val="0"/>
                <w:i/>
                <w:iCs/>
                <w:color w:val="FF0000"/>
              </w:rPr>
              <w:t xml:space="preserve">Positive link </w:t>
            </w:r>
          </w:p>
        </w:tc>
        <w:tc>
          <w:tcPr>
            <w:tcW w:w="7030" w:type="dxa"/>
            <w:vAlign w:val="center"/>
          </w:tcPr>
          <w:p w14:paraId="4F43DD23" w14:textId="77777777" w:rsidR="00361B4F" w:rsidRPr="001B0F39" w:rsidRDefault="00361B4F" w:rsidP="00C97481">
            <w:pPr>
              <w:cnfStyle w:val="000000100000" w:firstRow="0" w:lastRow="0" w:firstColumn="0" w:lastColumn="0" w:oddVBand="0" w:evenVBand="0" w:oddHBand="1" w:evenHBand="0" w:firstRowFirstColumn="0" w:firstRowLastColumn="0" w:lastRowFirstColumn="0" w:lastRowLastColumn="0"/>
              <w:rPr>
                <w:i/>
                <w:iCs/>
                <w:color w:val="FF0000"/>
              </w:rPr>
            </w:pPr>
            <w:r w:rsidRPr="001B0F39">
              <w:rPr>
                <w:i/>
                <w:iCs/>
                <w:color w:val="FF0000"/>
              </w:rPr>
              <w:t>A positive link indicates a direct relationship between two elements, where an increase in the cause leads to an increase in the effect (or a decrease leads to a decrease).</w:t>
            </w:r>
          </w:p>
        </w:tc>
      </w:tr>
      <w:tr w:rsidR="003F101A" w:rsidRPr="001B0F39" w14:paraId="0216BF47" w14:textId="77777777" w:rsidTr="00C97481">
        <w:tc>
          <w:tcPr>
            <w:cnfStyle w:val="001000000000" w:firstRow="0" w:lastRow="0" w:firstColumn="1" w:lastColumn="0" w:oddVBand="0" w:evenVBand="0" w:oddHBand="0" w:evenHBand="0" w:firstRowFirstColumn="0" w:firstRowLastColumn="0" w:lastRowFirstColumn="0" w:lastRowLastColumn="0"/>
            <w:tcW w:w="1980" w:type="dxa"/>
            <w:vAlign w:val="center"/>
          </w:tcPr>
          <w:p w14:paraId="7C62CAC1" w14:textId="77777777" w:rsidR="003F101A" w:rsidRPr="001B0F39" w:rsidRDefault="003F101A" w:rsidP="00C97481">
            <w:pPr>
              <w:rPr>
                <w:i/>
                <w:iCs/>
                <w:color w:val="FF0000"/>
              </w:rPr>
            </w:pPr>
          </w:p>
        </w:tc>
        <w:tc>
          <w:tcPr>
            <w:tcW w:w="7030" w:type="dxa"/>
            <w:vAlign w:val="center"/>
          </w:tcPr>
          <w:p w14:paraId="75095535" w14:textId="77777777" w:rsidR="003F101A" w:rsidRPr="001B0F39" w:rsidRDefault="003F101A" w:rsidP="00C97481">
            <w:pPr>
              <w:cnfStyle w:val="000000000000" w:firstRow="0" w:lastRow="0" w:firstColumn="0" w:lastColumn="0" w:oddVBand="0" w:evenVBand="0" w:oddHBand="0" w:evenHBand="0" w:firstRowFirstColumn="0" w:firstRowLastColumn="0" w:lastRowFirstColumn="0" w:lastRowLastColumn="0"/>
              <w:rPr>
                <w:i/>
                <w:iCs/>
                <w:color w:val="FF0000"/>
              </w:rPr>
            </w:pPr>
          </w:p>
        </w:tc>
      </w:tr>
      <w:tr w:rsidR="003F101A" w:rsidRPr="001B0F39" w14:paraId="6E8BD61E" w14:textId="77777777" w:rsidTr="00C97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670F4F7" w14:textId="77777777" w:rsidR="003F101A" w:rsidRPr="001B0F39" w:rsidRDefault="003F101A" w:rsidP="00C97481">
            <w:pPr>
              <w:rPr>
                <w:i/>
                <w:iCs/>
                <w:color w:val="FF0000"/>
              </w:rPr>
            </w:pPr>
          </w:p>
        </w:tc>
        <w:tc>
          <w:tcPr>
            <w:tcW w:w="7030" w:type="dxa"/>
            <w:vAlign w:val="center"/>
          </w:tcPr>
          <w:p w14:paraId="06726B52" w14:textId="77777777" w:rsidR="003F101A" w:rsidRPr="001B0F39" w:rsidRDefault="003F101A" w:rsidP="00C97481">
            <w:pPr>
              <w:cnfStyle w:val="000000100000" w:firstRow="0" w:lastRow="0" w:firstColumn="0" w:lastColumn="0" w:oddVBand="0" w:evenVBand="0" w:oddHBand="1" w:evenHBand="0" w:firstRowFirstColumn="0" w:firstRowLastColumn="0" w:lastRowFirstColumn="0" w:lastRowLastColumn="0"/>
              <w:rPr>
                <w:i/>
                <w:iCs/>
                <w:color w:val="FF0000"/>
              </w:rPr>
            </w:pPr>
          </w:p>
        </w:tc>
      </w:tr>
      <w:tr w:rsidR="003F101A" w:rsidRPr="001B0F39" w14:paraId="2E5FA314" w14:textId="77777777" w:rsidTr="00C97481">
        <w:tc>
          <w:tcPr>
            <w:cnfStyle w:val="001000000000" w:firstRow="0" w:lastRow="0" w:firstColumn="1" w:lastColumn="0" w:oddVBand="0" w:evenVBand="0" w:oddHBand="0" w:evenHBand="0" w:firstRowFirstColumn="0" w:firstRowLastColumn="0" w:lastRowFirstColumn="0" w:lastRowLastColumn="0"/>
            <w:tcW w:w="1980" w:type="dxa"/>
            <w:vAlign w:val="center"/>
          </w:tcPr>
          <w:p w14:paraId="49700CDF" w14:textId="77777777" w:rsidR="003F101A" w:rsidRPr="001B0F39" w:rsidRDefault="003F101A" w:rsidP="00C97481">
            <w:pPr>
              <w:rPr>
                <w:i/>
                <w:iCs/>
                <w:color w:val="FF0000"/>
              </w:rPr>
            </w:pPr>
          </w:p>
        </w:tc>
        <w:tc>
          <w:tcPr>
            <w:tcW w:w="7030" w:type="dxa"/>
            <w:vAlign w:val="center"/>
          </w:tcPr>
          <w:p w14:paraId="6AAA9D40" w14:textId="77777777" w:rsidR="003F101A" w:rsidRPr="001B0F39" w:rsidRDefault="003F101A" w:rsidP="00C97481">
            <w:pPr>
              <w:cnfStyle w:val="000000000000" w:firstRow="0" w:lastRow="0" w:firstColumn="0" w:lastColumn="0" w:oddVBand="0" w:evenVBand="0" w:oddHBand="0" w:evenHBand="0" w:firstRowFirstColumn="0" w:firstRowLastColumn="0" w:lastRowFirstColumn="0" w:lastRowLastColumn="0"/>
              <w:rPr>
                <w:i/>
                <w:iCs/>
                <w:color w:val="FF0000"/>
              </w:rPr>
            </w:pPr>
          </w:p>
        </w:tc>
      </w:tr>
    </w:tbl>
    <w:p w14:paraId="5B9C2066" w14:textId="77777777" w:rsidR="00361B4F" w:rsidRPr="00710F16" w:rsidRDefault="00361B4F" w:rsidP="00C97481">
      <w:pPr>
        <w:pStyle w:val="Heading2"/>
        <w:jc w:val="both"/>
      </w:pPr>
      <w:bookmarkStart w:id="14" w:name="_Toc180925033"/>
      <w:bookmarkStart w:id="15" w:name="_Toc180925689"/>
      <w:bookmarkStart w:id="16" w:name="_Toc181095109"/>
      <w:commentRangeStart w:id="17"/>
      <w:r w:rsidRPr="00710F16">
        <w:t>Procedure:</w:t>
      </w:r>
      <w:bookmarkEnd w:id="14"/>
      <w:bookmarkEnd w:id="15"/>
      <w:bookmarkEnd w:id="16"/>
      <w:r w:rsidRPr="00710F16">
        <w:t xml:space="preserve"> </w:t>
      </w:r>
      <w:commentRangeEnd w:id="17"/>
      <w:r w:rsidR="001E66DD">
        <w:rPr>
          <w:rStyle w:val="CommentReference"/>
          <w:rFonts w:ascii="Aptos" w:eastAsia="Times New Roman" w:hAnsi="Aptos" w:cstheme="minorHAnsi"/>
          <w:color w:val="000000"/>
          <w:kern w:val="28"/>
          <w:lang w:val="en-IE" w:eastAsia="en-IE"/>
          <w14:ligatures w14:val="none"/>
        </w:rPr>
        <w:commentReference w:id="17"/>
      </w:r>
    </w:p>
    <w:p w14:paraId="5C3C622A" w14:textId="77777777" w:rsidR="00D3061E" w:rsidRPr="0086341B" w:rsidRDefault="00D3061E" w:rsidP="00D3061E">
      <w:pPr>
        <w:pStyle w:val="ListParagraph"/>
        <w:numPr>
          <w:ilvl w:val="0"/>
          <w:numId w:val="25"/>
        </w:numPr>
        <w:jc w:val="both"/>
        <w:rPr>
          <w:i/>
          <w:iCs/>
          <w:color w:val="FF0000"/>
          <w:szCs w:val="24"/>
        </w:rPr>
      </w:pPr>
      <w:bookmarkStart w:id="18" w:name="_Toc181095110"/>
      <w:r w:rsidRPr="0086341B">
        <w:rPr>
          <w:i/>
          <w:iCs/>
          <w:color w:val="FF0000"/>
          <w:szCs w:val="24"/>
        </w:rPr>
        <w:t>Using the causal theories built in the previous SOP, use these three adjacency matrices to build a visual representation of the system in focus.</w:t>
      </w:r>
    </w:p>
    <w:p w14:paraId="138EBB81" w14:textId="77777777" w:rsidR="00D3061E" w:rsidRPr="0086341B" w:rsidRDefault="00D3061E" w:rsidP="00D3061E">
      <w:pPr>
        <w:pStyle w:val="ListParagraph"/>
        <w:numPr>
          <w:ilvl w:val="0"/>
          <w:numId w:val="25"/>
        </w:numPr>
        <w:jc w:val="both"/>
        <w:rPr>
          <w:i/>
          <w:iCs/>
          <w:color w:val="FF0000"/>
          <w:szCs w:val="24"/>
        </w:rPr>
      </w:pPr>
      <w:r w:rsidRPr="0086341B">
        <w:rPr>
          <w:i/>
          <w:iCs/>
          <w:color w:val="FF0000"/>
          <w:szCs w:val="24"/>
        </w:rPr>
        <w:t xml:space="preserve">Begin with adding elements, you can distinguish the various Drivers, Activities, Pressures, Marine Processes and Functions, Ecosystem Services, and Societal Goods and benefits by using different shapes and colours for the elements. </w:t>
      </w:r>
    </w:p>
    <w:p w14:paraId="65BBF9F6" w14:textId="77777777" w:rsidR="00D3061E" w:rsidRPr="0086341B" w:rsidRDefault="00D3061E" w:rsidP="001E66DD">
      <w:pPr>
        <w:spacing w:after="0"/>
        <w:rPr>
          <w:i/>
          <w:iCs/>
          <w:color w:val="FF0000"/>
          <w:szCs w:val="24"/>
        </w:rPr>
      </w:pPr>
      <w:r w:rsidRPr="0086341B">
        <w:rPr>
          <w:i/>
          <w:iCs/>
          <w:color w:val="FF0000"/>
          <w:szCs w:val="24"/>
        </w:rPr>
        <w:t xml:space="preserve">Example: </w:t>
      </w:r>
    </w:p>
    <w:p w14:paraId="777131BF" w14:textId="77777777" w:rsidR="00D3061E" w:rsidRPr="0086341B" w:rsidRDefault="00D3061E" w:rsidP="00D3061E">
      <w:pPr>
        <w:spacing w:after="240"/>
        <w:rPr>
          <w:i/>
          <w:iCs/>
          <w:color w:val="FF0000"/>
          <w:szCs w:val="24"/>
        </w:rPr>
      </w:pPr>
      <w:commentRangeStart w:id="19"/>
      <w:r w:rsidRPr="0086341B">
        <w:rPr>
          <w:i/>
          <w:iCs/>
          <w:noProof/>
          <w:color w:val="FF0000"/>
          <w:szCs w:val="24"/>
        </w:rPr>
        <w:drawing>
          <wp:inline distT="0" distB="0" distL="0" distR="0" wp14:anchorId="22A76138" wp14:editId="61B3C38F">
            <wp:extent cx="4729614" cy="2660539"/>
            <wp:effectExtent l="19050" t="19050" r="13970" b="26035"/>
            <wp:docPr id="1911555452" name="Picture 12" descr="A group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55452" name="Picture 12" descr="A group of different colored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337" cy="2669384"/>
                    </a:xfrm>
                    <a:prstGeom prst="rect">
                      <a:avLst/>
                    </a:prstGeom>
                    <a:noFill/>
                    <a:ln>
                      <a:solidFill>
                        <a:schemeClr val="accent1">
                          <a:lumMod val="50000"/>
                        </a:schemeClr>
                      </a:solidFill>
                    </a:ln>
                  </pic:spPr>
                </pic:pic>
              </a:graphicData>
            </a:graphic>
          </wp:inline>
        </w:drawing>
      </w:r>
      <w:commentRangeEnd w:id="19"/>
      <w:r w:rsidR="0086341B">
        <w:rPr>
          <w:rStyle w:val="CommentReference"/>
          <w:rFonts w:ascii="Aptos" w:eastAsia="Times New Roman" w:hAnsi="Aptos" w:cstheme="minorHAnsi"/>
          <w:color w:val="000000"/>
          <w:kern w:val="28"/>
          <w:lang w:val="en-IE" w:eastAsia="en-IE"/>
          <w14:ligatures w14:val="none"/>
        </w:rPr>
        <w:commentReference w:id="19"/>
      </w:r>
    </w:p>
    <w:p w14:paraId="1038FF66" w14:textId="1A3A8079" w:rsidR="00D3061E" w:rsidRPr="001E66DD" w:rsidRDefault="00D3061E" w:rsidP="001E66DD">
      <w:pPr>
        <w:pStyle w:val="ListParagraph"/>
        <w:numPr>
          <w:ilvl w:val="0"/>
          <w:numId w:val="25"/>
        </w:numPr>
        <w:jc w:val="both"/>
        <w:rPr>
          <w:i/>
          <w:iCs/>
          <w:color w:val="FF0000"/>
          <w:szCs w:val="24"/>
        </w:rPr>
      </w:pPr>
      <w:r w:rsidRPr="0086341B">
        <w:rPr>
          <w:i/>
          <w:iCs/>
          <w:color w:val="FF0000"/>
          <w:szCs w:val="24"/>
        </w:rPr>
        <w:t>Add connections between the elements in line with the connections and strength assigned in the adjacency matrices, these may be blue for positive connections and red for negative connections. Also, a thick line for strong connections, a thin line for weak connections and a line of thickness between thick and thin for medium connections.</w:t>
      </w:r>
    </w:p>
    <w:p w14:paraId="75AAAFA3" w14:textId="77777777" w:rsidR="00D3061E" w:rsidRPr="0086341B" w:rsidRDefault="00D3061E" w:rsidP="001E66DD">
      <w:pPr>
        <w:spacing w:after="0"/>
        <w:rPr>
          <w:i/>
          <w:iCs/>
          <w:color w:val="FF0000"/>
          <w:szCs w:val="24"/>
        </w:rPr>
      </w:pPr>
      <w:r w:rsidRPr="0086341B">
        <w:rPr>
          <w:i/>
          <w:iCs/>
          <w:color w:val="FF0000"/>
          <w:szCs w:val="24"/>
        </w:rPr>
        <w:t xml:space="preserve">Example: </w:t>
      </w:r>
    </w:p>
    <w:p w14:paraId="3020FA46" w14:textId="77777777" w:rsidR="00D3061E" w:rsidRPr="0086341B" w:rsidRDefault="00D3061E" w:rsidP="00D3061E">
      <w:pPr>
        <w:spacing w:after="240"/>
        <w:rPr>
          <w:i/>
          <w:iCs/>
          <w:color w:val="FF0000"/>
          <w:szCs w:val="24"/>
        </w:rPr>
      </w:pPr>
      <w:r w:rsidRPr="0086341B">
        <w:rPr>
          <w:i/>
          <w:iCs/>
          <w:noProof/>
          <w:color w:val="FF0000"/>
          <w:szCs w:val="24"/>
        </w:rPr>
        <w:drawing>
          <wp:inline distT="0" distB="0" distL="0" distR="0" wp14:anchorId="3F8351B2" wp14:editId="697C541D">
            <wp:extent cx="4735830" cy="2664037"/>
            <wp:effectExtent l="19050" t="19050" r="26670" b="22225"/>
            <wp:docPr id="1566126132" name="Picture 1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26132" name="Picture 14"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9016" cy="2693955"/>
                    </a:xfrm>
                    <a:prstGeom prst="rect">
                      <a:avLst/>
                    </a:prstGeom>
                    <a:noFill/>
                    <a:ln>
                      <a:solidFill>
                        <a:schemeClr val="accent1">
                          <a:lumMod val="50000"/>
                        </a:schemeClr>
                      </a:solidFill>
                    </a:ln>
                  </pic:spPr>
                </pic:pic>
              </a:graphicData>
            </a:graphic>
          </wp:inline>
        </w:drawing>
      </w:r>
    </w:p>
    <w:p w14:paraId="7C2E2538" w14:textId="77777777" w:rsidR="00D3061E" w:rsidRPr="0086341B" w:rsidRDefault="00D3061E" w:rsidP="00D3061E">
      <w:pPr>
        <w:pStyle w:val="ListParagraph"/>
        <w:numPr>
          <w:ilvl w:val="0"/>
          <w:numId w:val="25"/>
        </w:numPr>
        <w:jc w:val="both"/>
        <w:rPr>
          <w:i/>
          <w:iCs/>
          <w:color w:val="FF0000"/>
          <w:szCs w:val="24"/>
        </w:rPr>
      </w:pPr>
      <w:r w:rsidRPr="0086341B">
        <w:rPr>
          <w:i/>
          <w:iCs/>
          <w:color w:val="FF0000"/>
          <w:szCs w:val="24"/>
        </w:rPr>
        <w:lastRenderedPageBreak/>
        <w:t xml:space="preserve">Amend the colour of these lines based on the assigned values in the confidence matrices. This may be a deep blue for strong confidence in a positive connection and gradient to lighter blues for weaker confidence. This premise applied for the negative connections also. </w:t>
      </w:r>
    </w:p>
    <w:p w14:paraId="1156D4BA" w14:textId="77777777" w:rsidR="00D3061E" w:rsidRPr="0086341B" w:rsidRDefault="00D3061E" w:rsidP="003F101A">
      <w:pPr>
        <w:spacing w:after="0"/>
        <w:rPr>
          <w:i/>
          <w:iCs/>
          <w:color w:val="FF0000"/>
          <w:szCs w:val="24"/>
        </w:rPr>
      </w:pPr>
      <w:r w:rsidRPr="0086341B">
        <w:rPr>
          <w:i/>
          <w:iCs/>
          <w:color w:val="FF0000"/>
          <w:szCs w:val="24"/>
        </w:rPr>
        <w:t xml:space="preserve">Example: </w:t>
      </w:r>
    </w:p>
    <w:p w14:paraId="4B2B8EF4" w14:textId="77777777" w:rsidR="00D3061E" w:rsidRPr="0086341B" w:rsidRDefault="00D3061E" w:rsidP="00D3061E">
      <w:pPr>
        <w:rPr>
          <w:i/>
          <w:iCs/>
          <w:color w:val="FF0000"/>
          <w:szCs w:val="24"/>
        </w:rPr>
      </w:pPr>
      <w:r w:rsidRPr="0086341B">
        <w:rPr>
          <w:i/>
          <w:iCs/>
          <w:noProof/>
          <w:color w:val="FF0000"/>
          <w:szCs w:val="24"/>
        </w:rPr>
        <w:drawing>
          <wp:inline distT="0" distB="0" distL="0" distR="0" wp14:anchorId="15DFF232" wp14:editId="794BBC1B">
            <wp:extent cx="5348080" cy="3008443"/>
            <wp:effectExtent l="19050" t="19050" r="24130" b="20955"/>
            <wp:docPr id="2106010349" name="Picture 1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10349" name="Picture 16"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1846" cy="3010561"/>
                    </a:xfrm>
                    <a:prstGeom prst="rect">
                      <a:avLst/>
                    </a:prstGeom>
                    <a:noFill/>
                    <a:ln>
                      <a:solidFill>
                        <a:schemeClr val="accent1">
                          <a:lumMod val="50000"/>
                        </a:schemeClr>
                      </a:solidFill>
                    </a:ln>
                  </pic:spPr>
                </pic:pic>
              </a:graphicData>
            </a:graphic>
          </wp:inline>
        </w:drawing>
      </w:r>
    </w:p>
    <w:p w14:paraId="06BAB8F1" w14:textId="23AE9121" w:rsidR="00D3061E" w:rsidRPr="001E66DD" w:rsidRDefault="00D3061E" w:rsidP="001E66DD">
      <w:pPr>
        <w:rPr>
          <w:i/>
          <w:iCs/>
          <w:color w:val="FF0000"/>
          <w:szCs w:val="24"/>
        </w:rPr>
      </w:pPr>
      <w:r w:rsidRPr="0086341B">
        <w:rPr>
          <w:i/>
          <w:iCs/>
          <w:color w:val="FF0000"/>
          <w:szCs w:val="24"/>
        </w:rPr>
        <w:t xml:space="preserve">From these examples, we see that the modelling shows the complexity of interconnections in an SES, hence, in the next SOP, refinement and simplification techniques help reduce this complexity to a manageable size for analysing and designing management measures. </w:t>
      </w:r>
    </w:p>
    <w:p w14:paraId="445597A5" w14:textId="77777777" w:rsidR="00D3061E" w:rsidRPr="0086341B" w:rsidRDefault="00D3061E" w:rsidP="00D3061E">
      <w:pPr>
        <w:spacing w:line="240" w:lineRule="auto"/>
        <w:rPr>
          <w:i/>
          <w:iCs/>
          <w:color w:val="FF0000"/>
        </w:rPr>
      </w:pPr>
      <w:r w:rsidRPr="0086341B">
        <w:rPr>
          <w:i/>
          <w:iCs/>
          <w:color w:val="FF0000"/>
        </w:rPr>
        <w:t xml:space="preserve">A style guide for the elements, connections, and confidence can be found in annex X. </w:t>
      </w:r>
    </w:p>
    <w:p w14:paraId="3C7F5F89" w14:textId="73D04AED" w:rsidR="00361B4F" w:rsidRDefault="00361B4F" w:rsidP="00C97481">
      <w:pPr>
        <w:pStyle w:val="Heading2"/>
        <w:jc w:val="both"/>
      </w:pPr>
      <w:r>
        <w:t>Considerations:</w:t>
      </w:r>
      <w:bookmarkEnd w:id="18"/>
      <w:r>
        <w:t xml:space="preserve">  </w:t>
      </w:r>
    </w:p>
    <w:p w14:paraId="23531AC1" w14:textId="52F4BBAF" w:rsidR="00E35ECC" w:rsidRPr="001B0F39" w:rsidRDefault="00361B4F" w:rsidP="00C97481">
      <w:pPr>
        <w:jc w:val="both"/>
        <w:rPr>
          <w:i/>
          <w:iCs/>
          <w:color w:val="FF0000"/>
          <w:lang w:val="en-IE"/>
        </w:rPr>
      </w:pPr>
      <w:r w:rsidRPr="001B0F39">
        <w:rPr>
          <w:i/>
          <w:iCs/>
          <w:color w:val="FF0000"/>
        </w:rPr>
        <w:t>When CLD model building, there is a balance between including relevant elements and adding clarity to the model, alongside increasing the complexity of the model. There is a threshold where the inclusion of everything possibly relevant increases the complexity to too high of a level. Hence, as a user this consideration is paramount throughout the Simple SES modelling process.</w:t>
      </w:r>
    </w:p>
    <w:sectPr w:rsidR="00E35ECC" w:rsidRPr="001B0F39">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Gemma  Smith" w:date="2024-10-28T16:52:00Z" w:initials="GS">
    <w:p w14:paraId="0697C0D6" w14:textId="77777777" w:rsidR="00874C87" w:rsidRDefault="00874C87" w:rsidP="00874C87">
      <w:pPr>
        <w:pStyle w:val="CommentText"/>
        <w:jc w:val="left"/>
      </w:pPr>
      <w:r>
        <w:rPr>
          <w:rStyle w:val="CommentReference"/>
        </w:rPr>
        <w:annotationRef/>
      </w:r>
      <w:r>
        <w:t>I think this is important to consider as the DSS will streamline this process, however, the ‘on paper’ version needs to provide the method of doing so.</w:t>
      </w:r>
    </w:p>
  </w:comment>
  <w:comment w:id="7" w:author="Gemma  Smith" w:date="2024-11-01T09:44:00Z" w:initials="GS">
    <w:p w14:paraId="06CD9315" w14:textId="77777777" w:rsidR="00874C87" w:rsidRDefault="00874C87" w:rsidP="00874C87">
      <w:pPr>
        <w:pStyle w:val="CommentText"/>
        <w:jc w:val="left"/>
      </w:pPr>
      <w:r>
        <w:rPr>
          <w:rStyle w:val="CommentReference"/>
        </w:rPr>
        <w:annotationRef/>
      </w:r>
      <w:r>
        <w:t xml:space="preserve">This will need updating in line with the evolution of the Shiny App, so the instructions match the tool </w:t>
      </w:r>
    </w:p>
  </w:comment>
  <w:comment w:id="17" w:author="Gemma  Smith" w:date="2024-11-01T12:28:00Z" w:initials="GS">
    <w:p w14:paraId="07D63B68" w14:textId="77777777" w:rsidR="001E66DD" w:rsidRDefault="001E66DD" w:rsidP="001E66DD">
      <w:pPr>
        <w:pStyle w:val="CommentText"/>
        <w:jc w:val="left"/>
      </w:pPr>
      <w:r>
        <w:rPr>
          <w:rStyle w:val="CommentReference"/>
        </w:rPr>
        <w:annotationRef/>
      </w:r>
      <w:r>
        <w:t xml:space="preserve">This will need amending to be the steps necessary by users… e..g. upload elements and nodes; upload adjacency matrices. </w:t>
      </w:r>
    </w:p>
  </w:comment>
  <w:comment w:id="19" w:author="Gemma  Smith" w:date="2024-11-01T12:27:00Z" w:initials="GS">
    <w:p w14:paraId="7CD320F6" w14:textId="73EAE97B" w:rsidR="0086341B" w:rsidRDefault="0086341B" w:rsidP="0086341B">
      <w:pPr>
        <w:pStyle w:val="CommentText"/>
        <w:jc w:val="left"/>
      </w:pPr>
      <w:r>
        <w:rPr>
          <w:rStyle w:val="CommentReference"/>
        </w:rPr>
        <w:annotationRef/>
      </w:r>
      <w:r>
        <w:t>This would be better if this was a snapshot of the DST.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97C0D6" w15:done="0"/>
  <w15:commentEx w15:paraId="06CD9315" w15:paraIdParent="0697C0D6" w15:done="0"/>
  <w15:commentEx w15:paraId="07D63B68" w15:done="0"/>
  <w15:commentEx w15:paraId="7CD32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3260F0" w16cex:dateUtc="2024-10-28T16:52:00Z"/>
  <w16cex:commentExtensible w16cex:durableId="38E69ABC" w16cex:dateUtc="2024-11-01T09:44:00Z"/>
  <w16cex:commentExtensible w16cex:durableId="60710E6E" w16cex:dateUtc="2024-11-01T12:28:00Z"/>
  <w16cex:commentExtensible w16cex:durableId="6B288F79" w16cex:dateUtc="2024-11-01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97C0D6" w16cid:durableId="7D3260F0"/>
  <w16cid:commentId w16cid:paraId="06CD9315" w16cid:durableId="38E69ABC"/>
  <w16cid:commentId w16cid:paraId="07D63B68" w16cid:durableId="60710E6E"/>
  <w16cid:commentId w16cid:paraId="7CD320F6" w16cid:durableId="6B288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15C08" w14:textId="77777777" w:rsidR="00562B26" w:rsidRDefault="00562B26" w:rsidP="00A60E9C">
      <w:pPr>
        <w:spacing w:after="0" w:line="240" w:lineRule="auto"/>
      </w:pPr>
      <w:r>
        <w:separator/>
      </w:r>
    </w:p>
  </w:endnote>
  <w:endnote w:type="continuationSeparator" w:id="0">
    <w:p w14:paraId="11F8252F" w14:textId="77777777" w:rsidR="00562B26" w:rsidRDefault="00562B26" w:rsidP="00A6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455893"/>
      <w:docPartObj>
        <w:docPartGallery w:val="Page Numbers (Bottom of Page)"/>
        <w:docPartUnique/>
      </w:docPartObj>
    </w:sdtPr>
    <w:sdtEndPr/>
    <w:sdtContent>
      <w:p w14:paraId="17008758" w14:textId="640AF1EF" w:rsidR="00A60E9C" w:rsidRDefault="00A60E9C">
        <w:pPr>
          <w:pStyle w:val="Footer"/>
          <w:jc w:val="center"/>
        </w:pPr>
        <w:r>
          <w:fldChar w:fldCharType="begin"/>
        </w:r>
        <w:r>
          <w:instrText>PAGE   \* MERGEFORMAT</w:instrText>
        </w:r>
        <w:r>
          <w:fldChar w:fldCharType="separate"/>
        </w:r>
        <w:r>
          <w:t>2</w:t>
        </w:r>
        <w:r>
          <w:fldChar w:fldCharType="end"/>
        </w:r>
      </w:p>
    </w:sdtContent>
  </w:sdt>
  <w:p w14:paraId="4014C204" w14:textId="77777777" w:rsidR="00A60E9C" w:rsidRDefault="00A60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0F232" w14:textId="77777777" w:rsidR="00562B26" w:rsidRDefault="00562B26" w:rsidP="00A60E9C">
      <w:pPr>
        <w:spacing w:after="0" w:line="240" w:lineRule="auto"/>
      </w:pPr>
      <w:r>
        <w:separator/>
      </w:r>
    </w:p>
  </w:footnote>
  <w:footnote w:type="continuationSeparator" w:id="0">
    <w:p w14:paraId="0B690EE5" w14:textId="77777777" w:rsidR="00562B26" w:rsidRDefault="00562B26" w:rsidP="00A6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3B22"/>
    <w:multiLevelType w:val="hybridMultilevel"/>
    <w:tmpl w:val="3B5A6BA6"/>
    <w:lvl w:ilvl="0" w:tplc="FFFFFFFF">
      <w:start w:val="1"/>
      <w:numFmt w:val="decimal"/>
      <w:lvlText w:val="%1."/>
      <w:lvlJc w:val="left"/>
      <w:pPr>
        <w:ind w:left="720" w:hanging="360"/>
      </w:p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40674"/>
    <w:multiLevelType w:val="hybridMultilevel"/>
    <w:tmpl w:val="822A25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8C4884"/>
    <w:multiLevelType w:val="hybridMultilevel"/>
    <w:tmpl w:val="80DE44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FD2251"/>
    <w:multiLevelType w:val="hybridMultilevel"/>
    <w:tmpl w:val="54B64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8DA37FE"/>
    <w:multiLevelType w:val="hybridMultilevel"/>
    <w:tmpl w:val="825A46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A82637"/>
    <w:multiLevelType w:val="multilevel"/>
    <w:tmpl w:val="6D9E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9288A"/>
    <w:multiLevelType w:val="hybridMultilevel"/>
    <w:tmpl w:val="E1F0410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097572"/>
    <w:multiLevelType w:val="hybridMultilevel"/>
    <w:tmpl w:val="F4BA3B5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32112D"/>
    <w:multiLevelType w:val="hybridMultilevel"/>
    <w:tmpl w:val="316C52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1A0E4A"/>
    <w:multiLevelType w:val="hybridMultilevel"/>
    <w:tmpl w:val="B5668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051666"/>
    <w:multiLevelType w:val="hybridMultilevel"/>
    <w:tmpl w:val="D80265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067C3F"/>
    <w:multiLevelType w:val="hybridMultilevel"/>
    <w:tmpl w:val="7AA8DA3A"/>
    <w:lvl w:ilvl="0" w:tplc="5A5018D4">
      <w:start w:val="1"/>
      <w:numFmt w:val="bullet"/>
      <w:lvlText w:val=""/>
      <w:lvlJc w:val="left"/>
      <w:pPr>
        <w:ind w:left="1210" w:hanging="360"/>
      </w:pPr>
      <w:rPr>
        <w:rFonts w:ascii="Symbol" w:hAnsi="Symbol" w:hint="default"/>
        <w:color w:val="501549" w:themeColor="accent5"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BB2F07"/>
    <w:multiLevelType w:val="hybridMultilevel"/>
    <w:tmpl w:val="B49A15F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AC94D24"/>
    <w:multiLevelType w:val="hybridMultilevel"/>
    <w:tmpl w:val="4AAC357E"/>
    <w:lvl w:ilvl="0" w:tplc="4E82450C">
      <w:numFmt w:val="bullet"/>
      <w:lvlText w:val="-"/>
      <w:lvlJc w:val="left"/>
      <w:pPr>
        <w:ind w:left="720" w:hanging="360"/>
      </w:pPr>
      <w:rPr>
        <w:rFonts w:ascii="Aptos" w:eastAsia="Times New Roman" w:hAnsi="Aptos"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8D3705C"/>
    <w:multiLevelType w:val="hybridMultilevel"/>
    <w:tmpl w:val="92C87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C143F54"/>
    <w:multiLevelType w:val="hybridMultilevel"/>
    <w:tmpl w:val="68C2692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5080F"/>
    <w:multiLevelType w:val="hybridMultilevel"/>
    <w:tmpl w:val="D2EA058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D80902"/>
    <w:multiLevelType w:val="hybridMultilevel"/>
    <w:tmpl w:val="7B8049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D116D3C"/>
    <w:multiLevelType w:val="hybridMultilevel"/>
    <w:tmpl w:val="AAC6F8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0AD7333"/>
    <w:multiLevelType w:val="hybridMultilevel"/>
    <w:tmpl w:val="5C269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3F667DE"/>
    <w:multiLevelType w:val="hybridMultilevel"/>
    <w:tmpl w:val="0EEA62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5BE4773"/>
    <w:multiLevelType w:val="hybridMultilevel"/>
    <w:tmpl w:val="ADE819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C407E7D"/>
    <w:multiLevelType w:val="hybridMultilevel"/>
    <w:tmpl w:val="42682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823EBC"/>
    <w:multiLevelType w:val="hybridMultilevel"/>
    <w:tmpl w:val="DA0A35F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FA5335F"/>
    <w:multiLevelType w:val="hybridMultilevel"/>
    <w:tmpl w:val="DD963E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20214380">
    <w:abstractNumId w:val="13"/>
  </w:num>
  <w:num w:numId="2" w16cid:durableId="325935734">
    <w:abstractNumId w:val="11"/>
  </w:num>
  <w:num w:numId="3" w16cid:durableId="2075811170">
    <w:abstractNumId w:val="8"/>
  </w:num>
  <w:num w:numId="4" w16cid:durableId="1972511354">
    <w:abstractNumId w:val="5"/>
  </w:num>
  <w:num w:numId="5" w16cid:durableId="1715230168">
    <w:abstractNumId w:val="21"/>
  </w:num>
  <w:num w:numId="6" w16cid:durableId="1467241892">
    <w:abstractNumId w:val="9"/>
  </w:num>
  <w:num w:numId="7" w16cid:durableId="2080706450">
    <w:abstractNumId w:val="24"/>
  </w:num>
  <w:num w:numId="8" w16cid:durableId="1397557224">
    <w:abstractNumId w:val="22"/>
  </w:num>
  <w:num w:numId="9" w16cid:durableId="1199707867">
    <w:abstractNumId w:val="0"/>
  </w:num>
  <w:num w:numId="10" w16cid:durableId="326254138">
    <w:abstractNumId w:val="2"/>
  </w:num>
  <w:num w:numId="11" w16cid:durableId="905652365">
    <w:abstractNumId w:val="16"/>
  </w:num>
  <w:num w:numId="12" w16cid:durableId="1731806040">
    <w:abstractNumId w:val="15"/>
  </w:num>
  <w:num w:numId="13" w16cid:durableId="1005327008">
    <w:abstractNumId w:val="12"/>
  </w:num>
  <w:num w:numId="14" w16cid:durableId="387996297">
    <w:abstractNumId w:val="1"/>
  </w:num>
  <w:num w:numId="15" w16cid:durableId="2116435951">
    <w:abstractNumId w:val="23"/>
  </w:num>
  <w:num w:numId="16" w16cid:durableId="1628856489">
    <w:abstractNumId w:val="20"/>
  </w:num>
  <w:num w:numId="17" w16cid:durableId="300424970">
    <w:abstractNumId w:val="4"/>
  </w:num>
  <w:num w:numId="18" w16cid:durableId="980619384">
    <w:abstractNumId w:val="18"/>
  </w:num>
  <w:num w:numId="19" w16cid:durableId="1851290786">
    <w:abstractNumId w:val="6"/>
  </w:num>
  <w:num w:numId="20" w16cid:durableId="799228077">
    <w:abstractNumId w:val="19"/>
  </w:num>
  <w:num w:numId="21" w16cid:durableId="515079572">
    <w:abstractNumId w:val="14"/>
  </w:num>
  <w:num w:numId="22" w16cid:durableId="1916935623">
    <w:abstractNumId w:val="3"/>
  </w:num>
  <w:num w:numId="23" w16cid:durableId="1559779912">
    <w:abstractNumId w:val="10"/>
  </w:num>
  <w:num w:numId="24" w16cid:durableId="1264532502">
    <w:abstractNumId w:val="17"/>
  </w:num>
  <w:num w:numId="25" w16cid:durableId="17017857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mma  Smith">
    <w15:presenceInfo w15:providerId="AD" w15:userId="S::Gemma.Smith@iecs.ltd::e79b9f70-f6a8-4925-a741-9d7a262d9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CC"/>
    <w:rsid w:val="00015643"/>
    <w:rsid w:val="0002036F"/>
    <w:rsid w:val="000A3D90"/>
    <w:rsid w:val="000B1EBB"/>
    <w:rsid w:val="000D51A2"/>
    <w:rsid w:val="00175F60"/>
    <w:rsid w:val="00176AD8"/>
    <w:rsid w:val="001A6810"/>
    <w:rsid w:val="001B0F39"/>
    <w:rsid w:val="001E66DD"/>
    <w:rsid w:val="00215634"/>
    <w:rsid w:val="00247644"/>
    <w:rsid w:val="002559DF"/>
    <w:rsid w:val="00314231"/>
    <w:rsid w:val="00322771"/>
    <w:rsid w:val="003534AA"/>
    <w:rsid w:val="00361B4F"/>
    <w:rsid w:val="003D3784"/>
    <w:rsid w:val="003D77BE"/>
    <w:rsid w:val="003F101A"/>
    <w:rsid w:val="00417829"/>
    <w:rsid w:val="004E5D2D"/>
    <w:rsid w:val="0052132C"/>
    <w:rsid w:val="00562B26"/>
    <w:rsid w:val="005B6E5B"/>
    <w:rsid w:val="00634B45"/>
    <w:rsid w:val="006871D8"/>
    <w:rsid w:val="00696BA8"/>
    <w:rsid w:val="00774A09"/>
    <w:rsid w:val="007C1247"/>
    <w:rsid w:val="007E0017"/>
    <w:rsid w:val="008422A0"/>
    <w:rsid w:val="00845499"/>
    <w:rsid w:val="0086341B"/>
    <w:rsid w:val="00874C87"/>
    <w:rsid w:val="008A3466"/>
    <w:rsid w:val="008B0B7A"/>
    <w:rsid w:val="008C383F"/>
    <w:rsid w:val="009A129F"/>
    <w:rsid w:val="009B7ACE"/>
    <w:rsid w:val="009C50DF"/>
    <w:rsid w:val="00A60E9C"/>
    <w:rsid w:val="00AA23F3"/>
    <w:rsid w:val="00AD0151"/>
    <w:rsid w:val="00AD7F4F"/>
    <w:rsid w:val="00AE7EBA"/>
    <w:rsid w:val="00B62B4D"/>
    <w:rsid w:val="00B65798"/>
    <w:rsid w:val="00BD4331"/>
    <w:rsid w:val="00C57B6F"/>
    <w:rsid w:val="00C97481"/>
    <w:rsid w:val="00CA4914"/>
    <w:rsid w:val="00CE1B77"/>
    <w:rsid w:val="00D3061E"/>
    <w:rsid w:val="00D4221B"/>
    <w:rsid w:val="00D50EEC"/>
    <w:rsid w:val="00D630B3"/>
    <w:rsid w:val="00D70516"/>
    <w:rsid w:val="00E35ECC"/>
    <w:rsid w:val="00E4205F"/>
    <w:rsid w:val="00E9317D"/>
    <w:rsid w:val="00EC204D"/>
    <w:rsid w:val="00ED2C00"/>
    <w:rsid w:val="00F93F59"/>
    <w:rsid w:val="00FC0F50"/>
    <w:rsid w:val="00FD2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E629"/>
  <w15:chartTrackingRefBased/>
  <w15:docId w15:val="{D5E3AAA2-B090-4624-8A0A-F2C120E9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CC"/>
    <w:rPr>
      <w:rFonts w:eastAsiaTheme="majorEastAsia" w:cstheme="majorBidi"/>
      <w:color w:val="272727" w:themeColor="text1" w:themeTint="D8"/>
    </w:rPr>
  </w:style>
  <w:style w:type="paragraph" w:styleId="Title">
    <w:name w:val="Title"/>
    <w:basedOn w:val="Normal"/>
    <w:next w:val="Normal"/>
    <w:link w:val="TitleChar"/>
    <w:uiPriority w:val="10"/>
    <w:qFormat/>
    <w:rsid w:val="00E35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CC"/>
    <w:pPr>
      <w:spacing w:before="160"/>
      <w:jc w:val="center"/>
    </w:pPr>
    <w:rPr>
      <w:i/>
      <w:iCs/>
      <w:color w:val="404040" w:themeColor="text1" w:themeTint="BF"/>
    </w:rPr>
  </w:style>
  <w:style w:type="character" w:customStyle="1" w:styleId="QuoteChar">
    <w:name w:val="Quote Char"/>
    <w:basedOn w:val="DefaultParagraphFont"/>
    <w:link w:val="Quote"/>
    <w:uiPriority w:val="29"/>
    <w:rsid w:val="00E35ECC"/>
    <w:rPr>
      <w:i/>
      <w:iCs/>
      <w:color w:val="404040" w:themeColor="text1" w:themeTint="BF"/>
    </w:rPr>
  </w:style>
  <w:style w:type="paragraph" w:styleId="ListParagraph">
    <w:name w:val="List Paragraph"/>
    <w:basedOn w:val="Normal"/>
    <w:link w:val="ListParagraphChar"/>
    <w:uiPriority w:val="34"/>
    <w:qFormat/>
    <w:rsid w:val="00E35ECC"/>
    <w:pPr>
      <w:ind w:left="720"/>
      <w:contextualSpacing/>
    </w:pPr>
  </w:style>
  <w:style w:type="character" w:styleId="IntenseEmphasis">
    <w:name w:val="Intense Emphasis"/>
    <w:basedOn w:val="DefaultParagraphFont"/>
    <w:uiPriority w:val="21"/>
    <w:qFormat/>
    <w:rsid w:val="00E35ECC"/>
    <w:rPr>
      <w:i/>
      <w:iCs/>
      <w:color w:val="0F4761" w:themeColor="accent1" w:themeShade="BF"/>
    </w:rPr>
  </w:style>
  <w:style w:type="paragraph" w:styleId="IntenseQuote">
    <w:name w:val="Intense Quote"/>
    <w:basedOn w:val="Normal"/>
    <w:next w:val="Normal"/>
    <w:link w:val="IntenseQuoteChar"/>
    <w:uiPriority w:val="30"/>
    <w:qFormat/>
    <w:rsid w:val="00E35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ECC"/>
    <w:rPr>
      <w:i/>
      <w:iCs/>
      <w:color w:val="0F4761" w:themeColor="accent1" w:themeShade="BF"/>
    </w:rPr>
  </w:style>
  <w:style w:type="character" w:styleId="IntenseReference">
    <w:name w:val="Intense Reference"/>
    <w:basedOn w:val="DefaultParagraphFont"/>
    <w:uiPriority w:val="32"/>
    <w:qFormat/>
    <w:rsid w:val="00E35ECC"/>
    <w:rPr>
      <w:b/>
      <w:bCs/>
      <w:smallCaps/>
      <w:color w:val="0F4761" w:themeColor="accent1" w:themeShade="BF"/>
      <w:spacing w:val="5"/>
    </w:rPr>
  </w:style>
  <w:style w:type="table" w:styleId="GridTable4-Accent4">
    <w:name w:val="Grid Table 4 Accent 4"/>
    <w:basedOn w:val="TableNormal"/>
    <w:uiPriority w:val="49"/>
    <w:rsid w:val="00E35EC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E35ECC"/>
    <w:pPr>
      <w:spacing w:after="200" w:line="240" w:lineRule="auto"/>
    </w:pPr>
    <w:rPr>
      <w:i/>
      <w:iCs/>
      <w:color w:val="0E2841" w:themeColor="text2"/>
      <w:kern w:val="0"/>
      <w:sz w:val="18"/>
      <w:szCs w:val="18"/>
      <w14:ligatures w14:val="none"/>
    </w:rPr>
  </w:style>
  <w:style w:type="character" w:customStyle="1" w:styleId="ListParagraphChar">
    <w:name w:val="List Paragraph Char"/>
    <w:link w:val="ListParagraph"/>
    <w:uiPriority w:val="34"/>
    <w:locked/>
    <w:rsid w:val="00E35ECC"/>
  </w:style>
  <w:style w:type="paragraph" w:styleId="NormalWeb">
    <w:name w:val="Normal (Web)"/>
    <w:basedOn w:val="Normal"/>
    <w:uiPriority w:val="99"/>
    <w:semiHidden/>
    <w:unhideWhenUsed/>
    <w:rsid w:val="00FD202D"/>
    <w:rPr>
      <w:rFonts w:ascii="Times New Roman" w:hAnsi="Times New Roman" w:cs="Times New Roman"/>
      <w:sz w:val="24"/>
      <w:szCs w:val="24"/>
    </w:rPr>
  </w:style>
  <w:style w:type="paragraph" w:styleId="Header">
    <w:name w:val="header"/>
    <w:basedOn w:val="Normal"/>
    <w:link w:val="HeaderChar"/>
    <w:uiPriority w:val="99"/>
    <w:unhideWhenUsed/>
    <w:rsid w:val="00A60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E9C"/>
  </w:style>
  <w:style w:type="paragraph" w:styleId="Footer">
    <w:name w:val="footer"/>
    <w:basedOn w:val="Normal"/>
    <w:link w:val="FooterChar"/>
    <w:uiPriority w:val="99"/>
    <w:unhideWhenUsed/>
    <w:rsid w:val="00A60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E9C"/>
  </w:style>
  <w:style w:type="table" w:styleId="GridTable4-Accent5">
    <w:name w:val="Grid Table 4 Accent 5"/>
    <w:basedOn w:val="TableNormal"/>
    <w:uiPriority w:val="49"/>
    <w:rsid w:val="00361B4F"/>
    <w:pPr>
      <w:spacing w:after="0" w:line="240" w:lineRule="auto"/>
    </w:pPr>
    <w:rPr>
      <w:kern w:val="0"/>
      <w:sz w:val="24"/>
      <w:szCs w:val="24"/>
      <w:lang w:val="en-IE"/>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CommentReference">
    <w:name w:val="annotation reference"/>
    <w:basedOn w:val="DefaultParagraphFont"/>
    <w:uiPriority w:val="99"/>
    <w:semiHidden/>
    <w:unhideWhenUsed/>
    <w:rsid w:val="00361B4F"/>
    <w:rPr>
      <w:sz w:val="16"/>
      <w:szCs w:val="16"/>
    </w:rPr>
  </w:style>
  <w:style w:type="paragraph" w:styleId="CommentText">
    <w:name w:val="annotation text"/>
    <w:basedOn w:val="Normal"/>
    <w:link w:val="CommentTextChar"/>
    <w:uiPriority w:val="99"/>
    <w:unhideWhenUsed/>
    <w:rsid w:val="00361B4F"/>
    <w:pPr>
      <w:spacing w:after="0" w:line="240" w:lineRule="auto"/>
      <w:jc w:val="both"/>
    </w:pPr>
    <w:rPr>
      <w:rFonts w:ascii="Aptos" w:eastAsia="Times New Roman" w:hAnsi="Aptos" w:cstheme="minorHAnsi"/>
      <w:color w:val="000000"/>
      <w:kern w:val="28"/>
      <w:sz w:val="20"/>
      <w:szCs w:val="20"/>
      <w:lang w:val="en-IE" w:eastAsia="en-IE"/>
      <w14:ligatures w14:val="none"/>
    </w:rPr>
  </w:style>
  <w:style w:type="character" w:customStyle="1" w:styleId="CommentTextChar">
    <w:name w:val="Comment Text Char"/>
    <w:basedOn w:val="DefaultParagraphFont"/>
    <w:link w:val="CommentText"/>
    <w:uiPriority w:val="99"/>
    <w:rsid w:val="00361B4F"/>
    <w:rPr>
      <w:rFonts w:ascii="Aptos" w:eastAsia="Times New Roman" w:hAnsi="Aptos" w:cstheme="minorHAnsi"/>
      <w:color w:val="000000"/>
      <w:kern w:val="28"/>
      <w:sz w:val="20"/>
      <w:szCs w:val="20"/>
      <w:lang w:val="en-IE" w:eastAsia="en-IE"/>
      <w14:ligatures w14:val="none"/>
    </w:rPr>
  </w:style>
  <w:style w:type="paragraph" w:styleId="CommentSubject">
    <w:name w:val="annotation subject"/>
    <w:basedOn w:val="CommentText"/>
    <w:next w:val="CommentText"/>
    <w:link w:val="CommentSubjectChar"/>
    <w:uiPriority w:val="99"/>
    <w:semiHidden/>
    <w:unhideWhenUsed/>
    <w:rsid w:val="00D630B3"/>
    <w:pPr>
      <w:spacing w:after="160"/>
      <w:jc w:val="left"/>
    </w:pPr>
    <w:rPr>
      <w:rFonts w:asciiTheme="minorHAnsi" w:eastAsiaTheme="minorHAnsi" w:hAnsiTheme="minorHAnsi" w:cstheme="minorBidi"/>
      <w:b/>
      <w:bCs/>
      <w:color w:val="auto"/>
      <w:kern w:val="2"/>
      <w:lang w:val="en-GB" w:eastAsia="en-US"/>
      <w14:ligatures w14:val="standardContextual"/>
    </w:rPr>
  </w:style>
  <w:style w:type="character" w:customStyle="1" w:styleId="CommentSubjectChar">
    <w:name w:val="Comment Subject Char"/>
    <w:basedOn w:val="CommentTextChar"/>
    <w:link w:val="CommentSubject"/>
    <w:uiPriority w:val="99"/>
    <w:semiHidden/>
    <w:rsid w:val="00D630B3"/>
    <w:rPr>
      <w:rFonts w:ascii="Aptos" w:eastAsia="Times New Roman" w:hAnsi="Aptos" w:cstheme="minorHAnsi"/>
      <w:b/>
      <w:bCs/>
      <w:color w:val="000000"/>
      <w:kern w:val="28"/>
      <w:sz w:val="20"/>
      <w:szCs w:val="20"/>
      <w:lang w:val="en-IE"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0249">
      <w:bodyDiv w:val="1"/>
      <w:marLeft w:val="0"/>
      <w:marRight w:val="0"/>
      <w:marTop w:val="0"/>
      <w:marBottom w:val="0"/>
      <w:divBdr>
        <w:top w:val="none" w:sz="0" w:space="0" w:color="auto"/>
        <w:left w:val="none" w:sz="0" w:space="0" w:color="auto"/>
        <w:bottom w:val="none" w:sz="0" w:space="0" w:color="auto"/>
        <w:right w:val="none" w:sz="0" w:space="0" w:color="auto"/>
      </w:divBdr>
    </w:div>
    <w:div w:id="1426918820">
      <w:bodyDiv w:val="1"/>
      <w:marLeft w:val="0"/>
      <w:marRight w:val="0"/>
      <w:marTop w:val="0"/>
      <w:marBottom w:val="0"/>
      <w:divBdr>
        <w:top w:val="none" w:sz="0" w:space="0" w:color="auto"/>
        <w:left w:val="none" w:sz="0" w:space="0" w:color="auto"/>
        <w:bottom w:val="none" w:sz="0" w:space="0" w:color="auto"/>
        <w:right w:val="none" w:sz="0" w:space="0" w:color="auto"/>
      </w:divBdr>
    </w:div>
    <w:div w:id="1435056924">
      <w:bodyDiv w:val="1"/>
      <w:marLeft w:val="0"/>
      <w:marRight w:val="0"/>
      <w:marTop w:val="0"/>
      <w:marBottom w:val="0"/>
      <w:divBdr>
        <w:top w:val="none" w:sz="0" w:space="0" w:color="auto"/>
        <w:left w:val="none" w:sz="0" w:space="0" w:color="auto"/>
        <w:bottom w:val="none" w:sz="0" w:space="0" w:color="auto"/>
        <w:right w:val="none" w:sz="0" w:space="0" w:color="auto"/>
      </w:divBdr>
    </w:div>
    <w:div w:id="171161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SMITH</dc:creator>
  <cp:keywords/>
  <dc:description/>
  <cp:lastModifiedBy>GEMMA SMITH</cp:lastModifiedBy>
  <cp:revision>58</cp:revision>
  <dcterms:created xsi:type="dcterms:W3CDTF">2024-08-12T13:46:00Z</dcterms:created>
  <dcterms:modified xsi:type="dcterms:W3CDTF">2024-11-01T12:31:00Z</dcterms:modified>
</cp:coreProperties>
</file>