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9242a436e33224bfb99b30a0bb6bd176f18c58"/>
    <w:p>
      <w:pPr>
        <w:pStyle w:val="Heading1"/>
      </w:pPr>
      <w:r>
        <w:t xml:space="preserve">Multi-mesh support for OSMOSE-Python — implementation plan</w:t>
      </w:r>
    </w:p>
    <w:p>
      <w:pPr>
        <w:pStyle w:val="Block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2026-04-27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plan, no code committed</w:t>
      </w:r>
      <w:r>
        <w:t xml:space="preserve"> </w:t>
      </w:r>
      <w:r>
        <w:rPr>
          <w:bCs/>
          <w:b/>
        </w:rPr>
        <w:t xml:space="preserve">Companion to:</w:t>
      </w:r>
      <w:r>
        <w:t xml:space="preserve"> </w:t>
      </w:r>
      <w:hyperlink r:id="rId20">
        <w:r>
          <w:rPr>
            <w:rStyle w:val="VerbatimChar"/>
          </w:rPr>
          <w:t xml:space="preserve">docs/superpowers/specs/2026-04-24-non-rectangular-grids-exploration.md</w:t>
        </w:r>
      </w:hyperlink>
      <w:r>
        <w:t xml:space="preserve"> </w:t>
      </w:r>
      <w:r>
        <w:t xml:space="preserve">(feasibility study)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plan distilled from grid-topology survey + 2026-04-24 hex/FEM exploration</w:t>
      </w:r>
    </w:p>
    <w:p>
      <w:pPr>
        <w:pStyle w:val="FirstParagraph"/>
      </w:pPr>
      <w:r>
        <w:t xml:space="preserve">The 2026-04-24 feasibility study answered</w:t>
      </w:r>
      <w:r>
        <w:t xml:space="preserve"> </w:t>
      </w:r>
      <w:r>
        <w:t xml:space="preserve">“</w:t>
      </w:r>
      <w:r>
        <w:t xml:space="preserve">is it possible?</w:t>
      </w:r>
      <w:r>
        <w:t xml:space="preserve">”</w:t>
      </w:r>
      <w:r>
        <w:t xml:space="preserve"> </w:t>
      </w:r>
      <w:r>
        <w:t xml:space="preserve">(yes, in three flavours). This plan answers</w:t>
      </w:r>
      <w:r>
        <w:t xml:space="preserve"> </w:t>
      </w:r>
      <w:r>
        <w:t xml:space="preserve">“</w:t>
      </w:r>
      <w:r>
        <w:t xml:space="preserve">if we commit, what are the</w:t>
      </w:r>
      <w:r>
        <w:t xml:space="preserve"> </w:t>
      </w:r>
      <w:r>
        <w:rPr>
          <w:iCs/>
          <w:i/>
        </w:rPr>
        <w:t xml:space="preserve">option packages</w:t>
      </w:r>
      <w:r>
        <w:t xml:space="preserve"> </w:t>
      </w:r>
      <w:r>
        <w:t xml:space="preserve">we can pick from, what does each ship, and in what order?</w:t>
      </w:r>
      <w:r>
        <w:t xml:space="preserve">”</w:t>
      </w:r>
      <w:r>
        <w:t xml:space="preserve">. Five concrete option packages are described, sized, and contrasted; a sixth —</w:t>
      </w:r>
      <w:r>
        <w:t xml:space="preserve"> </w:t>
      </w:r>
      <w:r>
        <w:t xml:space="preserve">“</w:t>
      </w:r>
      <w:r>
        <w:t xml:space="preserve">do nothing</w:t>
      </w:r>
      <w:r>
        <w:t xml:space="preserve">”</w:t>
      </w:r>
      <w:r>
        <w:t xml:space="preserve"> </w:t>
      </w:r>
      <w:r>
        <w:t xml:space="preserve">— is the implicit baseline.</w:t>
      </w:r>
    </w:p>
    <w:p>
      <w:r>
        <w:pict>
          <v:rect style="width:0;height:1.5pt" o:hralign="center" o:hrstd="t" o:hr="t"/>
        </w:pict>
      </w:r>
    </w:p>
    <w:bookmarkStart w:id="21" w:name="tldr-picking-from-the-menu"/>
    <w:p>
      <w:pPr>
        <w:pStyle w:val="Heading2"/>
      </w:pPr>
      <w:r>
        <w:t xml:space="preserve">TL;DR — picking from the menu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Curvilinear-rectangular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Coupling with NEMO/ROMS-style ocean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abstraction (no new mesh)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2–3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that unblocks all later options without forking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B + Hex (H3)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6–8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Cleaner dispersal kernels, hierarchical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+ B + Unstructured UGRID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topology + I/O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3–4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lagoon/estuary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Pre-processor only (mesh→rect aggregator)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1–2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external mesh data without touching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Nested-rectangular subgrids (AMR-lite)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Engine-internal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4–6 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 specific zones (e.g., Vistula Lagoon) without leaving the rectangular world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ship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unconditionally (it’s a refactor with no behavior change and it pays for itself in code-quality + testability), then defer the choice between</w:t>
      </w:r>
      <w:r>
        <w:t xml:space="preserve"> </w:t>
      </w:r>
      <w:r>
        <w:rPr>
          <w:bCs/>
          <w:b/>
        </w:rPr>
        <w:t xml:space="preserve">A</w:t>
      </w:r>
      <w:r>
        <w:t xml:space="preserve">,</w:t>
      </w:r>
      <w:r>
        <w:t xml:space="preserve"> </w:t>
      </w:r>
      <w:r>
        <w:rPr>
          <w:bCs/>
          <w:b/>
        </w:rPr>
        <w:t xml:space="preserve">C</w:t>
      </w:r>
      <w:r>
        <w:t xml:space="preserve">,</w:t>
      </w:r>
      <w:r>
        <w:t xml:space="preserve"> </w:t>
      </w:r>
      <w:r>
        <w:rPr>
          <w:bCs/>
          <w:b/>
        </w:rPr>
        <w:t xml:space="preserve">D</w:t>
      </w:r>
      <w:r>
        <w:t xml:space="preserve">,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to a domain-driven decision based on the use case.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is parallel and complementary to all others.</w:t>
      </w:r>
    </w:p>
    <w:p>
      <w:pPr>
        <w:pStyle w:val="BodyText"/>
      </w:pPr>
      <w:r>
        <w:t xml:space="preserve">The Java-parity question is the single most consequential strategic decision. Options B and E preserve parity. A, C, D, F all break it.</w:t>
      </w:r>
    </w:p>
    <w:p>
      <w:r>
        <w:pict>
          <v:rect style="width:0;height:1.5pt" o:hralign="center" o:hrstd="t" o:hr="t"/>
        </w:pict>
      </w:r>
    </w:p>
    <w:bookmarkEnd w:id="21"/>
    <w:bookmarkStart w:id="22" w:name="where-the-engine-is-today-minimal-recap"/>
    <w:p>
      <w:pPr>
        <w:pStyle w:val="Heading2"/>
      </w:pPr>
      <w:r>
        <w:t xml:space="preserve">0 · Where the engine is today (minimal recap)</w:t>
      </w:r>
    </w:p>
    <w:p>
      <w:pPr>
        <w:pStyle w:val="FirstParagraph"/>
      </w:pPr>
      <w:r>
        <w:rPr>
          <w:rStyle w:val="VerbatimChar"/>
        </w:rPr>
        <w:t xml:space="preserve">osmose/engine/grid.py:16-122</w:t>
      </w:r>
      <w:r>
        <w:t xml:space="preserve"> </w:t>
      </w:r>
      <w:r>
        <w:t xml:space="preserve">defines a single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class with hardcoded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t xml:space="preserve">2D layout, row-major indexing (</w:t>
      </w:r>
      <w:r>
        <w:rPr>
          <w:rStyle w:val="VerbatimChar"/>
        </w:rPr>
        <w:t xml:space="preserve">cell_id = y*nx + x</w:t>
      </w:r>
      <w:r>
        <w:t xml:space="preserve">), and 8-connectivity via integer</w:t>
      </w:r>
      <w:r>
        <w:t xml:space="preserve"> </w:t>
      </w:r>
      <w:r>
        <w:rPr>
          <w:rStyle w:val="VerbatimChar"/>
        </w:rPr>
        <w:t xml:space="preserve">(dy, dx) ∈ {-1,0,1}²</w:t>
      </w:r>
      <w:r>
        <w:t xml:space="preserve"> </w:t>
      </w:r>
      <w:r>
        <w:t xml:space="preserve">arithmetic. Cell topology assumptions leak into: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osmose/engine/processes/movement.py:33-193</w:t>
      </w:r>
      <w:r>
        <w:t xml:space="preserve"> </w:t>
      </w:r>
      <w:r>
        <w:t xml:space="preserve">— random walk + map CSV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osmose/engine/processes/mortality.py:1788-1805</w:t>
      </w:r>
      <w:r>
        <w:t xml:space="preserve"> </w:t>
      </w:r>
      <w:r>
        <w:t xml:space="preserve">— cell grouping via</w:t>
      </w:r>
      <w:r>
        <w:t xml:space="preserve"> </w:t>
      </w:r>
      <w:r>
        <w:rPr>
          <w:rStyle w:val="VerbatimChar"/>
        </w:rPr>
        <w:t xml:space="preserve">cell_y * grid.nx + cell_x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osmose/engine/output.py:492-640</w:t>
      </w:r>
      <w:r>
        <w:t xml:space="preserve"> </w:t>
      </w:r>
      <w:r>
        <w:t xml:space="preserve">— NetCDF writer with</w:t>
      </w:r>
      <w:r>
        <w:t xml:space="preserve"> </w:t>
      </w:r>
      <w:r>
        <w:rPr>
          <w:rStyle w:val="VerbatimChar"/>
        </w:rPr>
        <w:t xml:space="preserve">(time, species, lat, lon)</w:t>
      </w:r>
      <w:r>
        <w:t xml:space="preserve"> </w:t>
      </w:r>
      <w:r>
        <w:t xml:space="preserve">dims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ui/pages/grid_helpers.py:289-707</w:t>
      </w:r>
      <w:r>
        <w:t xml:space="preserve"> </w:t>
      </w:r>
      <w:r>
        <w:t xml:space="preserve">— polygon construction from meshgrid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osmose/schema/grid.py:5-98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grid.nlon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grid.nlat</w:t>
      </w:r>
      <w:r>
        <w:t xml:space="preserve">, bounding-box config keys</w:t>
      </w:r>
    </w:p>
    <w:p>
      <w:pPr>
        <w:pStyle w:val="FirstParagraph"/>
      </w:pPr>
      <w:r>
        <w:t xml:space="preserve">The engine</w:t>
      </w:r>
      <w:r>
        <w:t xml:space="preserve"> </w:t>
      </w:r>
      <w:r>
        <w:rPr>
          <w:bCs/>
          <w:b/>
        </w:rPr>
        <w:t xml:space="preserve">already</w:t>
      </w:r>
      <w:r>
        <w:t xml:space="preserve"> </w:t>
      </w:r>
      <w:r>
        <w:t xml:space="preserve">separates cell-local (predation, forcing, fishing) from cell-topology (movement, neighbors, output) logic. That separation is what makes any of the five options below tractable.</w:t>
      </w:r>
    </w:p>
    <w:p>
      <w:pPr>
        <w:pStyle w:val="BodyText"/>
      </w:pPr>
      <w:r>
        <w:t xml:space="preserve">A subtle gotcha caught in the 2026-04-24 study and re-verified for this plan:</w:t>
      </w:r>
      <w:r>
        <w:t xml:space="preserve"> </w:t>
      </w:r>
      <w:r>
        <w:rPr>
          <w:rStyle w:val="VerbatimChar"/>
        </w:rPr>
        <w:t xml:space="preserve">Grid.from_netcdf()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grid.py:108-112</w:t>
      </w:r>
      <w:r>
        <w:t xml:space="preserve"> </w:t>
      </w:r>
      <w:r>
        <w:t xml:space="preserve">reads 2D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arrays from input NetCDFs but immediately</w:t>
      </w:r>
      <w:r>
        <w:t xml:space="preserve"> </w:t>
      </w:r>
      <w:r>
        <w:rPr>
          <w:iCs/>
          <w:i/>
        </w:rPr>
        <w:t xml:space="preserve">collapses them to 1D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lat = lat[:, 0]</w:t>
      </w:r>
      <w:r>
        <w:t xml:space="preserve">. So OSMOSE-Python today</w:t>
      </w:r>
      <w:r>
        <w:t xml:space="preserve"> </w:t>
      </w:r>
      <w:r>
        <w:rPr>
          <w:bCs/>
          <w:b/>
        </w:rPr>
        <w:t xml:space="preserve">claims</w:t>
      </w:r>
      <w:r>
        <w:t xml:space="preserve"> </w:t>
      </w:r>
      <w:r>
        <w:t xml:space="preserve">curvilinear support but silently drops the across-row lat/lon variation. Option A starts by fixing this lie.</w:t>
      </w:r>
    </w:p>
    <w:p>
      <w:r>
        <w:pict>
          <v:rect style="width:0;height:1.5pt" o:hralign="center" o:hrstd="t" o:hr="t"/>
        </w:pict>
      </w:r>
    </w:p>
    <w:bookmarkEnd w:id="22"/>
    <w:bookmarkStart w:id="23" w:name="option-a-curvilinear-rectangular-only"/>
    <w:p>
      <w:pPr>
        <w:pStyle w:val="Heading2"/>
      </w:pPr>
      <w:r>
        <w:t xml:space="preserve">1 · Option A — Curvilinear-rectangular only</w:t>
      </w:r>
    </w:p>
    <w:p>
      <w:pPr>
        <w:pStyle w:val="FirstParagraph"/>
      </w:pPr>
      <w:r>
        <w:rPr>
          <w:bCs/>
          <w:b/>
        </w:rPr>
        <w:t xml:space="preserve">What it ships:</w:t>
      </w:r>
      <w:r>
        <w:t xml:space="preserve"> </w:t>
      </w:r>
      <w:r>
        <w:t xml:space="preserve">OSMOSE-Python correctly consuming a 2D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/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NetCDF — i.e., grids where cell centers don’t sit on a regular lat-lon lattice. Used by NEMO, ROMS, POM, MOM, FVCOM, and Copernicus-Marine product grids.</w:t>
      </w:r>
    </w:p>
    <w:p>
      <w:pPr>
        <w:pStyle w:val="BodyText"/>
      </w:pPr>
      <w:r>
        <w:rPr>
          <w:bCs/>
          <w:b/>
        </w:rPr>
        <w:t xml:space="preserve">What it does NOT change:</w:t>
      </w:r>
      <w:r>
        <w:t xml:space="preserve"> </w:t>
      </w:r>
      <w:r>
        <w:t xml:space="preserve">Cell adjacency (still 8-connected</w:t>
      </w:r>
      <w:r>
        <w:t xml:space="preserve"> </w:t>
      </w:r>
      <w:r>
        <w:rPr>
          <w:rStyle w:val="VerbatimChar"/>
        </w:rPr>
        <w:t xml:space="preserve">(dy, dx)</w:t>
      </w:r>
      <w:r>
        <w:t xml:space="preserve">), cell ID scheme (still row-major), random walk semantics (still index-space), map CSV format (still 2D matrices). Internally the engine continues to think it has a regular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t xml:space="preserve">grid.</w:t>
      </w:r>
    </w:p>
    <w:p>
      <w:pPr>
        <w:pStyle w:val="BodyText"/>
      </w:pPr>
      <w:r>
        <w:rPr>
          <w:bCs/>
          <w:b/>
        </w:rPr>
        <w:t xml:space="preserve">Concrete tasks (sized in days):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collapsing 2D lat/lon to 1D in</w:t>
            </w:r>
            <w:r>
              <w:t xml:space="preserve"> </w:t>
            </w:r>
            <w:r>
              <w:rPr>
                <w:rStyle w:val="VerbatimChar"/>
              </w:rPr>
              <w:t xml:space="preserve">Grid.from_netcdf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grid.py:108-112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lat2d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lon2d</w:t>
            </w:r>
            <w:r>
              <w:t xml:space="preserve"> </w:t>
            </w:r>
            <w:r>
              <w:t xml:space="preserve">optional fields on</w:t>
            </w:r>
            <w:r>
              <w:t xml:space="preserve"> </w:t>
            </w:r>
            <w:r>
              <w:rPr>
                <w:rStyle w:val="VerbatimChar"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grid.py:16-44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writer: emit</w:t>
            </w:r>
            <w:r>
              <w:t xml:space="preserve"> </w:t>
            </w:r>
            <w:r>
              <w:rPr>
                <w:rStyle w:val="VerbatimChar"/>
              </w:rPr>
              <w:t xml:space="preserve">latitude(ny,nx)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longitude(ny,nx)</w:t>
            </w:r>
            <w:r>
              <w:t xml:space="preserve"> </w:t>
            </w:r>
            <w:r>
              <w:t xml:space="preserve">per CF when curvilinear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output.py:492-640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overlay: pass curvilinear lat/lon through to</w:t>
            </w:r>
            <w:r>
              <w:t xml:space="preserve"> </w:t>
            </w:r>
            <w:r>
              <w:rPr>
                <w:rStyle w:val="VerbatimChar"/>
              </w:rPr>
              <w:t xml:space="preserve">polygon_layer</w:t>
            </w:r>
            <w:r>
              <w:t xml:space="preserve"> </w:t>
            </w:r>
            <w:r>
              <w:t xml:space="preserve">(already partly supported)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ui/pages/grid_helpers.py:469-518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Schema: add</w:t>
            </w:r>
            <w:r>
              <w:t xml:space="preserve"> </w:t>
            </w:r>
            <w:r>
              <w:rPr>
                <w:rStyle w:val="VerbatimChar"/>
              </w:rPr>
              <w:t xml:space="preserve">grid.curvilinear: bool</w:t>
            </w:r>
            <w:r>
              <w:t xml:space="preserve"> </w:t>
            </w:r>
            <w:r>
              <w:t xml:space="preserve">flag, drop</w:t>
            </w:r>
            <w:r>
              <w:t xml:space="preserve"> </w:t>
            </w:r>
            <w:r>
              <w:rPr>
                <w:rStyle w:val="VerbatimChar"/>
              </w:rPr>
              <w:t xml:space="preserve">grid.upleft.*</w:t>
            </w:r>
            <w:r>
              <w:t xml:space="preserve"> </w:t>
            </w:r>
            <w:r>
              <w:t xml:space="preserve">requirement when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osmose/schema/grid.py:5-98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fixture: ROMS-style 30×40 distorted grid; end-to-end Baltic-shaped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tests/test_curvilinear_grid.py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docstring + warning:</w:t>
            </w:r>
            <w:r>
              <w:t xml:space="preserve"> </w:t>
            </w:r>
            <w:r>
              <w:t xml:space="preserve">“</w:t>
            </w:r>
            <w:r>
              <w:t xml:space="preserve">displacement is in cell-index space, not km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movement.py:163-193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docs/parity-roadmap.md</w:t>
            </w:r>
            <w:r>
              <w:t xml:space="preserve">: curvilinear is a Java-divergence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docs/parity-roadmap.md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7 person-days =</w:t>
      </w:r>
      <w:r>
        <w:t xml:space="preserve"> </w:t>
      </w:r>
      <w:r>
        <w:rPr>
          <w:bCs/>
          <w:b/>
        </w:rPr>
        <w:t xml:space="preserve">~1.5 weeks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Smallest change that unlocks coupling to widely-used ocean-model output (NEMO, ROMS).</w:t>
      </w:r>
      <w:r>
        <w:t xml:space="preserve"> </w:t>
      </w:r>
      <w:r>
        <w:t xml:space="preserve">- No engine logic touched.</w:t>
      </w:r>
      <w:r>
        <w:t xml:space="preserve"> </w:t>
      </w:r>
      <w:r>
        <w:t xml:space="preserve">- Zero risk to existing rectangular runs.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Doesn’t help the dispersal-kernel-correctness question — random walk still in index space.</w:t>
      </w:r>
      <w:r>
        <w:t xml:space="preserve"> </w:t>
      </w:r>
      <w:r>
        <w:t xml:space="preserve">- Forces UI maintainers to handle two polygon-construction code paths.</w:t>
      </w:r>
      <w:r>
        <w:t xml:space="preserve"> </w:t>
      </w:r>
      <w:r>
        <w:t xml:space="preserve">- Breaks Java parity</w:t>
      </w:r>
      <w:r>
        <w:t xml:space="preserve"> </w:t>
      </w:r>
      <w:r>
        <w:rPr>
          <w:iCs/>
          <w:i/>
        </w:rPr>
        <w:t xml:space="preserve">the moment a curvilinear grid is loaded</w:t>
      </w:r>
      <w:r>
        <w:t xml:space="preserve"> </w:t>
      </w:r>
      <w:r>
        <w:t xml:space="preserve">— Java-OSMOSE has no curvilinear support.</w:t>
      </w:r>
    </w:p>
    <w:p>
      <w:pPr>
        <w:pStyle w:val="BodyText"/>
      </w:pPr>
      <w:r>
        <w:rPr>
          <w:bCs/>
          <w:b/>
        </w:rPr>
        <w:t xml:space="preserve">When to pick:</w:t>
      </w:r>
      <w:r>
        <w:t xml:space="preserve"> </w:t>
      </w:r>
      <w:r>
        <w:t xml:space="preserve">there is a concrete external dataset (e.g., a Copernicus Marine product, a NEMO-Baltic run) that we want to drive Baltic-OSMOSE forcing from, and which provides</w:t>
      </w:r>
      <w:r>
        <w:t xml:space="preserve"> </w:t>
      </w:r>
      <w:r>
        <w:rPr>
          <w:rStyle w:val="VerbatimChar"/>
        </w:rPr>
        <w:t xml:space="preserve">(ny, nx)</w:t>
      </w:r>
      <w:r>
        <w:t xml:space="preserve"> </w:t>
      </w:r>
      <w:r>
        <w:t xml:space="preserve">2D lat/lon. Otherwise this is busywork until Option B or E lands.</w:t>
      </w:r>
    </w:p>
    <w:p>
      <w:r>
        <w:pict>
          <v:rect style="width:0;height:1.5pt" o:hralign="center" o:hrstd="t" o:hr="t"/>
        </w:pict>
      </w:r>
    </w:p>
    <w:bookmarkEnd w:id="23"/>
    <w:bookmarkStart w:id="24" w:name="X99fbf3417b137adf95140c4ae9935ca25d05c1a"/>
    <w:p>
      <w:pPr>
        <w:pStyle w:val="Heading2"/>
      </w:pPr>
      <w:r>
        <w:t xml:space="preserve">2 · Option B — Topology abstraction (no new mesh)</w:t>
      </w:r>
    </w:p>
    <w:p>
      <w:pPr>
        <w:pStyle w:val="FirstParagraph"/>
      </w:pPr>
      <w:r>
        <w:rPr>
          <w:bCs/>
          <w:b/>
        </w:rPr>
        <w:t xml:space="preserve">What it ships: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GridTopology</w:t>
      </w:r>
      <w:r>
        <w:t xml:space="preserve"> </w:t>
      </w:r>
      <w:r>
        <w:t xml:space="preserve">protocol that the engine talks to instead of</w:t>
      </w:r>
      <w:r>
        <w:t xml:space="preserve"> </w:t>
      </w:r>
      <w:r>
        <w:rPr>
          <w:rStyle w:val="VerbatimChar"/>
        </w:rPr>
        <w:t xml:space="preserve">Grid</w:t>
      </w:r>
      <w:r>
        <w:t xml:space="preserve">. The current rectangular grid becomes the first implementation.</w:t>
      </w:r>
      <w:r>
        <w:t xml:space="preserve"> </w:t>
      </w:r>
      <w:r>
        <w:rPr>
          <w:iCs/>
          <w:i/>
        </w:rPr>
        <w:t xml:space="preserve">No behavioral change.</w:t>
      </w:r>
      <w:r>
        <w:t xml:space="preserve"> </w:t>
      </w:r>
      <w:r>
        <w:t xml:space="preserve">Every test passes byte-for-byte. But every place in the engine that previously did</w:t>
      </w:r>
      <w:r>
        <w:t xml:space="preserve"> </w:t>
      </w:r>
      <w:r>
        <w:rPr>
          <w:rStyle w:val="VerbatimChar"/>
        </w:rPr>
        <w:t xml:space="preserve">y * nx + x</w:t>
      </w:r>
      <w:r>
        <w:t xml:space="preserve"> </w:t>
      </w:r>
      <w:r>
        <w:t xml:space="preserve">arithmetic now goes through the protocol.</w:t>
      </w:r>
    </w:p>
    <w:p>
      <w:pPr>
        <w:pStyle w:val="BodyText"/>
      </w:pPr>
      <w:r>
        <w:rPr>
          <w:bCs/>
          <w:b/>
        </w:rPr>
        <w:t xml:space="preserve">Why this is the foundation:</w:t>
      </w:r>
      <w:r>
        <w:t xml:space="preserve"> </w:t>
      </w:r>
      <w:r>
        <w:t xml:space="preserve">without B, options C/D/F all require 2× more invasive changes. With B, each new topology is a ~200-LOC subclass (plus its movement kernel + UI rendering) and slots into the existing engine.</w:t>
      </w:r>
    </w:p>
    <w:p>
      <w:pPr>
        <w:pStyle w:val="BodyText"/>
      </w:pPr>
      <w:r>
        <w:rPr>
          <w:bCs/>
          <w:b/>
        </w:rPr>
        <w:t xml:space="preserve">Concrete tasks: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GridTopology</w:t>
            </w:r>
            <w:r>
              <w:t xml:space="preserve"> </w:t>
            </w:r>
            <w:r>
              <w:t xml:space="preserve">Protocol (n_cells, ocean_mask, lat, lon, neighbors, random_neighbor, walk_k_ring, cell_to_xy_or_None)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osmose/engine/grid_topology.py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  <w:r>
              <w:t xml:space="preserve"> </w:t>
            </w:r>
            <w:r>
              <w:rPr>
                <w:rStyle w:val="VerbatimChar"/>
              </w:rPr>
              <w:t xml:space="preserve">Grid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RectangularGrid</w:t>
            </w:r>
            <w:r>
              <w:t xml:space="preserve"> </w:t>
            </w:r>
            <w:r>
              <w:t xml:space="preserve">implementing the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osmose/engine/grid.py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Mortality: replace</w:t>
            </w:r>
            <w:r>
              <w:t xml:space="preserve"> </w:t>
            </w:r>
            <w:r>
              <w:rPr>
                <w:rStyle w:val="VerbatimChar"/>
              </w:rPr>
              <w:t xml:space="preserve">cell_y * grid.nx + cell_x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topology.cell_id(cy, cx)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mortality.py:1788-1805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random walk: factor neighbor selection into topology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movement.py:163-193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maps: keep 2D CSV reader; add per-cell CSV reader; topology decides which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movement.py:33-103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writer: branch on topology kind for spatial NetCDF 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output.py:492-640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UI: introduce</w:t>
            </w:r>
            <w:r>
              <w:t xml:space="preserve"> </w:t>
            </w:r>
            <w:r>
              <w:rPr>
                <w:rStyle w:val="VerbatimChar"/>
              </w:rPr>
              <w:t xml:space="preserve">build_grid_layers(topology)</w:t>
            </w:r>
            <w:r>
              <w:t xml:space="preserve"> </w:t>
            </w:r>
            <w:r>
              <w:t xml:space="preserve">dispatch; rectangular path 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ui/pages/grid_helpers.py:289-707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Schema:</w:t>
            </w:r>
            <w:r>
              <w:t xml:space="preserve"> </w:t>
            </w:r>
            <w:r>
              <w:rPr>
                <w:rStyle w:val="VerbatimChar"/>
              </w:rPr>
              <w:t xml:space="preserve">grid.type ∈ {rectangular}</w:t>
            </w:r>
            <w:r>
              <w:t xml:space="preserve"> </w:t>
            </w:r>
            <w:r>
              <w:t xml:space="preserve">(placeholder for future values); existing keys unchanged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osmose/schema/grid.py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Property-test parity: pre/post refactor must produce identical biomass + diet outputs on EEC + Baltic 5-y runs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tests/test_grid_topology_parity.py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Documentation: how to add a new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docs/architecture/grid-topologies.md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13 person-days =</w:t>
      </w:r>
      <w:r>
        <w:t xml:space="preserve"> </w:t>
      </w:r>
      <w:r>
        <w:rPr>
          <w:bCs/>
          <w:b/>
        </w:rPr>
        <w:t xml:space="preserve">~2.5 weeks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behavior change.</w:t>
      </w:r>
      <w:r>
        <w:t xml:space="preserve"> </w:t>
      </w:r>
      <w:r>
        <w:t xml:space="preserve">All existing tests stay green; user-visible behavior is unchanged.</w:t>
      </w:r>
      <w:r>
        <w:t xml:space="preserve"> </w:t>
      </w:r>
      <w:r>
        <w:t xml:space="preserve">- Cleans up the implicit</w:t>
      </w:r>
      <w:r>
        <w:t xml:space="preserve"> </w:t>
      </w:r>
      <w:r>
        <w:rPr>
          <w:rStyle w:val="VerbatimChar"/>
        </w:rPr>
        <w:t xml:space="preserve">(y, x)</w:t>
      </w:r>
      <w:r>
        <w:t xml:space="preserve"> </w:t>
      </w:r>
      <w:r>
        <w:t xml:space="preserve">tuple everywhere — much easier to reason about.</w:t>
      </w:r>
      <w:r>
        <w:t xml:space="preserve"> </w:t>
      </w:r>
      <w:r>
        <w:t xml:space="preserve">- Pre-pays the refactor cost for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later options (C, D, F).</w:t>
      </w:r>
      <w:r>
        <w:t xml:space="preserve"> </w:t>
      </w:r>
      <w:r>
        <w:t xml:space="preserve">- Can ship independently and ship today if approved.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Ships nothing user-visible. Hard to</w:t>
      </w:r>
      <w:r>
        <w:t xml:space="preserve"> </w:t>
      </w:r>
      <w:r>
        <w:t xml:space="preserve">“</w:t>
      </w:r>
      <w:r>
        <w:t xml:space="preserve">sell</w:t>
      </w:r>
      <w:r>
        <w:t xml:space="preserve">”</w:t>
      </w:r>
      <w:r>
        <w:t xml:space="preserve"> </w:t>
      </w:r>
      <w:r>
        <w:t xml:space="preserve">to a non-engineer stakeholder.</w:t>
      </w:r>
      <w:r>
        <w:t xml:space="preserve"> </w:t>
      </w:r>
      <w:r>
        <w:t xml:space="preserve">- 2.5 weeks for</w:t>
      </w:r>
      <w:r>
        <w:t xml:space="preserve"> </w:t>
      </w:r>
      <w:r>
        <w:t xml:space="preserve">“</w:t>
      </w:r>
      <w:r>
        <w:t xml:space="preserve">no change</w:t>
      </w:r>
      <w:r>
        <w:t xml:space="preserve">”</w:t>
      </w:r>
      <w:r>
        <w:t xml:space="preserve"> </w:t>
      </w:r>
      <w:r>
        <w:t xml:space="preserve">feels expensive; need to frame as enabling investment.</w:t>
      </w:r>
    </w:p>
    <w:p>
      <w:pPr>
        <w:pStyle w:val="BodyText"/>
      </w:pPr>
      <w:r>
        <w:rPr>
          <w:bCs/>
          <w:b/>
        </w:rPr>
        <w:t xml:space="preserve">When to pick:</w:t>
      </w:r>
      <w:r>
        <w:t xml:space="preserve"> </w:t>
      </w:r>
      <w:r>
        <w:t xml:space="preserve">unconditionally. The only argument against B is</w:t>
      </w:r>
      <w:r>
        <w:t xml:space="preserve"> </w:t>
      </w:r>
      <w:r>
        <w:t xml:space="preserve">“</w:t>
      </w:r>
      <w:r>
        <w:t xml:space="preserve">we’ll never want non-rectangular</w:t>
      </w:r>
      <w:r>
        <w:t xml:space="preserve">”</w:t>
      </w:r>
      <w:r>
        <w:t xml:space="preserve"> </w:t>
      </w:r>
      <w:r>
        <w:t xml:space="preserve">— and even then the abstraction tightens an under-modelled boundary.</w:t>
      </w:r>
    </w:p>
    <w:p>
      <w:r>
        <w:pict>
          <v:rect style="width:0;height:1.5pt" o:hralign="center" o:hrstd="t" o:hr="t"/>
        </w:pict>
      </w:r>
    </w:p>
    <w:bookmarkEnd w:id="24"/>
    <w:bookmarkStart w:id="25" w:name="option-c-hexagonal-h3-grid-depends-on-b"/>
    <w:p>
      <w:pPr>
        <w:pStyle w:val="Heading2"/>
      </w:pPr>
      <w:r>
        <w:t xml:space="preserve">3 · Option C — Hexagonal H3 grid (depends on B)</w:t>
      </w:r>
    </w:p>
    <w:p>
      <w:pPr>
        <w:pStyle w:val="FirstParagraph"/>
      </w:pPr>
      <w:r>
        <w:rPr>
          <w:bCs/>
          <w:b/>
        </w:rPr>
        <w:t xml:space="preserve">What it ships: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HexGridTopology</w:t>
      </w:r>
      <w:r>
        <w:t xml:space="preserve"> </w:t>
      </w:r>
      <w:r>
        <w:t xml:space="preserve">implementation backed by Uber’s H3 indexing library. Cells are regular hexagons at a chosen resolution (H3 levels 5–7 ≈ 8.5 km², 1.2 km², 0.17 km² respectively). 6-connectivity, uniform nearest-neighbor distance, hierarchical refinement, and battle-tested geographic indexing.</w:t>
      </w:r>
    </w:p>
    <w:p>
      <w:pPr>
        <w:pStyle w:val="BodyText"/>
      </w:pPr>
      <w:r>
        <w:rPr>
          <w:bCs/>
          <w:b/>
        </w:rPr>
        <w:t xml:space="preserve">Why hex over rect:</w:t>
      </w:r>
      <w:r>
        <w:t xml:space="preserve"> </w:t>
      </w:r>
      <w:r>
        <w:t xml:space="preserve">Cleaner dispersal kernels (no</w:t>
      </w:r>
      <w:r>
        <w:t xml:space="preserve"> </w:t>
      </w:r>
      <w:r>
        <w:rPr>
          <w:rStyle w:val="VerbatimChar"/>
        </w:rPr>
        <w:t xml:space="preserve">√2</w:t>
      </w:r>
      <w:r>
        <w:t xml:space="preserve"> </w:t>
      </w:r>
      <w:r>
        <w:t xml:space="preserve">axial-vs-diagonal asymmetry), 6-connectivity matches biological diffusion better, and H3’s hierarchical nesting allows running coarse-then-refined experiments without changing data formats.</w:t>
      </w:r>
    </w:p>
    <w:p>
      <w:pPr>
        <w:pStyle w:val="BodyText"/>
      </w:pPr>
      <w:r>
        <w:rPr>
          <w:bCs/>
          <w:b/>
        </w:rPr>
        <w:t xml:space="preserve">Concrete tasks (after B is shipped):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h3</w:t>
            </w:r>
            <w:r>
              <w:t xml:space="preserve"> </w:t>
            </w:r>
            <w:r>
              <w:t xml:space="preserve">dependency (Apache 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HexGridTopology</w:t>
            </w:r>
            <w:r>
              <w:t xml:space="preserve"> </w:t>
            </w:r>
            <w:r>
              <w:t xml:space="preserve">from a ocean-cell H3-id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osmose/engine/hex_grid.py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Hex-aware random walk 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Hex-aware map-based movement: per-cell CSV format (cell_h3_id, prob)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</w:t>
            </w:r>
            <w:r>
              <w:t xml:space="preserve"> </w:t>
            </w:r>
            <w:r>
              <w:t xml:space="preserve">+ map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writer: UGRID NetCDF for hex (or per-cell flat with H3 ids as a coord)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UI: hex polygon layer (6-vertex polygons via h3-to-geo-boundary)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Forcing ingestion: regrid rectangular NetCDF → hex via area-weighted aggregation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osmose/engine/resources.py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Movement-statistics parity: validate that walk-on-hex produces dispersion within ε of walk-on-rect for the same biological intent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tests/test_hex_movement_parity.py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Tooling:</w:t>
            </w:r>
            <w:r>
              <w:t xml:space="preserve"> </w:t>
            </w:r>
            <w:r>
              <w:rPr>
                <w:rStyle w:val="VerbatimChar"/>
              </w:rPr>
              <w:t xml:space="preserve">scripts/build_baltic_hex_grid.py</w:t>
            </w:r>
            <w:r>
              <w:t xml:space="preserve"> </w:t>
            </w:r>
            <w:r>
              <w:t xml:space="preserve">— produce a hex equivalent of the Baltic 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Re-derive Baltic distribution maps on hex: 9 maps × ~0.5 day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data/baltic/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Baltic 50-y hex calibration parity check vs rectangular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tests/integration/</w:t>
            </w:r>
            <w:r>
              <w:t xml:space="preserve"> </w:t>
            </w:r>
            <w:r>
              <w:t xml:space="preserve">+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+ tutorial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28.25 person-days =</w:t>
      </w:r>
      <w:r>
        <w:t xml:space="preserve"> </w:t>
      </w:r>
      <w:r>
        <w:rPr>
          <w:bCs/>
          <w:b/>
        </w:rPr>
        <w:t xml:space="preserve">~6 weeks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Most ecologically-defensible non-rect option (uniform neighbor distance).</w:t>
      </w:r>
      <w:r>
        <w:t xml:space="preserve"> </w:t>
      </w:r>
      <w:r>
        <w:t xml:space="preserve">- H3 dependency is industrial-strength.</w:t>
      </w:r>
      <w:r>
        <w:t xml:space="preserve"> </w:t>
      </w:r>
      <w:r>
        <w:t xml:space="preserve">- Hierarchical resolutions enable scale studies</w:t>
      </w:r>
      <w:r>
        <w:t xml:space="preserve"> </w:t>
      </w:r>
      <w:r>
        <w:t xml:space="preserve">“</w:t>
      </w:r>
      <w:r>
        <w:t xml:space="preserve">for free</w:t>
      </w:r>
      <w:r>
        <w:t xml:space="preserve">”</w:t>
      </w:r>
      <w:r>
        <w:t xml:space="preserve"> </w:t>
      </w:r>
      <w:r>
        <w:t xml:space="preserve">once infrastructure exists.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Distribution maps need rebuild from HELCOM/literature footprints (low-leverage but unavoidable).</w:t>
      </w:r>
      <w:r>
        <w:t xml:space="preserve"> </w:t>
      </w:r>
      <w:r>
        <w:t xml:space="preserve">- Random walk semantics shift:</w:t>
      </w:r>
      <w:r>
        <w:t xml:space="preserve"> </w:t>
      </w:r>
      <w:r>
        <w:rPr>
          <w:rStyle w:val="VerbatimChar"/>
        </w:rPr>
        <w:t xml:space="preserve">walk_range=2</w:t>
      </w:r>
      <w:r>
        <w:t xml:space="preserve"> </w:t>
      </w:r>
      <w:r>
        <w:t xml:space="preserve">means different things on rect vs hex; per-species walk_range likely needs recalibration.</w:t>
      </w:r>
      <w:r>
        <w:t xml:space="preserve"> </w:t>
      </w:r>
      <w:r>
        <w:t xml:space="preserve">- Forcing regridding (rect→hex) introduces small numerical noise vs the rectangular reference.</w:t>
      </w:r>
    </w:p>
    <w:p>
      <w:pPr>
        <w:pStyle w:val="BodyText"/>
      </w:pPr>
      <w:r>
        <w:rPr>
          <w:bCs/>
          <w:b/>
        </w:rPr>
        <w:t xml:space="preserve">When to pick:</w:t>
      </w:r>
      <w:r>
        <w:t xml:space="preserve"> </w:t>
      </w:r>
      <w:r>
        <w:t xml:space="preserve">if the modelling motivation is</w:t>
      </w:r>
      <w:r>
        <w:t xml:space="preserve"> </w:t>
      </w:r>
      <w:r>
        <w:rPr>
          <w:iCs/>
          <w:i/>
        </w:rPr>
        <w:t xml:space="preserve">dispersal-kernel correctness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running scale studies</w:t>
      </w:r>
      <w:r>
        <w:t xml:space="preserve"> </w:t>
      </w:r>
      <w:r>
        <w:t xml:space="preserve">(e.g., what does Baltic look like at H3 res 5 vs 6?). Less compelling if the motivation is coastal refinement (Option D handles that better) or external coupling (Option A is sufficient).</w:t>
      </w:r>
    </w:p>
    <w:p>
      <w:r>
        <w:pict>
          <v:rect style="width:0;height:1.5pt" o:hralign="center" o:hrstd="t" o:hr="t"/>
        </w:pict>
      </w:r>
    </w:p>
    <w:bookmarkEnd w:id="25"/>
    <w:bookmarkStart w:id="26" w:name="X8dcac17258ab6cf2618a91f8c95aeceb4dc5a39"/>
    <w:p>
      <w:pPr>
        <w:pStyle w:val="Heading2"/>
      </w:pPr>
      <w:r>
        <w:t xml:space="preserve">4 · Option D — Unstructured UGRID mesh (depends on B + C tooling)</w:t>
      </w:r>
    </w:p>
    <w:p>
      <w:pPr>
        <w:pStyle w:val="FirstParagraph"/>
      </w:pPr>
      <w:r>
        <w:rPr>
          <w:bCs/>
          <w:b/>
        </w:rPr>
        <w:t xml:space="preserve">What it ships: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UnstructuredGridTopology</w:t>
      </w:r>
      <w:r>
        <w:t xml:space="preserve"> </w:t>
      </w:r>
      <w:r>
        <w:t xml:space="preserve">that reads a UGRID-CF NetCDF describing arbitrary polygon cells (triangles, quads, Voronoi cells). Mesh generation is</w:t>
      </w:r>
      <w:r>
        <w:t xml:space="preserve"> </w:t>
      </w:r>
      <w:r>
        <w:rPr>
          <w:iCs/>
          <w:i/>
        </w:rPr>
        <w:t xml:space="preserve">out of scope</w:t>
      </w:r>
      <w:r>
        <w:t xml:space="preserve"> </w:t>
      </w:r>
      <w:r>
        <w:t xml:space="preserve">— we consume meshes produced by</w:t>
      </w:r>
      <w:r>
        <w:t xml:space="preserve"> </w:t>
      </w:r>
      <w:r>
        <w:rPr>
          <w:rStyle w:val="VerbatimChar"/>
        </w:rPr>
        <w:t xml:space="preserve">gmsh</w:t>
      </w:r>
      <w:r>
        <w:t xml:space="preserve">,</w:t>
      </w:r>
      <w:r>
        <w:t xml:space="preserve"> </w:t>
      </w:r>
      <w:r>
        <w:rPr>
          <w:rStyle w:val="VerbatimChar"/>
        </w:rPr>
        <w:t xml:space="preserve">jigsaw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OceanMesh2D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FEM:</w:t>
      </w:r>
      <w:r>
        <w:t xml:space="preserve"> </w:t>
      </w:r>
      <w:r>
        <w:t xml:space="preserve">regional refinement. Lagoons (Vistula, Curonian, Pärnu, Gulf of Riga) currently sit in 1–4 cells of the 0.4°×0.3° rectangular grid; with a refined mesh they can have 50+ cells while the open-Baltic basin keeps the same coarse cell count. This is the only path to multi-resolution within OSMOSE.</w:t>
      </w:r>
    </w:p>
    <w:p>
      <w:pPr>
        <w:pStyle w:val="BodyText"/>
      </w:pPr>
      <w:r>
        <w:rPr>
          <w:bCs/>
          <w:b/>
        </w:rPr>
        <w:t xml:space="preserve">Concrete tasks (after B is shipped, ideally after C for tooling reuse):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uxarray</w:t>
            </w:r>
            <w:r>
              <w:t xml:space="preserve"> </w:t>
            </w:r>
            <w:r>
              <w:t xml:space="preserve">(LGPL-3.0) or hand-rolled UGRID reader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pyproject.toml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osmose/engine/ugrid_io.py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UnstructuredGridTopology</w:t>
            </w:r>
            <w:r>
              <w:t xml:space="preserve"> </w:t>
            </w:r>
            <w:r>
              <w:t xml:space="preserve">with ragged neighbor table (CSR-style)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osmose/engine/unstructured_grid.py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walk: graph-step vs km-distance modes; precomputed neighbor distances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Map-based movement: per-cell-ID CSV; back-compat detection vs 2D 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writer: full UGRID-CF emission with</w:t>
            </w:r>
            <w:r>
              <w:t xml:space="preserve"> </w:t>
            </w:r>
            <w:r>
              <w:rPr>
                <w:rStyle w:val="VerbatimChar"/>
              </w:rPr>
              <w:t xml:space="preserve">face_node_connectivity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UI: arbitrary-polygon layer; per-cell vertex count varies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Mesh-quality validation: closed mesh, no degenerate cells, ocean-extent matches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osmose/engine/ugrid_validation.py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Forcing regridder: rect/curvilinear NetCDF → unstructured (area-weighted)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doc: how to generate a Baltic mesh (gmsh + bathymetry inputs)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docs/recipes/baltic-mesh.md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map regen pipeline: HELCOM polygon → unstructured per-cell prob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scripts/regen_maps_unstructured.py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refined Baltic mesh: e.g., 0.4° offshore, 0.05° in lagoons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data/baltic_unstructured/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audit: 10k unstructured cells vs 2k rect cells (benchmarks + UI render)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tests/perf/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tutorial,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50 person-days =</w:t>
      </w:r>
      <w:r>
        <w:t xml:space="preserve"> </w:t>
      </w:r>
      <w:r>
        <w:rPr>
          <w:bCs/>
          <w:b/>
        </w:rPr>
        <w:t xml:space="preserve">~10 weeks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~2.5 months</w:t>
      </w:r>
      <w:r>
        <w:t xml:space="preserve">, plus realistic-mesh build of ~2–4 weeks (collaboration with HELCOM bathymetry holders), so ~3–4 months calendar.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Only path to coastal/lagoon refinement.</w:t>
      </w:r>
      <w:r>
        <w:t xml:space="preserve"> </w:t>
      </w:r>
      <w:r>
        <w:t xml:space="preserve">- Aligns OSMOSE with modern coastal-ocean-model best practice.</w:t>
      </w:r>
      <w:r>
        <w:t xml:space="preserve"> </w:t>
      </w:r>
      <w:r>
        <w:t xml:space="preserve">- UGRID is an open CF standard, so meshes are portable across tools.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Largest engineering surface; mesh generation is upstream, mesh QA is on us.</w:t>
      </w:r>
      <w:r>
        <w:t xml:space="preserve"> </w:t>
      </w:r>
      <w:r>
        <w:t xml:space="preserve">- All distribution maps require rebuild on the new mesh — that’s where most calendar time goes.</w:t>
      </w:r>
      <w:r>
        <w:t xml:space="preserve"> </w:t>
      </w:r>
      <w:r>
        <w:t xml:space="preserve">- Performance: 10× more cells in lagoons may dominate runtime even though they hold 5% of biomass.</w:t>
      </w:r>
      <w:r>
        <w:t xml:space="preserve"> </w:t>
      </w:r>
      <w:r>
        <w:t xml:space="preserve">- All Java parity gone; this is a research fork.</w:t>
      </w:r>
    </w:p>
    <w:p>
      <w:pPr>
        <w:pStyle w:val="BodyText"/>
      </w:pPr>
      <w:r>
        <w:rPr>
          <w:bCs/>
          <w:b/>
        </w:rPr>
        <w:t xml:space="preserve">When to pick: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if Baltic-OSMOSE (or another regional config) needs lagoon/estuary resolution that rectangular grids cannot provide. Don’t pick this for</w:t>
      </w:r>
      <w:r>
        <w:t xml:space="preserve"> </w:t>
      </w:r>
      <w:r>
        <w:t xml:space="preserve">“</w:t>
      </w:r>
      <w:r>
        <w:t xml:space="preserve">nice to have</w:t>
      </w:r>
      <w:r>
        <w:t xml:space="preserve">”</w:t>
      </w:r>
      <w:r>
        <w:t xml:space="preserve"> </w:t>
      </w:r>
      <w:r>
        <w:t xml:space="preserve">— the calendar cost is real.</w:t>
      </w:r>
    </w:p>
    <w:p>
      <w:r>
        <w:pict>
          <v:rect style="width:0;height:1.5pt" o:hralign="center" o:hrstd="t" o:hr="t"/>
        </w:pict>
      </w:r>
    </w:p>
    <w:bookmarkEnd w:id="26"/>
    <w:bookmarkStart w:id="27" w:name="Xe0ea64f1eb2a2623fcf77048226dfa3c34a9120"/>
    <w:p>
      <w:pPr>
        <w:pStyle w:val="Heading2"/>
      </w:pPr>
      <w:r>
        <w:t xml:space="preserve">5 · Option E — Pre-processor only (no engine change)</w:t>
      </w:r>
    </w:p>
    <w:p>
      <w:pPr>
        <w:pStyle w:val="FirstParagraph"/>
      </w:pPr>
      <w:r>
        <w:rPr>
          <w:bCs/>
          <w:b/>
        </w:rPr>
        <w:t xml:space="preserve">What it ships:</w:t>
      </w:r>
      <w:r>
        <w:t xml:space="preserve"> </w:t>
      </w:r>
      <w:r>
        <w:t xml:space="preserve">A standalone pipeline</w:t>
      </w:r>
      <w:r>
        <w:t xml:space="preserve"> </w:t>
      </w:r>
      <w:r>
        <w:rPr>
          <w:rStyle w:val="VerbatimChar"/>
        </w:rPr>
        <w:t xml:space="preserve">osmose/preprocess/mesh_to_rect.py</w:t>
      </w:r>
      <w:r>
        <w:t xml:space="preserve"> </w:t>
      </w:r>
      <w:r>
        <w:t xml:space="preserve">that ingests a high-resolution mesh dataset (HELCOM bathymetry, ERA5 forcing, biological survey points, etc.) and</w:t>
      </w:r>
      <w:r>
        <w:t xml:space="preserve"> </w:t>
      </w:r>
      <w:r>
        <w:rPr>
          <w:iCs/>
          <w:i/>
        </w:rPr>
        <w:t xml:space="preserve">aggregates</w:t>
      </w:r>
      <w:r>
        <w:t xml:space="preserve"> </w:t>
      </w:r>
      <w:r>
        <w:t xml:space="preserve">it onto OSMOSE’s existing rectangular grid via area-weighted or point-in-polygon mapping. The engine is untouched.</w:t>
      </w:r>
    </w:p>
    <w:p>
      <w:pPr>
        <w:pStyle w:val="BodyText"/>
      </w:pPr>
      <w:r>
        <w:rPr>
          <w:bCs/>
          <w:b/>
        </w:rPr>
        <w:t xml:space="preserve">Concrete tasks: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 reader (UGRID, gmsh</w:t>
            </w:r>
            <w:r>
              <w:t xml:space="preserve"> </w:t>
            </w:r>
            <w:r>
              <w:rPr>
                <w:rStyle w:val="VerbatimChar"/>
              </w:rPr>
              <w:t xml:space="preserve">.msh</w:t>
            </w:r>
            <w:r>
              <w:t xml:space="preserve">, ESRI shapefiles)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osmose/preprocess/mesh_io.py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Area-weighted aggregator: mesh field → rect 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osmose/preprocess/aggregate.py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Point-cloud aggregator (e.g., HELCOM survey points → cell density)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osmose/preprocess/aggregate.py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wrapper:</w:t>
            </w:r>
            <w:r>
              <w:t xml:space="preserve"> </w:t>
            </w:r>
            <w:r>
              <w:rPr>
                <w:rStyle w:val="VerbatimChar"/>
              </w:rPr>
              <w:t xml:space="preserve">python -m osmose.preprocess.mesh_to_rect input.nc output.csv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scripts/mesh_to_rect.py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on Baltic ICES BITS hauls + HELCOM bathymetry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tests/preprocess/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cookbook:</w:t>
            </w:r>
            <w:r>
              <w:t xml:space="preserve"> </w:t>
            </w:r>
            <w:r>
              <w:t xml:space="preserve">“</w:t>
            </w:r>
            <w:r>
              <w:t xml:space="preserve">use HELCOM data with OSMOSE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docs/recipes/helcom-to-osmose.md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9 person-days =</w:t>
      </w:r>
      <w:r>
        <w:t xml:space="preserve"> </w:t>
      </w:r>
      <w:r>
        <w:rPr>
          <w:bCs/>
          <w:b/>
        </w:rPr>
        <w:t xml:space="preserve">~2 weeks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Zero engine risk. No regressions possible.</w:t>
      </w:r>
      <w:r>
        <w:t xml:space="preserve"> </w:t>
      </w:r>
      <w:r>
        <w:t xml:space="preserve">- Java-parity preserved.</w:t>
      </w:r>
      <w:r>
        <w:t xml:space="preserve"> </w:t>
      </w:r>
      <w:r>
        <w:t xml:space="preserve">- Solves the most common practical motivation (using HELCOM/ICES high-resolution data without forking the engine).</w:t>
      </w:r>
      <w:r>
        <w:t xml:space="preserve"> </w:t>
      </w:r>
      <w:r>
        <w:t xml:space="preserve">- Complementary to all other options — the same pre-processor works on rect, hex, or unstructured engines.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Doesn’t address dispersal-kernel correctness or coastal refinement</w:t>
      </w:r>
      <w:r>
        <w:t xml:space="preserve"> </w:t>
      </w:r>
      <w:r>
        <w:rPr>
          <w:iCs/>
          <w:i/>
        </w:rPr>
        <w:t xml:space="preserve">in the engine</w:t>
      </w:r>
      <w:r>
        <w:t xml:space="preserve">.</w:t>
      </w:r>
      <w:r>
        <w:t xml:space="preserve"> </w:t>
      </w:r>
      <w:r>
        <w:t xml:space="preserve">- Aggregation loses information; unwary users may misinterpret the results.</w:t>
      </w:r>
    </w:p>
    <w:p>
      <w:pPr>
        <w:pStyle w:val="BodyText"/>
      </w:pPr>
      <w:r>
        <w:rPr>
          <w:bCs/>
          <w:b/>
        </w:rPr>
        <w:t xml:space="preserve">When to pick:</w:t>
      </w:r>
      <w:r>
        <w:t xml:space="preserve"> </w:t>
      </w:r>
      <w:r>
        <w:t xml:space="preserve">unconditionally as a</w:t>
      </w:r>
      <w:r>
        <w:t xml:space="preserve"> </w:t>
      </w:r>
      <w:r>
        <w:t xml:space="preserve">“</w:t>
      </w:r>
      <w:r>
        <w:t xml:space="preserve">Tier 0</w:t>
      </w:r>
      <w:r>
        <w:t xml:space="preserve">”</w:t>
      </w:r>
      <w:r>
        <w:t xml:space="preserve"> </w:t>
      </w:r>
      <w:r>
        <w:t xml:space="preserve">deliverable. It costs ~2 weeks, has no risk, and immediately makes external data sources usable. Shipping E does not preclude any other option.</w:t>
      </w:r>
    </w:p>
    <w:p>
      <w:r>
        <w:pict>
          <v:rect style="width:0;height:1.5pt" o:hralign="center" o:hrstd="t" o:hr="t"/>
        </w:pict>
      </w:r>
    </w:p>
    <w:bookmarkEnd w:id="27"/>
    <w:bookmarkStart w:id="28" w:name="Xe02e27c941062e9f968889bcf3668d5a846da59"/>
    <w:p>
      <w:pPr>
        <w:pStyle w:val="Heading2"/>
      </w:pPr>
      <w:r>
        <w:t xml:space="preserve">6 · Option F — Nested-rectangular subgrids (AMR-lite)</w:t>
      </w:r>
    </w:p>
    <w:p>
      <w:pPr>
        <w:pStyle w:val="FirstParagraph"/>
      </w:pPr>
      <w:r>
        <w:rPr>
          <w:bCs/>
          <w:b/>
        </w:rPr>
        <w:t xml:space="preserve">What it ships:</w:t>
      </w:r>
      <w:r>
        <w:t xml:space="preserve"> </w:t>
      </w:r>
      <w:r>
        <w:t xml:space="preserve">Within an OSMOSE rectangular grid, designate one or more rectangular zones to be sub-divided at higher resolution. The engine internally treats the world as a union of rectangular sub-grids glued together at boundaries. Cells in the lagoon zone are 5× smaller; cells in the open Baltic stay coarse. No new topology library; arithmetic stays integer.</w:t>
      </w:r>
    </w:p>
    <w:p>
      <w:pPr>
        <w:pStyle w:val="BodyText"/>
      </w:pPr>
      <w:r>
        <w:rPr>
          <w:bCs/>
          <w:b/>
        </w:rPr>
        <w:t xml:space="preserve">Why this might be attractive:</w:t>
      </w:r>
      <w:r>
        <w:t xml:space="preserve"> </w:t>
      </w:r>
      <w:r>
        <w:t xml:space="preserve">delivers a key ecological motivation (coastal refinement) without leaving the rectangular world. Avoids hex/UGRID dependency entirely. Sits between B and D in cost.</w:t>
      </w:r>
    </w:p>
    <w:p>
      <w:pPr>
        <w:pStyle w:val="BodyText"/>
      </w:pPr>
      <w:r>
        <w:rPr>
          <w:bCs/>
          <w:b/>
        </w:rPr>
        <w:t xml:space="preserve">Concrete tasks (after B):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NestedRectGridTopology</w:t>
            </w:r>
            <w:r>
              <w:t xml:space="preserve"> </w:t>
            </w:r>
            <w:r>
              <w:t xml:space="preserve">— a coarse base + N refinement zones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osmose/engine/nested_grid.py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Cell-ID scheme: contiguous flat IDs, with boundary-face mappings between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nested_grid.py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Refinement-zone schema:</w:t>
            </w:r>
            <w:r>
              <w:t xml:space="preserve"> </w:t>
            </w:r>
            <w:r>
              <w:rPr>
                <w:rStyle w:val="VerbatimChar"/>
              </w:rPr>
              <w:t xml:space="preserve">grid.refine.zone.N.bbox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grid.refine.zone.N.factor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osmose/schema/grid.py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Movement: cross-level cell transitions handled by neighbor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Map-based movement: refine zones get inflated CSV submatrices; engine stitches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Forcing regrid: parent-cell value broadcast to children unless per-child file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writer: nested NetCDF (group per refinement zone, or flat with cell_id coord)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UI: render parent + child polygons with overlay; deck.gl handles the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ui/pages/grid_helpers.py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fixture: 1 refinement zone in Baltic Vistula Lagoon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tests/test_nested_grid.py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+ worked 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docs/recipes/nested-grids.md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Effort:</w:t>
      </w:r>
      <w:r>
        <w:t xml:space="preserve"> </w:t>
      </w:r>
      <w:r>
        <w:t xml:space="preserve">25 person-days =</w:t>
      </w:r>
      <w:r>
        <w:t xml:space="preserve"> </w:t>
      </w:r>
      <w:r>
        <w:rPr>
          <w:bCs/>
          <w:b/>
        </w:rPr>
        <w:t xml:space="preserve">~5 weeks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Pros:</w:t>
      </w:r>
      <w:r>
        <w:t xml:space="preserve"> </w:t>
      </w:r>
      <w:r>
        <w:t xml:space="preserve">- Solves coastal-refinement motivation without UGRID complexity.</w:t>
      </w:r>
      <w:r>
        <w:t xml:space="preserve"> </w:t>
      </w:r>
      <w:r>
        <w:t xml:space="preserve">- Intermediate cost between B and D.</w:t>
      </w:r>
      <w:r>
        <w:t xml:space="preserve"> </w:t>
      </w:r>
      <w:r>
        <w:t xml:space="preserve">- All math stays integer-arithmetic — fast and easy to optimize with Numba.</w:t>
      </w:r>
      <w:r>
        <w:t xml:space="preserve"> </w:t>
      </w:r>
      <w:r>
        <w:t xml:space="preserve">- Distribution maps for refined zones can be regenerated only for those zones.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Cell-boundary mass conservation is fiddly (movement crossing levels needs careful accounting).</w:t>
      </w:r>
      <w:r>
        <w:t xml:space="preserve"> </w:t>
      </w:r>
      <w:r>
        <w:t xml:space="preserve">- Less standard than UGRID — not a recognized format, hard to share meshes with collaborators.</w:t>
      </w:r>
      <w:r>
        <w:t xml:space="preserve"> </w:t>
      </w:r>
      <w:r>
        <w:t xml:space="preserve">- May not generalize: if you later need</w:t>
      </w:r>
      <w:r>
        <w:t xml:space="preserve"> </w:t>
      </w:r>
      <w:r>
        <w:rPr>
          <w:iCs/>
          <w:i/>
        </w:rPr>
        <w:t xml:space="preserve">non-rectangular</w:t>
      </w:r>
      <w:r>
        <w:t xml:space="preserve"> </w:t>
      </w:r>
      <w:r>
        <w:t xml:space="preserve">refinement (curved coastline), F doesn’t help and you’re back to D.</w:t>
      </w:r>
    </w:p>
    <w:p>
      <w:pPr>
        <w:pStyle w:val="BodyText"/>
      </w:pPr>
      <w:r>
        <w:rPr>
          <w:bCs/>
          <w:b/>
        </w:rPr>
        <w:t xml:space="preserve">When to pick:</w:t>
      </w:r>
      <w:r>
        <w:t xml:space="preserve"> </w:t>
      </w:r>
      <w:r>
        <w:t xml:space="preserve">the Baltic case really wants Vistula / Curonian / Gulf of Riga lagoon resolution but a) the team can’t take 3–4 months for D, and b) the refinement zones are clean rectangles or we’re willing to over-cover them.</w:t>
      </w:r>
    </w:p>
    <w:p>
      <w:r>
        <w:pict>
          <v:rect style="width:0;height:1.5pt" o:hralign="center" o:hrstd="t" o:hr="t"/>
        </w:pict>
      </w:r>
    </w:p>
    <w:bookmarkEnd w:id="28"/>
    <w:bookmarkStart w:id="35" w:name="cross-option-engineering-concerns"/>
    <w:p>
      <w:pPr>
        <w:pStyle w:val="Heading2"/>
      </w:pPr>
      <w:r>
        <w:t xml:space="preserve">7 · Cross-option engineering concerns</w:t>
      </w:r>
    </w:p>
    <w:bookmarkStart w:id="29" w:name="X29ff4686e69ec9119625be6fc8364433054bcd4"/>
    <w:p>
      <w:pPr>
        <w:pStyle w:val="Heading3"/>
      </w:pPr>
      <w:r>
        <w:t xml:space="preserve">7.1 Distribution maps need regeneration on any non-rect topology</w:t>
      </w:r>
    </w:p>
    <w:p>
      <w:pPr>
        <w:pStyle w:val="FirstParagraph"/>
      </w:pPr>
      <w:r>
        <w:t xml:space="preserve">The 2026-04-21 work to differentiate Baltic distribution maps (sp4, sp5, herring spring/autumn, smelt spawning, life-stage containment) was done on rectangular cells. On hex/unstructured/nested grids each map needs rebuild from the source HELCOM polygons + literature. The pipeline is the same (point-in-polygon against a cell-center list) — only the cell-center list changes. Estimated</w:t>
      </w:r>
      <w:r>
        <w:t xml:space="preserve"> </w:t>
      </w:r>
      <w:r>
        <w:rPr>
          <w:bCs/>
          <w:b/>
        </w:rPr>
        <w:t xml:space="preserve">~5 person-days per topology</w:t>
      </w:r>
      <w:r>
        <w:t xml:space="preserve"> </w:t>
      </w:r>
      <w:r>
        <w:t xml:space="preserve">if the pipeline is preserved.</w:t>
      </w:r>
    </w:p>
    <w:bookmarkEnd w:id="29"/>
    <w:bookmarkStart w:id="30" w:name="X8247673dde696826446542f3d90d2eba71ffc9b"/>
    <w:p>
      <w:pPr>
        <w:pStyle w:val="Heading3"/>
      </w:pPr>
      <w:r>
        <w:t xml:space="preserve">7.2 Random walk semantics need a per-topology decision</w:t>
      </w:r>
    </w:p>
    <w:p>
      <w:pPr>
        <w:pStyle w:val="FirstParagraph"/>
      </w:pPr>
      <w:r>
        <w:rPr>
          <w:rStyle w:val="VerbatimChar"/>
        </w:rPr>
        <w:t xml:space="preserve">walk_range=2</w:t>
      </w:r>
      <w:r>
        <w:t xml:space="preserve"> </w:t>
      </w:r>
      <w:r>
        <w:t xml:space="preserve">means a 5×5 box on rect, an H3 2-ring (~19 cells) on hex, and</w:t>
      </w:r>
      <w:r>
        <w:t xml:space="preserve"> </w:t>
      </w:r>
      <w:r>
        <w:t xml:space="preserve">“</w:t>
      </w:r>
      <w:r>
        <w:t xml:space="preserve">graph distance ≤ 2</w:t>
      </w:r>
      <w:r>
        <w:t xml:space="preserve">”</w:t>
      </w:r>
      <w:r>
        <w:t xml:space="preserve"> </w:t>
      </w:r>
      <w:r>
        <w:t xml:space="preserve">on unstructured. Biological intent (typical home-range size in km) doesn’t translate automatically. Recommendation: introduce a</w:t>
      </w:r>
      <w:r>
        <w:t xml:space="preserve"> </w:t>
      </w:r>
      <w:r>
        <w:rPr>
          <w:rStyle w:val="VerbatimChar"/>
        </w:rPr>
        <w:t xml:space="preserve">walk_range_km</w:t>
      </w:r>
      <w:r>
        <w:t xml:space="preserve"> </w:t>
      </w:r>
      <w:r>
        <w:t xml:space="preserve">config key alongside the existing index-space</w:t>
      </w:r>
      <w:r>
        <w:t xml:space="preserve"> </w:t>
      </w:r>
      <w:r>
        <w:rPr>
          <w:rStyle w:val="VerbatimChar"/>
        </w:rPr>
        <w:t xml:space="preserve">walk_range</w:t>
      </w:r>
      <w:r>
        <w:t xml:space="preserve">, and let each topology convert. This is a one-time cost amortized across C, D, F.</w:t>
      </w:r>
    </w:p>
    <w:bookmarkEnd w:id="30"/>
    <w:bookmarkStart w:id="31" w:name="X028636965b681d130598951ff00ffc972363e1d"/>
    <w:p>
      <w:pPr>
        <w:pStyle w:val="Heading3"/>
      </w:pPr>
      <w:r>
        <w:t xml:space="preserve">7.3 Java parity is broken by A, C, D, F (preserved by B + E)</w:t>
      </w:r>
    </w:p>
    <w:p>
      <w:pPr>
        <w:pStyle w:val="FirstParagraph"/>
      </w:pPr>
      <w:r>
        <w:t xml:space="preserve">The Java OSMOSE engine is rectangular-only. Any engine-side topology beyond rectangular forks Python from Java numerically. This is</w:t>
      </w:r>
      <w:r>
        <w:t xml:space="preserve"> </w:t>
      </w:r>
      <w:r>
        <w:rPr>
          <w:bCs/>
          <w:b/>
        </w:rPr>
        <w:t xml:space="preserve">strategic</w:t>
      </w:r>
      <w:r>
        <w:t xml:space="preserve">, not technical: are we still a parity port, or are we a divergent evolution? A clean answer here makes the option-selection matrix obvious. We have no current pressure to maintain parity (no recent reports of Python/Java divergence shipping production results), but historically parity has been valuable for cross-validation.</w:t>
      </w:r>
    </w:p>
    <w:bookmarkEnd w:id="31"/>
    <w:bookmarkStart w:id="32" w:name="multi-topology-coexistence"/>
    <w:p>
      <w:pPr>
        <w:pStyle w:val="Heading3"/>
      </w:pPr>
      <w:r>
        <w:t xml:space="preserve">7.4 Multi-topology coexistence</w:t>
      </w:r>
    </w:p>
    <w:p>
      <w:pPr>
        <w:pStyle w:val="FirstParagraph"/>
      </w:pPr>
      <w:r>
        <w:t xml:space="preserve">Should the engine support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rectangular and hex configs in one binary, or is each topology a build-time choice? Recommendation: runtime dispatch via</w:t>
      </w:r>
      <w:r>
        <w:t xml:space="preserve"> </w:t>
      </w:r>
      <w:r>
        <w:rPr>
          <w:rStyle w:val="VerbatimChar"/>
        </w:rPr>
        <w:t xml:space="preserve">GridTopology</w:t>
      </w:r>
      <w:r>
        <w:t xml:space="preserve"> </w:t>
      </w:r>
      <w:r>
        <w:t xml:space="preserve">protocol (Option B’s natural shape). The protocol cost is paid once; users pick at config-load time which topology to load.</w:t>
      </w:r>
    </w:p>
    <w:bookmarkEnd w:id="32"/>
    <w:bookmarkStart w:id="33" w:name="forcing-calibration"/>
    <w:p>
      <w:pPr>
        <w:pStyle w:val="Heading3"/>
      </w:pPr>
      <w:r>
        <w:t xml:space="preserve">7.5 Forcing &amp; calibration</w:t>
      </w:r>
    </w:p>
    <w:p>
      <w:pPr>
        <w:pStyle w:val="FirstParagraph"/>
      </w:pPr>
      <w:r>
        <w:t xml:space="preserve">All currently-calibrated parameters (mortality, fishing, ingestion, fecundity) are per-species scalars and</w:t>
      </w:r>
      <w:r>
        <w:t xml:space="preserve"> </w:t>
      </w:r>
      <w:r>
        <w:rPr>
          <w:iCs/>
          <w:i/>
        </w:rPr>
        <w:t xml:space="preserve">do not depend on grid topology.</w:t>
      </w:r>
      <w:r>
        <w:t xml:space="preserve"> </w:t>
      </w:r>
      <w:r>
        <w:t xml:space="preserve">Switching topology does not invalidate the 2026-04-22 phase 1 / 2026-04-24 phase 2 / 2026-04-27 phase 12 calibration as a starting point. What needs regeneration: distribution maps, walk_range (if moving from index-space to km-space), and possibly LTL accessibility coefficients (since the spatial averaging implicit in rectangular grids breaks).</w:t>
      </w:r>
    </w:p>
    <w:bookmarkEnd w:id="33"/>
    <w:bookmarkStart w:id="34" w:name="performance"/>
    <w:p>
      <w:pPr>
        <w:pStyle w:val="Heading3"/>
      </w:pPr>
      <w:r>
        <w:t xml:space="preserve">7.6 Performance</w:t>
      </w:r>
    </w:p>
    <w:p>
      <w:pPr>
        <w:pStyle w:val="FirstParagraph"/>
      </w:pPr>
      <w:r>
        <w:t xml:space="preserve">A 2,016-cell rectangular Baltic grid currently takes ~6 minutes for a 50-y sim under predator-active calibration contention. Estimated post-refactor / per-topology slowdowns:</w:t>
      </w:r>
    </w:p>
    <w:p>
      <w:pPr>
        <w:numPr>
          <w:ilvl w:val="0"/>
          <w:numId w:val="1002"/>
        </w:numPr>
        <w:pStyle w:val="Compact"/>
      </w:pPr>
      <w:r>
        <w:t xml:space="preserve">B alone: 0% (refactor only; numba-compiled hot paths unchanged).</w:t>
      </w:r>
    </w:p>
    <w:p>
      <w:pPr>
        <w:numPr>
          <w:ilvl w:val="0"/>
          <w:numId w:val="1002"/>
        </w:numPr>
        <w:pStyle w:val="Compact"/>
      </w:pPr>
      <w:r>
        <w:t xml:space="preserve">C (H3, ~5,000 cells at res 5): +20–30% (more cells, but flatter neighbor lookup).</w:t>
      </w:r>
    </w:p>
    <w:p>
      <w:pPr>
        <w:numPr>
          <w:ilvl w:val="0"/>
          <w:numId w:val="1002"/>
        </w:numPr>
        <w:pStyle w:val="Compact"/>
      </w:pPr>
      <w:r>
        <w:t xml:space="preserve">D (unstructured, ~10,000 cells with 5× refined lagoons):</w:t>
      </w:r>
      <w:r>
        <w:t xml:space="preserve"> </w:t>
      </w:r>
      <w:r>
        <w:rPr>
          <w:bCs/>
          <w:b/>
        </w:rPr>
        <w:t xml:space="preserve">+100–150%</w:t>
      </w:r>
      <w:r>
        <w:t xml:space="preserve">, dominated by lagoon cells holding most schools post-spawning.</w:t>
      </w:r>
    </w:p>
    <w:p>
      <w:pPr>
        <w:numPr>
          <w:ilvl w:val="0"/>
          <w:numId w:val="1002"/>
        </w:numPr>
        <w:pStyle w:val="Compact"/>
      </w:pPr>
      <w:r>
        <w:t xml:space="preserve">F (nested rect, 1 zone at 5× refinement): +30–50%.</w:t>
      </w:r>
    </w:p>
    <w:p>
      <w:pPr>
        <w:numPr>
          <w:ilvl w:val="0"/>
          <w:numId w:val="1002"/>
        </w:numPr>
        <w:pStyle w:val="Compact"/>
      </w:pPr>
      <w:r>
        <w:t xml:space="preserve">E: zero engine impact (pre-processor).</w:t>
      </w:r>
    </w:p>
    <w:p>
      <w:pPr>
        <w:pStyle w:val="FirstParagraph"/>
      </w:pPr>
      <w:r>
        <w:t xml:space="preserve">These are guesses; performance spikes are needed before committing to 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commended-sequencing"/>
    <w:p>
      <w:pPr>
        <w:pStyle w:val="Heading2"/>
      </w:pPr>
      <w:r>
        <w:t xml:space="preserve">8 · Recommended sequencing</w:t>
      </w:r>
    </w:p>
    <w:p>
      <w:pPr>
        <w:pStyle w:val="FirstParagraph"/>
      </w:pPr>
      <w:r>
        <w:t xml:space="preserve">If we’re going to do this at all, the low-regret sequence is:</w:t>
      </w:r>
    </w:p>
    <w:p>
      <w:pPr>
        <w:pStyle w:val="SourceCode"/>
      </w:pPr>
      <w:r>
        <w:rPr>
          <w:rStyle w:val="VerbatimChar"/>
        </w:rPr>
        <w:t xml:space="preserve">                         ┌─ A (curvilinear)        ←  if NEMO/ROMS coupling motivated</w:t>
      </w:r>
      <w:r>
        <w:br/>
      </w:r>
      <w:r>
        <w:rPr>
          <w:rStyle w:val="VerbatimChar"/>
        </w:rPr>
        <w:t xml:space="preserve">   ┌─ E (pre-processor)  │</w:t>
      </w:r>
      <w:r>
        <w:br/>
      </w:r>
      <w:r>
        <w:rPr>
          <w:rStyle w:val="VerbatimChar"/>
        </w:rPr>
        <w:t xml:space="preserve">   │                     │</w:t>
      </w:r>
      <w:r>
        <w:br/>
      </w:r>
      <w:r>
        <w:rPr>
          <w:rStyle w:val="VerbatimChar"/>
        </w:rPr>
        <w:t xml:space="preserve">   │                     ├─ C (hex H3)             ←  if dispersal-kernel motivated</w:t>
      </w:r>
      <w:r>
        <w:br/>
      </w:r>
      <w:r>
        <w:rPr>
          <w:rStyle w:val="VerbatimChar"/>
        </w:rPr>
        <w:t xml:space="preserve">B ─┤                     │</w:t>
      </w:r>
      <w:r>
        <w:br/>
      </w:r>
      <w:r>
        <w:rPr>
          <w:rStyle w:val="VerbatimChar"/>
        </w:rPr>
        <w:t xml:space="preserve">   │                     ├─ D (unstructured)       ←  if coastal-refinement motivated</w:t>
      </w:r>
      <w:r>
        <w:br/>
      </w:r>
      <w:r>
        <w:rPr>
          <w:rStyle w:val="VerbatimChar"/>
        </w:rPr>
        <w:t xml:space="preserve">   │                     │</w:t>
      </w:r>
      <w:r>
        <w:br/>
      </w:r>
      <w:r>
        <w:rPr>
          <w:rStyle w:val="VerbatimChar"/>
        </w:rPr>
        <w:t xml:space="preserve">   └─ (status quo)       └─ F (nested rect)        ←  if coastal-refinement &amp; rect-only world preferred</w:t>
      </w:r>
    </w:p>
    <w:p>
      <w:pPr>
        <w:pStyle w:val="FirstParagraph"/>
      </w:pPr>
      <w:r>
        <w:t xml:space="preserve">Concretely: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Now (week 1–2):</w:t>
      </w:r>
      <w:r>
        <w:t xml:space="preserve"> </w:t>
      </w:r>
      <w:r>
        <w:t xml:space="preserve">Ship</w:t>
      </w:r>
      <w:r>
        <w:t xml:space="preserve"> </w:t>
      </w:r>
      <w:r>
        <w:rPr>
          <w:bCs/>
          <w:b/>
        </w:rPr>
        <w:t xml:space="preserve">E</w:t>
      </w:r>
      <w:r>
        <w:t xml:space="preserve">. ~2 weeks; immediate value; no engine risk; complementary to everything else.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Now (week 1–4):</w:t>
      </w:r>
      <w:r>
        <w:t xml:space="preserve"> </w:t>
      </w:r>
      <w:r>
        <w:t xml:space="preserve">Ship</w:t>
      </w:r>
      <w:r>
        <w:t xml:space="preserve"> </w:t>
      </w:r>
      <w:r>
        <w:rPr>
          <w:bCs/>
          <w:b/>
        </w:rPr>
        <w:t xml:space="preserve">B</w:t>
      </w:r>
      <w:r>
        <w:t xml:space="preserve">. ~3 weeks; the prerequisite refactor; pays itself back in code clarity.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Decision point</w:t>
      </w:r>
      <w:r>
        <w:t xml:space="preserve"> </w:t>
      </w:r>
      <w:r>
        <w:t xml:space="preserve">(after B + E land): pick one of A, C, D, F based on the dominant motivation:</w:t>
      </w:r>
    </w:p>
    <w:p>
      <w:pPr>
        <w:numPr>
          <w:ilvl w:val="1"/>
          <w:numId w:val="1004"/>
        </w:numPr>
        <w:pStyle w:val="Compact"/>
      </w:pPr>
      <w:r>
        <w:t xml:space="preserve">External-data coupling →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(1.5 wk).</w:t>
      </w:r>
    </w:p>
    <w:p>
      <w:pPr>
        <w:numPr>
          <w:ilvl w:val="1"/>
          <w:numId w:val="1004"/>
        </w:numPr>
        <w:pStyle w:val="Compact"/>
      </w:pPr>
      <w:r>
        <w:t xml:space="preserve">Dispersal correctness / scale studies →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(6 wk).</w:t>
      </w:r>
    </w:p>
    <w:p>
      <w:pPr>
        <w:numPr>
          <w:ilvl w:val="1"/>
          <w:numId w:val="1004"/>
        </w:numPr>
        <w:pStyle w:val="Compact"/>
      </w:pPr>
      <w:r>
        <w:t xml:space="preserve">Lagoon refinement, willing to take the calendar hit →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(3–4 mo).</w:t>
      </w:r>
    </w:p>
    <w:p>
      <w:pPr>
        <w:numPr>
          <w:ilvl w:val="1"/>
          <w:numId w:val="1004"/>
        </w:numPr>
        <w:pStyle w:val="Compact"/>
      </w:pPr>
      <w:r>
        <w:t xml:space="preserve">Lagoon refinement, want to stay in rect-world →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(5 wk).</w:t>
      </w:r>
    </w:p>
    <w:p>
      <w:pPr>
        <w:numPr>
          <w:ilvl w:val="0"/>
          <w:numId w:val="1003"/>
        </w:numPr>
        <w:pStyle w:val="Compact"/>
      </w:pPr>
      <w:r>
        <w:t xml:space="preserve">The chosen option ships in its quoted timeline.</w:t>
      </w:r>
    </w:p>
    <w:p>
      <w:pPr>
        <w:numPr>
          <w:ilvl w:val="0"/>
          <w:numId w:val="1003"/>
        </w:numPr>
        <w:pStyle w:val="Compact"/>
      </w:pPr>
      <w:r>
        <w:t xml:space="preserve">Re-evaluate: did the new topology produce ecologically meaningfully different results, and are users actually picking it? Greenlight or shelve.</w:t>
      </w:r>
    </w:p>
    <w:p>
      <w:r>
        <w:pict>
          <v:rect style="width:0;height:1.5pt" o:hralign="center" o:hrstd="t" o:hr="t"/>
        </w:pict>
      </w:r>
    </w:p>
    <w:bookmarkEnd w:id="36"/>
    <w:bookmarkStart w:id="37" w:name="X56cee219c1f5230c463d7b8e62217ae8995945e"/>
    <w:p>
      <w:pPr>
        <w:pStyle w:val="Heading2"/>
      </w:pPr>
      <w:r>
        <w:t xml:space="preserve">9 · Decision criteria (to fill in before committing)</w:t>
      </w:r>
    </w:p>
    <w:p>
      <w:pPr>
        <w:pStyle w:val="FirstParagraph"/>
      </w:pPr>
      <w:r>
        <w:t xml:space="preserve">Answer these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picking an option: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we accept Java-parity divergence?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there a concrete external dataset we want to consume?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strong-yes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irrelevant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helpful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strong-yes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dispersal-kernel correctness the motivation?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coastal-lagoon resolution the motivation?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budget available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wk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Distribution-map regen acceptable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(5 days)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(5 days+)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(1 zone)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isks-open-questions"/>
    <w:p>
      <w:pPr>
        <w:pStyle w:val="Heading2"/>
      </w:pPr>
      <w:r>
        <w:t xml:space="preserve">10 · Risks &amp; open questions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Strategic risk (high impact):</w:t>
      </w:r>
      <w:r>
        <w:t xml:space="preserve"> </w:t>
      </w:r>
      <w:r>
        <w:t xml:space="preserve">Java parity. A unilateral fork without an explicit agreement could surprise users. Resolve before any engine-side option (A, C, D, 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Schedule risk (medium impact):</w:t>
      </w:r>
      <w:r>
        <w:t xml:space="preserve"> </w:t>
      </w:r>
      <w:r>
        <w:t xml:space="preserve">D’s 3–4 month estimate is optimistic; mesh QA + distribution-map regen frequently slip. Budget +50% on 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risk (medium impact):</w:t>
      </w:r>
      <w:r>
        <w:t xml:space="preserve"> </w:t>
      </w:r>
      <w:r>
        <w:t xml:space="preserve">D unstructured-mesh perf has not been benchmarked. Spike a 50-y Baltic-on-mesh run in week 2 of D before committing the rest of the engineering.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Calibration risk (medium impact):</w:t>
      </w:r>
      <w:r>
        <w:t xml:space="preserve"> </w:t>
      </w:r>
      <w:r>
        <w:t xml:space="preserve">Walk-range semantics shift. Plan a per-species walk_range recalibration as part of any topology switch (1 week of compute, embedded inside C/D/F’s calendar).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 question:</w:t>
      </w:r>
      <w:r>
        <w:t xml:space="preserve"> </w:t>
      </w:r>
      <w:r>
        <w:t xml:space="preserve">Is the Baltic team’s actual unmet need</w:t>
      </w:r>
      <w:r>
        <w:t xml:space="preserve"> </w:t>
      </w:r>
      <w:r>
        <w:rPr>
          <w:iCs/>
          <w:i/>
        </w:rPr>
        <w:t xml:space="preserve">coastal refinement</w:t>
      </w:r>
      <w:r>
        <w:t xml:space="preserve"> </w:t>
      </w:r>
      <w:r>
        <w:t xml:space="preserve">(favors D/F) or</w:t>
      </w:r>
      <w:r>
        <w:t xml:space="preserve"> </w:t>
      </w:r>
      <w:r>
        <w:rPr>
          <w:iCs/>
          <w:i/>
        </w:rPr>
        <w:t xml:space="preserve">external-data coupling</w:t>
      </w:r>
      <w:r>
        <w:t xml:space="preserve"> </w:t>
      </w:r>
      <w:r>
        <w:t xml:space="preserve">(favors A/E)? This drives the option choice and should be answered in conversation, not in a planning doc.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 question:</w:t>
      </w:r>
      <w:r>
        <w:t xml:space="preserve"> </w:t>
      </w:r>
      <w:r>
        <w:t xml:space="preserve">Does HELCOM publish UGRID-format Baltic bathymetry meshes? If yes, D becomes much cheaper. If no, mesh-generation upstream cost is real.</w:t>
      </w:r>
    </w:p>
    <w:p>
      <w:r>
        <w:pict>
          <v:rect style="width:0;height:1.5pt" o:hralign="center" o:hrstd="t" o:hr="t"/>
        </w:pict>
      </w:r>
    </w:p>
    <w:bookmarkEnd w:id="38"/>
    <w:bookmarkStart w:id="39" w:name="what-this-plan-does-not-decide"/>
    <w:p>
      <w:pPr>
        <w:pStyle w:val="Heading2"/>
      </w:pPr>
      <w:r>
        <w:t xml:space="preserve">11 · What this plan does NOT decide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Whether</w:t>
      </w:r>
      <w:r>
        <w:t xml:space="preserve"> </w:t>
      </w:r>
      <w:r>
        <w:t xml:space="preserve">to do any of this. The status quo (rectangular only, parity-port to Java) is a coherent option.</w:t>
      </w:r>
    </w:p>
    <w:p>
      <w:pPr>
        <w:numPr>
          <w:ilvl w:val="0"/>
          <w:numId w:val="1006"/>
        </w:numPr>
        <w:pStyle w:val="Compact"/>
      </w:pPr>
      <w:r>
        <w:t xml:space="preserve">The exact H3 resolution (Option C). Suggest spike at res 5, 6, 7 and pick based on cell count + UI render time.</w:t>
      </w:r>
    </w:p>
    <w:p>
      <w:pPr>
        <w:numPr>
          <w:ilvl w:val="0"/>
          <w:numId w:val="1006"/>
        </w:numPr>
        <w:pStyle w:val="Compact"/>
      </w:pPr>
      <w:r>
        <w:t xml:space="preserve">Mesh-generation tooling for Option D —</w:t>
      </w:r>
      <w:r>
        <w:t xml:space="preserve"> </w:t>
      </w:r>
      <w:r>
        <w:rPr>
          <w:rStyle w:val="VerbatimChar"/>
        </w:rPr>
        <w:t xml:space="preserve">gmsh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OceanMesh2D</w:t>
      </w:r>
      <w:r>
        <w:t xml:space="preserve"> </w:t>
      </w:r>
      <w:r>
        <w:t xml:space="preserve">is itself a multi-day evaluation.</w:t>
      </w:r>
    </w:p>
    <w:p>
      <w:pPr>
        <w:numPr>
          <w:ilvl w:val="0"/>
          <w:numId w:val="1006"/>
        </w:numPr>
        <w:pStyle w:val="Compact"/>
      </w:pPr>
      <w:r>
        <w:t xml:space="preserve">Whether to expose topology selection in the Shiny UI (probably yes, but UI work is bundled into each option’s tasks).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es"/>
    <w:p>
      <w:pPr>
        <w:pStyle w:val="Heading2"/>
      </w:pPr>
      <w:r>
        <w:t xml:space="preserve">12 · References</w:t>
      </w:r>
    </w:p>
    <w:p>
      <w:pPr>
        <w:numPr>
          <w:ilvl w:val="0"/>
          <w:numId w:val="1007"/>
        </w:numPr>
        <w:pStyle w:val="Compact"/>
      </w:pPr>
      <w:r>
        <w:t xml:space="preserve">2026-04-24 feasibility study:</w:t>
      </w:r>
      <w:r>
        <w:t xml:space="preserve"> </w:t>
      </w:r>
      <w:r>
        <w:rPr>
          <w:rStyle w:val="VerbatimChar"/>
        </w:rPr>
        <w:t xml:space="preserve">docs/superpowers/specs/2026-04-24-non-rectangular-grids-exploration.md</w:t>
      </w:r>
      <w:r>
        <w:t xml:space="preserve"> </w:t>
      </w:r>
      <w:r>
        <w:t xml:space="preserve">— survey of grid assumptions in the codebase + cost-per-subsystem table.</w:t>
      </w:r>
    </w:p>
    <w:p>
      <w:pPr>
        <w:numPr>
          <w:ilvl w:val="0"/>
          <w:numId w:val="1007"/>
        </w:numPr>
        <w:pStyle w:val="Compact"/>
      </w:pPr>
      <w:r>
        <w:t xml:space="preserve">UGRID CF convention: https://ugrid-conventions.github.io/ugrid-conventions/</w:t>
      </w:r>
    </w:p>
    <w:p>
      <w:pPr>
        <w:numPr>
          <w:ilvl w:val="0"/>
          <w:numId w:val="1007"/>
        </w:numPr>
        <w:pStyle w:val="Compact"/>
      </w:pPr>
      <w:r>
        <w:t xml:space="preserve">H3 geospatial indexing: https://h3geo.org/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uxarray</w:t>
      </w:r>
      <w:r>
        <w:t xml:space="preserve"> </w:t>
      </w:r>
      <w:r>
        <w:t xml:space="preserve">library: https://uxarray.readthedocs.io/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gmsh</w:t>
      </w:r>
      <w:r>
        <w:t xml:space="preserve"> </w:t>
      </w:r>
      <w:r>
        <w:t xml:space="preserve">mesh generator: https://gmsh.info/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OceanMesh2D</w:t>
      </w:r>
      <w:r>
        <w:t xml:space="preserve"> </w:t>
      </w:r>
      <w:r>
        <w:t xml:space="preserve">(MATLAB / Python mesh generator for coastal models): https://github.com/CHLNDDEV/OceanMesh2D</w:t>
      </w:r>
    </w:p>
    <w:p>
      <w:pPr>
        <w:numPr>
          <w:ilvl w:val="0"/>
          <w:numId w:val="1007"/>
        </w:numPr>
        <w:pStyle w:val="Compact"/>
      </w:pPr>
      <w:r>
        <w:t xml:space="preserve">Existing OSMOSE-Python grid code:</w:t>
      </w:r>
      <w:r>
        <w:t xml:space="preserve"> </w:t>
      </w:r>
      <w:r>
        <w:rPr>
          <w:rStyle w:val="VerbatimChar"/>
        </w:rPr>
        <w:t xml:space="preserve">osmose/engine/grid.py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osmose/engine/processes/movement.py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ui/pages/grid_helpers.py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osmose/schema/grid.py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Author note: this document is a planning artifact, not a design spec. The expected next step is a 30-minute conversation to answer the §9 decision-criteria table, after which 1 or 2 options become obviously correct.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uperpowers/specs/2026-04-24-non-rectangular-grids-explo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uperpowers/specs/2026-04-24-non-rectangular-grids-explo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2026-04-27T15:01:45Z</dcterms:created>
  <dcterms:modified xsi:type="dcterms:W3CDTF">2026-04-27T15:01:45Z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