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Baltic Sea OSMOSE Model</w:t>
      </w:r>
    </w:p>
    <w:p>
      <w:pPr>
        <w:jc w:val="center"/>
      </w:pPr>
      <w:r>
        <w:rPr>
          <w:i/>
        </w:rPr>
        <w:t>Structure, Fit to ICES Data, and Improvement Pathways</w:t>
      </w:r>
    </w:p>
    <w:p>
      <w:pPr>
        <w:jc w:val="center"/>
      </w:pPr>
      <w:r>
        <w:rPr>
          <w:color w:val="666666"/>
          <w:sz w:val="18"/>
        </w:rPr>
        <w:t>Generated 2026-07-24 · osmose-python · engine: Python (Java-parity)</w:t>
      </w:r>
    </w:p>
    <w:p>
      <w:pPr>
        <w:pStyle w:val="Heading1"/>
      </w:pPr>
      <w:r>
        <w:t>1  Executive summary</w:t>
      </w:r>
    </w:p>
    <w:p>
      <w:r>
        <w:t>The Baltic Sea OSMOSE configuration is an 8-species, spatially-explicit, individual-based end-to-end marine ecosystem model on a 50×40 grid of the Baltic Sea (10–30°E, 54–66°N), forced with Copernicus Marine plankton fields and calibrated against ICES stock-assessment biomass. Its committed configuration is an equilibrium-calibrated Shepherd baseline (2026-07-24 re-fit): run 40 years to equilibrium it reproduces the ICES acceptable biomass envelope for 5 of 8 focal species with no species collapsed — the best result on record (the prior documented best was 2/8). The remaining misfits are over-predictions concentrated in the low-weight, grid-under-resolved coastal percids (perch, pikeperch) and the forage species smelt. This report describes the model, quantifies its calibrated fit to ICES data, and sets out concrete improvement avenues — the most impactful now being finer spatial resolution of coastal habitat, objective re-weighting for the percids, and surrogate-Bayesian uncertainty quantification.</w:t>
      </w:r>
    </w:p>
    <w:p>
      <w:pPr>
        <w:pStyle w:val="Heading1"/>
      </w:pPr>
      <w:r>
        <w:t>2  Model description</w:t>
      </w:r>
    </w:p>
    <w:p>
      <w:pPr>
        <w:pStyle w:val="Heading2"/>
      </w:pPr>
      <w:r>
        <w:t>2.1  Domain, grid and time</w:t>
      </w:r>
    </w:p>
    <w:p>
      <w:r>
        <w:t>The model covers the Baltic Sea from 10–30°E and 54–66°N on a 50×40 regular grid (~0.4°×0.3° per cell; 612 ocean cells defined by a land/sea mask). Time advances in 24 steps per year (fortnightly); the standard run length is 15 years, extended to 40–50 years for equilibrium calibration and validation. The engine is the pure-Python OSMOSE port (NumPy/Numba), maintained at numerical parity with the reference Java engine (14/14 EEC and 8/8 Bay-of-Biscay parity tests).</w:t>
      </w:r>
    </w:p>
    <w:p>
      <w:pPr>
        <w:pStyle w:val="Heading2"/>
      </w:pPr>
      <w:r>
        <w:t>2.2  Species and resources</w:t>
      </w:r>
    </w:p>
    <w:p>
      <w:r>
        <w:t>Eight high-trophic-level focal species are represented as schools of individuals: three pelagics (herring, sprat, three-spined stickleback), two demersals (cod, flounder) and three coastal species (perch, pikeperch, smelt). These span the main Baltic fishery management units. Below them sit six lower-trophic-level (LTL) resource groups — diatoms, dinoflagellates, micro-, meso- and macro-zooplankton, and benthos — supplied as biomass forcing rather than simulated dynamically. Two background predators (grey seal, cormorant) impose top-down mortality. Eight fisheries, one per focal species, apply size-selective fishing.</w:t>
      </w:r>
    </w:p>
    <w:p>
      <w:pPr>
        <w:pStyle w:val="Heading2"/>
      </w:pPr>
      <w:r>
        <w:t>2.3  Processes</w:t>
      </w:r>
    </w:p>
    <w:p>
      <w:r>
        <w:t>Each fortnightly step resolves growth (von Bertalanffy parameters from FishBase, Baltic populations preferred), size-structured predation (a 14×14 prey×predator accessibility matrix from published Baltic stomach-content studies; maximum ingestion from a Palomares &amp; Pauly Q/B regression), starvation and additional (implicit) mortality, size-selective fishing, spatial movement via per-species per-life-stage distribution maps, and reproduction. Reproduction uses seasonal spawning curves; the present configuration applies density-dependent Beverton-Holt recruitment to cod, flounder, perch and pikeperch (half-saturation SSB set per species).</w:t>
      </w:r>
    </w:p>
    <w:p>
      <w:pPr>
        <w:pStyle w:val="Heading2"/>
      </w:pPr>
      <w:r>
        <w:t>2.4  Forcing and provenance</w:t>
      </w:r>
    </w:p>
    <w:p>
      <w:r>
        <w:t>Plankton forcing is derived from the Copernicus Marine Baltic biogeochemistry reanalysis (monthly, depth-integrated 0–50 m): phytoplankton split into diatom/dinoflagellate by seasonal succession, ERGOM zooplankton carbon mapped to micro/meso/macro size classes. Species growth and length–weight allometry come from FishBase; predation structure from Baltic diet literature; base fishing rates from ICES stock-assessment F. Cod post-2015 growth impairment (Svedäng et al. 2024) is documented but not yet applied — the present run uses historical growth.</w:t>
      </w:r>
    </w:p>
    <w:p>
      <w:pPr>
        <w:pStyle w:val="Heading1"/>
      </w:pPr>
      <w:r>
        <w:t>3  Fit to ICES stock-assessment data</w:t>
      </w:r>
    </w:p>
    <w:p>
      <w:pPr>
        <w:pStyle w:val="Heading2"/>
      </w:pPr>
      <w:r>
        <w:t>3.1  Method</w:t>
      </w:r>
    </w:p>
    <w:p>
      <w:r>
        <w:t>Calibration targets are 2018–2022 equilibrium biomasses derived from ICES stock assessments, with an acceptable [lower, upper] envelope and a weight (1.0 for well-assessed pelagics down to 0.2 for coarse-grid coastal species). The fit reported below is a fresh run of the model's best calibrated parameter set (Shepherd density-dependent recruitment; the phase-13 calibration), executed here over three seeds to 40-year equilibrium via the repository's own ICES-comparison tool. Fit is the last-10-year mean total biomass relative to each species' ICES envelope; “in range” means it falls within [lower, upper]. (Cod's ICES envelope is an SSB reference point; total biomass is compared to it per the calibration convention.)</w:t>
      </w:r>
    </w:p>
    <w:p>
      <w:pPr>
        <w:pStyle w:val="Heading2"/>
      </w:pPr>
      <w:r>
        <w:t>3.2  Results</w:t>
      </w:r>
    </w:p>
    <w:p>
      <w:r>
        <w:t>The calibrated model places 5 of 8 focal species inside their ICES envelope. Figure 1 shows the model-to-target ratio against each envelope; Figure 2 shows absolute biomasses.</w:t>
      </w:r>
    </w:p>
    <w:p>
      <w:r>
        <w:drawing>
          <wp:inline xmlns:a="http://schemas.openxmlformats.org/drawingml/2006/main" xmlns:pic="http://schemas.openxmlformats.org/drawingml/2006/picture">
            <wp:extent cx="5760720" cy="3440430"/>
            <wp:docPr id="1" name="Picture 1"/>
            <wp:cNvGraphicFramePr>
              <a:graphicFrameLocks noChangeAspect="1"/>
            </wp:cNvGraphicFramePr>
            <a:graphic>
              <a:graphicData uri="http://schemas.openxmlformats.org/drawingml/2006/picture">
                <pic:pic>
                  <pic:nvPicPr>
                    <pic:cNvPr id="0" name="fig1_fit.png"/>
                    <pic:cNvPicPr/>
                  </pic:nvPicPr>
                  <pic:blipFill>
                    <a:blip r:embed="rId9"/>
                    <a:stretch>
                      <a:fillRect/>
                    </a:stretch>
                  </pic:blipFill>
                  <pic:spPr>
                    <a:xfrm>
                      <a:off x="0" y="0"/>
                      <a:ext cx="5760720" cy="3440430"/>
                    </a:xfrm>
                    <a:prstGeom prst="rect"/>
                  </pic:spPr>
                </pic:pic>
              </a:graphicData>
            </a:graphic>
          </wp:inline>
        </w:drawing>
      </w:r>
    </w:p>
    <w:p>
      <w:r>
        <w:rPr>
          <w:i/>
          <w:sz w:val="17"/>
        </w:rPr>
        <w:t>Figure 1. Present-model biomass ÷ ICES target (log scale). Grey bar = ICES acceptable envelope; dashed line = on target. Green = in range, red = outside.</w:t>
      </w:r>
    </w:p>
    <w:p>
      <w:pPr>
        <w:pStyle w:val="Heading3"/>
      </w:pPr>
      <w:r>
        <w:t>Table 1. Calibrated-model (Shepherd) fit to ICES envelopes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Species</w:t>
            </w:r>
          </w:p>
        </w:tc>
        <w:tc>
          <w:tcPr>
            <w:tcW w:type="dxa" w:w="1440"/>
          </w:tcPr>
          <w:p>
            <w:r>
              <w:rPr>
                <w:b/>
              </w:rPr>
              <w:t>Quantity</w:t>
            </w:r>
          </w:p>
        </w:tc>
        <w:tc>
          <w:tcPr>
            <w:tcW w:type="dxa" w:w="1440"/>
          </w:tcPr>
          <w:p>
            <w:r>
              <w:rPr>
                <w:b/>
              </w:rPr>
              <w:t>ICES range (t)</w:t>
            </w:r>
          </w:p>
        </w:tc>
        <w:tc>
          <w:tcPr>
            <w:tcW w:type="dxa" w:w="1440"/>
          </w:tcPr>
          <w:p>
            <w:r>
              <w:rPr>
                <w:b/>
              </w:rPr>
              <w:t>Model (t)</w:t>
            </w:r>
          </w:p>
        </w:tc>
        <w:tc>
          <w:tcPr>
            <w:tcW w:type="dxa" w:w="1440"/>
          </w:tcPr>
          <w:p>
            <w:r>
              <w:rPr>
                <w:b/>
              </w:rPr>
              <w:t>×target</w:t>
            </w:r>
          </w:p>
        </w:tc>
        <w:tc>
          <w:tcPr>
            <w:tcW w:type="dxa" w:w="1440"/>
          </w:tcPr>
          <w:p>
            <w:r>
              <w:rPr>
                <w:b/>
              </w:rPr>
              <w:t>In range</w:t>
            </w:r>
          </w:p>
        </w:tc>
      </w:tr>
      <w:tr>
        <w:tc>
          <w:tcPr>
            <w:tcW w:type="dxa" w:w="1440"/>
          </w:tcPr>
          <w:p>
            <w:r>
              <w:t>cod</w:t>
            </w:r>
          </w:p>
        </w:tc>
        <w:tc>
          <w:tcPr>
            <w:tcW w:type="dxa" w:w="1440"/>
          </w:tcPr>
          <w:p>
            <w:r>
              <w:t>biomass vs SSB env.</w:t>
            </w:r>
          </w:p>
        </w:tc>
        <w:tc>
          <w:tcPr>
            <w:tcW w:type="dxa" w:w="1440"/>
          </w:tcPr>
          <w:p>
            <w:r>
              <w:t>60,000–250,000</w:t>
            </w:r>
          </w:p>
        </w:tc>
        <w:tc>
          <w:tcPr>
            <w:tcW w:type="dxa" w:w="1440"/>
          </w:tcPr>
          <w:p>
            <w:r>
              <w:t>164,473</w:t>
            </w:r>
          </w:p>
        </w:tc>
        <w:tc>
          <w:tcPr>
            <w:tcW w:type="dxa" w:w="1440"/>
          </w:tcPr>
          <w:p>
            <w:r>
              <w:t>×1.37</w:t>
            </w:r>
          </w:p>
        </w:tc>
        <w:tc>
          <w:tcPr>
            <w:tcW w:type="dxa" w:w="1440"/>
          </w:tcPr>
          <w:p>
            <w:r>
              <w:t>yes</w:t>
            </w:r>
          </w:p>
        </w:tc>
      </w:tr>
      <w:tr>
        <w:tc>
          <w:tcPr>
            <w:tcW w:type="dxa" w:w="1440"/>
          </w:tcPr>
          <w:p>
            <w:r>
              <w:t>herring</w:t>
            </w:r>
          </w:p>
        </w:tc>
        <w:tc>
          <w:tcPr>
            <w:tcW w:type="dxa" w:w="1440"/>
          </w:tcPr>
          <w:p>
            <w:r>
              <w:t>biomass</w:t>
            </w:r>
          </w:p>
        </w:tc>
        <w:tc>
          <w:tcPr>
            <w:tcW w:type="dxa" w:w="1440"/>
          </w:tcPr>
          <w:p>
            <w:r>
              <w:t>800,000–3,000,000</w:t>
            </w:r>
          </w:p>
        </w:tc>
        <w:tc>
          <w:tcPr>
            <w:tcW w:type="dxa" w:w="1440"/>
          </w:tcPr>
          <w:p>
            <w:r>
              <w:t>2,184,777</w:t>
            </w:r>
          </w:p>
        </w:tc>
        <w:tc>
          <w:tcPr>
            <w:tcW w:type="dxa" w:w="1440"/>
          </w:tcPr>
          <w:p>
            <w:r>
              <w:t>×1.46</w:t>
            </w:r>
          </w:p>
        </w:tc>
        <w:tc>
          <w:tcPr>
            <w:tcW w:type="dxa" w:w="1440"/>
          </w:tcPr>
          <w:p>
            <w:r>
              <w:t>yes</w:t>
            </w:r>
          </w:p>
        </w:tc>
      </w:tr>
      <w:tr>
        <w:tc>
          <w:tcPr>
            <w:tcW w:type="dxa" w:w="1440"/>
          </w:tcPr>
          <w:p>
            <w:r>
              <w:t>sprat</w:t>
            </w:r>
          </w:p>
        </w:tc>
        <w:tc>
          <w:tcPr>
            <w:tcW w:type="dxa" w:w="1440"/>
          </w:tcPr>
          <w:p>
            <w:r>
              <w:t>biomass</w:t>
            </w:r>
          </w:p>
        </w:tc>
        <w:tc>
          <w:tcPr>
            <w:tcW w:type="dxa" w:w="1440"/>
          </w:tcPr>
          <w:p>
            <w:r>
              <w:t>800,000–2,500,000</w:t>
            </w:r>
          </w:p>
        </w:tc>
        <w:tc>
          <w:tcPr>
            <w:tcW w:type="dxa" w:w="1440"/>
          </w:tcPr>
          <w:p>
            <w:r>
              <w:t>909,365</w:t>
            </w:r>
          </w:p>
        </w:tc>
        <w:tc>
          <w:tcPr>
            <w:tcW w:type="dxa" w:w="1440"/>
          </w:tcPr>
          <w:p>
            <w:r>
              <w:t>×0.61</w:t>
            </w:r>
          </w:p>
        </w:tc>
        <w:tc>
          <w:tcPr>
            <w:tcW w:type="dxa" w:w="1440"/>
          </w:tcPr>
          <w:p>
            <w:r>
              <w:t>yes</w:t>
            </w:r>
          </w:p>
        </w:tc>
      </w:tr>
      <w:tr>
        <w:tc>
          <w:tcPr>
            <w:tcW w:type="dxa" w:w="1440"/>
          </w:tcPr>
          <w:p>
            <w:r>
              <w:t>flounder</w:t>
            </w:r>
          </w:p>
        </w:tc>
        <w:tc>
          <w:tcPr>
            <w:tcW w:type="dxa" w:w="1440"/>
          </w:tcPr>
          <w:p>
            <w:r>
              <w:t>biomass</w:t>
            </w:r>
          </w:p>
        </w:tc>
        <w:tc>
          <w:tcPr>
            <w:tcW w:type="dxa" w:w="1440"/>
          </w:tcPr>
          <w:p>
            <w:r>
              <w:t>20,000–100,000</w:t>
            </w:r>
          </w:p>
        </w:tc>
        <w:tc>
          <w:tcPr>
            <w:tcW w:type="dxa" w:w="1440"/>
          </w:tcPr>
          <w:p>
            <w:r>
              <w:t>39,196</w:t>
            </w:r>
          </w:p>
        </w:tc>
        <w:tc>
          <w:tcPr>
            <w:tcW w:type="dxa" w:w="1440"/>
          </w:tcPr>
          <w:p>
            <w:r>
              <w:t>×0.78</w:t>
            </w:r>
          </w:p>
        </w:tc>
        <w:tc>
          <w:tcPr>
            <w:tcW w:type="dxa" w:w="1440"/>
          </w:tcPr>
          <w:p>
            <w:r>
              <w:t>yes</w:t>
            </w:r>
          </w:p>
        </w:tc>
      </w:tr>
      <w:tr>
        <w:tc>
          <w:tcPr>
            <w:tcW w:type="dxa" w:w="1440"/>
          </w:tcPr>
          <w:p>
            <w:r>
              <w:t>perch</w:t>
            </w:r>
          </w:p>
        </w:tc>
        <w:tc>
          <w:tcPr>
            <w:tcW w:type="dxa" w:w="1440"/>
          </w:tcPr>
          <w:p>
            <w:r>
              <w:t>biomass</w:t>
            </w:r>
          </w:p>
        </w:tc>
        <w:tc>
          <w:tcPr>
            <w:tcW w:type="dxa" w:w="1440"/>
          </w:tcPr>
          <w:p>
            <w:r>
              <w:t>8,000–50,000</w:t>
            </w:r>
          </w:p>
        </w:tc>
        <w:tc>
          <w:tcPr>
            <w:tcW w:type="dxa" w:w="1440"/>
          </w:tcPr>
          <w:p>
            <w:r>
              <w:t>109,408</w:t>
            </w:r>
          </w:p>
        </w:tc>
        <w:tc>
          <w:tcPr>
            <w:tcW w:type="dxa" w:w="1440"/>
          </w:tcPr>
          <w:p>
            <w:r>
              <w:t>×5.47</w:t>
            </w:r>
          </w:p>
        </w:tc>
        <w:tc>
          <w:tcPr>
            <w:tcW w:type="dxa" w:w="1440"/>
          </w:tcPr>
          <w:p>
            <w:r>
              <w:t>no</w:t>
            </w:r>
          </w:p>
        </w:tc>
      </w:tr>
      <w:tr>
        <w:tc>
          <w:tcPr>
            <w:tcW w:type="dxa" w:w="1440"/>
          </w:tcPr>
          <w:p>
            <w:r>
              <w:t>pikeperch</w:t>
            </w:r>
          </w:p>
        </w:tc>
        <w:tc>
          <w:tcPr>
            <w:tcW w:type="dxa" w:w="1440"/>
          </w:tcPr>
          <w:p>
            <w:r>
              <w:t>biomass</w:t>
            </w:r>
          </w:p>
        </w:tc>
        <w:tc>
          <w:tcPr>
            <w:tcW w:type="dxa" w:w="1440"/>
          </w:tcPr>
          <w:p>
            <w:r>
              <w:t>4,000–25,000</w:t>
            </w:r>
          </w:p>
        </w:tc>
        <w:tc>
          <w:tcPr>
            <w:tcW w:type="dxa" w:w="1440"/>
          </w:tcPr>
          <w:p>
            <w:r>
              <w:t>2,243,827</w:t>
            </w:r>
          </w:p>
        </w:tc>
        <w:tc>
          <w:tcPr>
            <w:tcW w:type="dxa" w:w="1440"/>
          </w:tcPr>
          <w:p>
            <w:r>
              <w:t>×224.38</w:t>
            </w:r>
          </w:p>
        </w:tc>
        <w:tc>
          <w:tcPr>
            <w:tcW w:type="dxa" w:w="1440"/>
          </w:tcPr>
          <w:p>
            <w:r>
              <w:t>no</w:t>
            </w:r>
          </w:p>
        </w:tc>
      </w:tr>
      <w:tr>
        <w:tc>
          <w:tcPr>
            <w:tcW w:type="dxa" w:w="1440"/>
          </w:tcPr>
          <w:p>
            <w:r>
              <w:t>smelt</w:t>
            </w:r>
          </w:p>
        </w:tc>
        <w:tc>
          <w:tcPr>
            <w:tcW w:type="dxa" w:w="1440"/>
          </w:tcPr>
          <w:p>
            <w:r>
              <w:t>biomass</w:t>
            </w:r>
          </w:p>
        </w:tc>
        <w:tc>
          <w:tcPr>
            <w:tcW w:type="dxa" w:w="1440"/>
          </w:tcPr>
          <w:p>
            <w:r>
              <w:t>20,000–120,000</w:t>
            </w:r>
          </w:p>
        </w:tc>
        <w:tc>
          <w:tcPr>
            <w:tcW w:type="dxa" w:w="1440"/>
          </w:tcPr>
          <w:p>
            <w:r>
              <w:t>630,154</w:t>
            </w:r>
          </w:p>
        </w:tc>
        <w:tc>
          <w:tcPr>
            <w:tcW w:type="dxa" w:w="1440"/>
          </w:tcPr>
          <w:p>
            <w:r>
              <w:t>×10.50</w:t>
            </w:r>
          </w:p>
        </w:tc>
        <w:tc>
          <w:tcPr>
            <w:tcW w:type="dxa" w:w="1440"/>
          </w:tcPr>
          <w:p>
            <w:r>
              <w:t>no</w:t>
            </w:r>
          </w:p>
        </w:tc>
      </w:tr>
      <w:tr>
        <w:tc>
          <w:tcPr>
            <w:tcW w:type="dxa" w:w="1440"/>
          </w:tcPr>
          <w:p>
            <w:r>
              <w:t>stickleback</w:t>
            </w:r>
          </w:p>
        </w:tc>
        <w:tc>
          <w:tcPr>
            <w:tcW w:type="dxa" w:w="1440"/>
          </w:tcPr>
          <w:p>
            <w:r>
              <w:t>biomass</w:t>
            </w:r>
          </w:p>
        </w:tc>
        <w:tc>
          <w:tcPr>
            <w:tcW w:type="dxa" w:w="1440"/>
          </w:tcPr>
          <w:p>
            <w:r>
              <w:t>50,000–500,000</w:t>
            </w:r>
          </w:p>
        </w:tc>
        <w:tc>
          <w:tcPr>
            <w:tcW w:type="dxa" w:w="1440"/>
          </w:tcPr>
          <w:p>
            <w:r>
              <w:t>81,013</w:t>
            </w:r>
          </w:p>
        </w:tc>
        <w:tc>
          <w:tcPr>
            <w:tcW w:type="dxa" w:w="1440"/>
          </w:tcPr>
          <w:p>
            <w:r>
              <w:t>×0.41</w:t>
            </w:r>
          </w:p>
        </w:tc>
        <w:tc>
          <w:tcPr>
            <w:tcW w:type="dxa" w:w="1440"/>
          </w:tcPr>
          <w:p>
            <w:r>
              <w:t>yes</w:t>
            </w:r>
          </w:p>
        </w:tc>
      </w:tr>
    </w:tbl>
    <w:p>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fig2_absolute.png"/>
                    <pic:cNvPicPr/>
                  </pic:nvPicPr>
                  <pic:blipFill>
                    <a:blip r:embed="rId10"/>
                    <a:stretch>
                      <a:fillRect/>
                    </a:stretch>
                  </pic:blipFill>
                  <pic:spPr>
                    <a:xfrm>
                      <a:off x="0" y="0"/>
                      <a:ext cx="5760720" cy="3200400"/>
                    </a:xfrm>
                    <a:prstGeom prst="rect"/>
                  </pic:spPr>
                </pic:pic>
              </a:graphicData>
            </a:graphic>
          </wp:inline>
        </w:drawing>
      </w:r>
    </w:p>
    <w:p>
      <w:r>
        <w:rPr>
          <w:i/>
          <w:sz w:val="17"/>
        </w:rPr>
        <w:t>Figure 2. Absolute biomass: calibrated model (points) vs ICES envelope (bars), log scale.</w:t>
      </w:r>
    </w:p>
    <w:p>
      <w:r>
        <w:t>Reproducibility: the fit above is a fresh run of the parameters actually committed to the repository. An equilibrium re-fit (2026-07-24) with tightened Shepherd over-compensation bounds raised the count to 5/8 (from the prior documented best of 2/8 and a Beverton-Holt baseline of 1/8, shown for comparison in §4.1), and the calibrated parameters were written back into the tracked config — so this result is the committed model's default, reproducible state, not a number recoverable only from documentation.</w:t>
      </w:r>
    </w:p>
    <w:p>
      <w:pPr>
        <w:pStyle w:val="Heading2"/>
      </w:pPr>
      <w:r>
        <w:t>3.3  Reproducibility: the committed configuration IS the calibrated baseline</w:t>
      </w:r>
    </w:p>
    <w:p>
      <w:r>
        <w:t>The parameters that produce the 5/8 fit above are committed to the tracked config (data/baltic), with a provenance snapshot at calibration_results/phase13_equilibrium.json and a one-command re-apply step (scripts/apply_calibration.py). A fresh 3-seed 40-year run of the committed config reproduces the fit with no collapsed species. (An earlier state of the repository committed an uncalibrated parameter set that collapsed 6 of 8 species at equilibrium; the equilibrium re-fit and write-back described here resolved that gap.)</w:t>
      </w:r>
    </w:p>
    <w:p>
      <w:pPr>
        <w:pStyle w:val="Heading2"/>
      </w:pPr>
      <w:r>
        <w:t>3.4  What fits and what does not</w:t>
      </w:r>
    </w:p>
    <w:p>
      <w:r>
        <w:t>The calibrated model places cod, herring, sprat, flounder, stickleback inside their ICES envelopes (5/8), with flounder and cod — previously an overshoot and, in a prior fit, a collapse — now both in range. The largest, most persistent misfits are the coastal percids — perch (×5) and pikeperch (×224) — which over-predict by up to two orders of magnitude regardless of the recruitment form. This is a spatial-resolution limitation, not a recruitment-form failure: the ~0.4°×0.3° grid cannot resolve the estuary and lagoon habitat that concentrates these stocks, and their low assessment weight (0.2) means the weighted calibration objective tolerates the overshoot. Smelt shows milder over-prediction (×11) attributable to stock aggregation and to historical (un-impaired) growth.</w:t>
      </w:r>
    </w:p>
    <w:p>
      <w:pPr>
        <w:pStyle w:val="Heading1"/>
      </w:pPr>
      <w:r>
        <w:t>4  Avenues to improve the model</w:t>
      </w:r>
    </w:p>
    <w:p>
      <w:pPr>
        <w:pStyle w:val="Heading2"/>
      </w:pPr>
      <w:r>
        <w:t>4.1  Density-dependent recruitment (demonstrated)</w:t>
      </w:r>
    </w:p>
    <w:p>
      <w:r>
        <w:t>Shepherd stock-recruitment with an over-compensation exponent β&gt;1 caps over-productive stocks without distorting mortality, and is the calibration lever that produced the 5/8 fit above. An equilibrium re-fit (2026-07-24) constrained β to [1.0, 3.0] — forbidding under-compensation (β&lt;1, which had left pikeperch uncapped) and the over-crush that had collapsed flounder — and re-fit at full 40-year equilibrium so the objective penalizes any residual collapse. Relative to the Beverton-Holt baseline (Figure 3) this cut cod ×49→×1.4, herring ×3.8→×1.5, smelt ×20→×11, and brought cod, sprat and flounder into range with no collapse — 1/8 → 5/8. The remaining lever for the percids is spatial, not recruitment (§4.2).</w:t>
      </w:r>
    </w:p>
    <w:p>
      <w:r>
        <w:drawing>
          <wp:inline xmlns:a="http://schemas.openxmlformats.org/drawingml/2006/main" xmlns:pic="http://schemas.openxmlformats.org/drawingml/2006/picture">
            <wp:extent cx="5760720" cy="3200400"/>
            <wp:docPr id="3" name="Picture 3"/>
            <wp:cNvGraphicFramePr>
              <a:graphicFrameLocks noChangeAspect="1"/>
            </wp:cNvGraphicFramePr>
            <a:graphic>
              <a:graphicData uri="http://schemas.openxmlformats.org/drawingml/2006/picture">
                <pic:pic>
                  <pic:nvPicPr>
                    <pic:cNvPr id="0" name="fig3_improvement.png"/>
                    <pic:cNvPicPr/>
                  </pic:nvPicPr>
                  <pic:blipFill>
                    <a:blip r:embed="rId11"/>
                    <a:stretch>
                      <a:fillRect/>
                    </a:stretch>
                  </pic:blipFill>
                  <pic:spPr>
                    <a:xfrm>
                      <a:off x="0" y="0"/>
                      <a:ext cx="5760720" cy="3200400"/>
                    </a:xfrm>
                    <a:prstGeom prst="rect"/>
                  </pic:spPr>
                </pic:pic>
              </a:graphicData>
            </a:graphic>
          </wp:inline>
        </w:drawing>
      </w:r>
    </w:p>
    <w:p>
      <w:r>
        <w:rPr>
          <w:i/>
          <w:sz w:val="17"/>
        </w:rPr>
        <w:t>Figure 3. Density-dependent recruitment (Shepherd, dark) versus Beverton-Holt (light); fresh 3-seed 40-year runs of the two calibrated parameter sets. Shaded band = in-range region (biomass ÷ target = 1 is on target).</w:t>
      </w:r>
    </w:p>
    <w:p>
      <w:pPr>
        <w:pStyle w:val="Heading2"/>
      </w:pPr>
      <w:r>
        <w:t>4.2  Finer spatial resolution for coastal habitat</w:t>
      </w:r>
    </w:p>
    <w:p>
      <w:r>
        <w:t>The dominant residual misfit (perch, pikeperch) is a habitat-resolution problem. A nested or refined coastal grid, or habitat-weighted distribution maps that concentrate percids into resolved estuary/lagoon cells, would let their carrying capacity reflect real habitat area. A finer Baltic grid is already in preparation in the repository (baltic-fine).</w:t>
      </w:r>
    </w:p>
    <w:p>
      <w:pPr>
        <w:pStyle w:val="Heading2"/>
      </w:pPr>
      <w:r>
        <w:t>4.3  Objective re-weighting</w:t>
      </w:r>
    </w:p>
    <w:p>
      <w:r>
        <w:t>The strict in-range count improves only modestly because the weighted objective deprioritizes the low-weight percids. Adding an explicit envelope-membership term, or re-weighting, would let the optimizer engage over-compensation for the percids as it already does for perch.</w:t>
      </w:r>
    </w:p>
    <w:p>
      <w:pPr>
        <w:pStyle w:val="Heading2"/>
      </w:pPr>
      <w:r>
        <w:t>4.4  Stock disaggregation</w:t>
      </w:r>
    </w:p>
    <w:p>
      <w:r>
        <w:t>Several targets aggregate independently-assessed stocks (the Baltic herring complex; eastern + western cod). Modelling sub-stocks with their own spatial distributions would remove an aggregation bias that currently inflates the single-box comparison.</w:t>
      </w:r>
    </w:p>
    <w:p>
      <w:pPr>
        <w:pStyle w:val="Heading2"/>
      </w:pPr>
      <w:r>
        <w:t>4.5  Cod growth impairment</w:t>
      </w:r>
    </w:p>
    <w:p>
      <w:r>
        <w:t>The documented post-2015 Baltic cod growth reduction (Svedäng et al. 2024) is not yet applied. Introducing the impaired von Bertalanffy parameters would lower cod production and biomass toward the observed post-collapse state.</w:t>
      </w:r>
    </w:p>
    <w:p>
      <w:pPr>
        <w:pStyle w:val="Heading2"/>
      </w:pPr>
      <w:r>
        <w:t>4.6  Version-controlled calibrated configuration (done this cycle)</w:t>
      </w:r>
    </w:p>
    <w:p>
      <w:r>
        <w:t>The calibrated parameters are now written into the tracked config CSVs, with a committed provenance snapshot (calibration_results/phase13_equilibrium.json) and a one-command re-apply step (scripts/apply_calibration.py, which is aware of the reader's per-timestep transform on larval-mortality rates). The committed model's headline fit is therefore its default, reproducible state. Future re-calibrations should follow the same write-back path rather than leaving the result in a gitignored transient.</w:t>
      </w:r>
    </w:p>
    <w:p>
      <w:pPr>
        <w:pStyle w:val="Heading2"/>
      </w:pPr>
      <w:r>
        <w:t>4.7  Surrogate-Bayesian uncertainty quantification</w:t>
      </w:r>
    </w:p>
    <w:p>
      <w:r>
        <w:t>A surrogate-Bayesian UQ layer (Gaussian-process emulator + nested-sampling posterior) has been added and validated on real engine dynamics: it recovers identifiable calibration parameters, honestly flags weakly-identified ones (e.g. a stickleback mortality that is competition-controlled by herring rather than self-limited), and reports emulator held-out coverage. Using it to report posterior parameter uncertainty — rather than a single calibrated point — would make the calibration's confidence explicit and expose structural non-identifiabilities before they mislead.</w:t>
      </w:r>
    </w:p>
    <w:p>
      <w:pPr>
        <w:pStyle w:val="Heading2"/>
      </w:pPr>
      <w:r>
        <w:t>4.8  Forcing and predation refinement</w:t>
      </w:r>
    </w:p>
    <w:p>
      <w:r>
        <w:t>Multi-year (rather than single-vintage) plankton forcing, a refined phytoplankton/zooplankton size split, and an updated predator–prey accessibility matrix informed by more Baltic diet data would tighten bottom-up control and the trophic transfer that currently sets forage-fish biomass.</w:t>
      </w:r>
    </w:p>
    <w:p>
      <w:pPr>
        <w:pStyle w:val="Heading1"/>
      </w:pPr>
      <w:r>
        <w:t>5  Selected sources</w:t>
      </w:r>
    </w:p>
    <w:p>
      <w:pPr>
        <w:pStyle w:val="ListBullet"/>
      </w:pPr>
      <w:r>
        <w:rPr>
          <w:sz w:val="18"/>
        </w:rPr>
        <w:t>Olsson, J., Jakubavičiūtė, E., Kaljuste, O., Larsson, N., Bergström, U., Casini, M., Cardinale, M., Hjelm, J., &amp; Byström, P. (2019). The first large-scale assessment of three-spined stickleback (Gasterosteus aculeatus) biomass and spatial distribution in the Baltic Sea. ICES Journal of Marine Science, 76(6), 1653–1665. https://doi.org/10.1093/icesjms/fsz078</w:t>
      </w:r>
    </w:p>
    <w:p>
      <w:pPr>
        <w:pStyle w:val="ListBullet"/>
      </w:pPr>
      <w:r>
        <w:rPr>
          <w:sz w:val="18"/>
        </w:rPr>
        <w:t>Ryberg, M. P., Skov, P. V., Vendramin, N., Buchmann, K., Nielsen, A., &amp; Behrens, J. W. (2020). Physiological condition of Eastern Baltic cod, Gadus morhua, infected with the parasitic nematode Contracaecum osculatum. Conservation Physiology, 8(1), coaa093. https://doi.org/10.1093/conphys/coaa093</w:t>
      </w:r>
    </w:p>
    <w:p>
      <w:pPr>
        <w:pStyle w:val="ListBullet"/>
      </w:pPr>
      <w:r>
        <w:rPr>
          <w:sz w:val="18"/>
        </w:rPr>
        <w:t>Svedäng, H., Hornborg, S., &amp; Grimvall, A. (2024). Centurial variation in size at maturity of Eastern Baltic cod (Gadus morhua) mirrors conditions for growth. Ecology and Evolution, 14(10), e70382. https://doi.org/10.1002/ece3.70382</w:t>
      </w:r>
    </w:p>
    <w:p>
      <w:pPr>
        <w:pStyle w:val="ListBullet"/>
      </w:pPr>
      <w:r>
        <w:rPr>
          <w:sz w:val="18"/>
        </w:rPr>
        <w:t>Palomares, M. L. D., &amp; Pauly, D. (1998). Predicting food consumption of fish populations as functions of mortality, food type, morphometrics, temperature and salinity. Marine and Freshwater Research, 49(5), 447–453.</w:t>
      </w:r>
    </w:p>
    <w:p>
      <w:pPr>
        <w:pStyle w:val="ListBullet"/>
      </w:pPr>
      <w:r>
        <w:rPr>
          <w:sz w:val="18"/>
        </w:rPr>
        <w:t>Travers-Trolet, M., et al. (2019). OSMOSE application to the Eastern English Channel (OSMOSE-EEC). Ecological Modelling, 410.</w:t>
      </w:r>
    </w:p>
    <w:p>
      <w:pPr>
        <w:pStyle w:val="ListBullet"/>
      </w:pPr>
      <w:r>
        <w:rPr>
          <w:sz w:val="18"/>
        </w:rPr>
        <w:t>ICES (2022). Sprat (Sprattus sprattus) in subdivisions 22–32 (Baltic Sea). ICES Advice. https://doi.org/10.17895/ices.advice.19453856</w:t>
      </w:r>
    </w:p>
    <w:p>
      <w:pPr>
        <w:pStyle w:val="ListBullet"/>
      </w:pPr>
      <w:r>
        <w:rPr>
          <w:sz w:val="18"/>
        </w:rPr>
        <w:t>Copernicus Marine Service — Baltic Sea biogeochemistry reanalysis (cmems_mod_bal_bgc_anfc_P1M-m).</w:t>
      </w:r>
    </w:p>
    <w:p>
      <w:pPr>
        <w:pStyle w:val="ListBullet"/>
      </w:pPr>
      <w:r>
        <w:rPr>
          <w:sz w:val="18"/>
        </w:rPr>
        <w:t>Internal: docs/baltic_shepherd_calibration_2026-05-30.md; docs/superpowers/2026-07-23-uq-real-data-validation.md; docs/baltic_example.md.</w:t>
      </w:r>
    </w:p>
    <w:p>
      <w:r>
        <w:rPr>
          <w:i/>
          <w:sz w:val="16"/>
        </w:rPr>
        <w:t>Citation check (2026-07-24): all six external references were verified as real, correctly attributed, on-topic, and without visible retraction or correction notices, via the DOI resolver, publisher landing pages, and web search. The dedicated literature tool (scite) was retried but responded only intermittently and could not complete its editorial-notice / Smart-Citation query; the retraction status above therefore rests on publisher pages, which surface retractions but less reliably than a dedicated notices feed. Re-confirm via scite before external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