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Pikeperch Overshoot in the Baltic OSMOSE Configuration</w:t>
      </w:r>
    </w:p>
    <w:p>
      <w:pPr>
        <w:jc w:val="center"/>
      </w:pPr>
      <w:r>
        <w:rPr>
          <w:i/>
          <w:sz w:val="24"/>
        </w:rPr>
        <w:t>Diagnostic investigation: three withdrawn hypotheses and a current diagnosis</w:t>
      </w:r>
    </w:p>
    <w:p>
      <w:pPr>
        <w:jc w:val="center"/>
      </w:pPr>
      <w:r>
        <w:rPr>
          <w:color w:val="555555"/>
          <w:sz w:val="19"/>
        </w:rPr>
        <w:t>Marine Research Institute, Klaipėda University</w:t>
        <w:br/>
        <w:t>Prepared 2026-08-03 · OSMOSE Python engine, 9-species Baltic configuration</w:t>
        <w:br/>
        <w:t>Working document — conclusions are provisional and several are explicitly withdrawn below</w:t>
      </w:r>
    </w:p>
    <w:p/>
    <w:p>
      <w:pPr>
        <w:pStyle w:val="Heading1"/>
      </w:pPr>
      <w:r>
        <w:rPr>
          <w:color w:val="1F3864"/>
        </w:rPr>
        <w:t>Executive summary</w:t>
      </w:r>
    </w:p>
    <w:p>
      <w:r>
        <w:rPr>
          <w:b w:val="0"/>
          <w:i w:val="0"/>
        </w:rPr>
        <w:t>The 9-species Baltic OSMOSE configuration holds pikeperch (Sander lucioperca) at roughly 1.45 million tonnes against an ICES envelope of 4,000–25,000 t — a factor of ~56. Smelt is ~5.7× over. Perch, the same family in the same coastal habitat under a comparable fishery, sits inside its envelope and serves throughout as the control.</w:t>
      </w:r>
    </w:p>
    <w:p>
      <w:r>
        <w:rPr>
          <w:b w:val="0"/>
          <w:i w:val="0"/>
        </w:rPr>
        <w:t>This document records what was measured, what was eliminated, and — importantly — three substantive conclusions that were reached and then withdrawn under scrutiny. It is written so that the withdrawn material is as recoverable as the surviving material, because in each case the measurement that exposed the error is what pointed at its replacement. The current diagnosis in Section 7 is the third such position and has not yet undergone the same scrutiny as the two it replaced.</w:t>
      </w:r>
    </w:p>
    <w:p>
      <w:r>
        <w:rPr>
          <w:b/>
          <w:i w:val="0"/>
        </w:rPr>
        <w:t>Principal findings:</w:t>
      </w:r>
    </w:p>
    <w:p>
      <w:pPr>
        <w:pStyle w:val="ListBullet"/>
      </w:pPr>
      <w:r>
        <w:t>The overshoot is not an engine defect. Consumption-to-biomass ratios (Q/B) at equilibrium fall within published ranges for every species; there is no conservation violation and no growth-without-eating.</w:t>
      </w:r>
    </w:p>
    <w:p>
      <w:pPr>
        <w:pStyle w:val="ListBullet"/>
      </w:pPr>
      <w:r>
        <w:t>Demand-side levers are closed. A 10× cut in percid access to herring and sprat yields −25%; fishing mortality swept from F = 0.5 to F = 4.0 yields −10.6%, non-monotonically, while the envelope count degrades from 7/9 to 4/9. Pikeperch cannot be fished down.</w:t>
      </w:r>
    </w:p>
    <w:p>
      <w:pPr>
        <w:pStyle w:val="ListBullet"/>
      </w:pPr>
      <w:r>
        <w:t>WITHDRAWN: a spatial-supply explanation. The supporting figure was wrong by a factor of ~3.5, and the corrected numbers refute the hypothesis outright (Section 5).</w:t>
      </w:r>
    </w:p>
    <w:p>
      <w:pPr>
        <w:pStyle w:val="ListBullet"/>
      </w:pPr>
      <w:r>
        <w:t>WITHDRAWN: a predation-release explanation. Pikeperch is fourth-least predated, not least, and three less-predated species are all in envelope (Section 6).</w:t>
      </w:r>
    </w:p>
    <w:p>
      <w:pPr>
        <w:pStyle w:val="ListBullet"/>
      </w:pPr>
      <w:r>
        <w:t>The current diagnosis is escape from the predator size window: no predator in the configuration can take a pikeperch above 36 cm, and pikeperch matures at 40 cm (Section 7).</w:t>
      </w:r>
    </w:p>
    <w:p>
      <w:pPr>
        <w:pStyle w:val="ListBullet"/>
      </w:pPr>
      <w:r>
        <w:t>All diet-based results required first repairing a defect in the diet diagnostic itself, which had been reporting every predator as 100% piscivorous and 0% resource-feeding (Section 3).</w:t>
      </w:r>
    </w:p>
    <w:p>
      <w:pPr>
        <w:pStyle w:val="Heading1"/>
      </w:pPr>
      <w:r>
        <w:rPr>
          <w:color w:val="1F3864"/>
        </w:rPr>
        <w:t>1. Problem statement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Species</w:t>
            </w:r>
          </w:p>
        </w:tc>
        <w:tc>
          <w:tcPr>
            <w:tcW w:type="dxa" w:w="2160"/>
          </w:tcPr>
          <w:p>
            <w:r/>
            <w:r>
              <w:rPr>
                <w:b/>
                <w:sz w:val="19"/>
              </w:rPr>
              <w:t>Final-decade mean (t)</w:t>
            </w:r>
          </w:p>
        </w:tc>
        <w:tc>
          <w:tcPr>
            <w:tcW w:type="dxa" w:w="2160"/>
          </w:tcPr>
          <w:p>
            <w:r/>
            <w:r>
              <w:rPr>
                <w:b/>
                <w:sz w:val="19"/>
              </w:rPr>
              <w:t>ICES envelope (t)</w:t>
            </w:r>
          </w:p>
        </w:tc>
        <w:tc>
          <w:tcPr>
            <w:tcW w:type="dxa" w:w="2160"/>
          </w:tcPr>
          <w:p>
            <w:r/>
            <w:r>
              <w:rPr>
                <w:b/>
                <w:sz w:val="19"/>
              </w:rPr>
              <w:t>Status</w:t>
            </w:r>
          </w:p>
        </w:tc>
      </w:tr>
      <w:tr>
        <w:tc>
          <w:tcPr>
            <w:tcW w:type="dxa" w:w="2160"/>
          </w:tcPr>
          <w:p>
            <w:r/>
            <w:r>
              <w:rPr>
                <w:sz w:val="19"/>
              </w:rPr>
              <w:t>pikeperch</w:t>
            </w:r>
          </w:p>
        </w:tc>
        <w:tc>
          <w:tcPr>
            <w:tcW w:type="dxa" w:w="2160"/>
          </w:tcPr>
          <w:p>
            <w:r/>
            <w:r>
              <w:rPr>
                <w:sz w:val="19"/>
              </w:rPr>
              <w:t>1,453,313</w:t>
            </w:r>
          </w:p>
        </w:tc>
        <w:tc>
          <w:tcPr>
            <w:tcW w:type="dxa" w:w="2160"/>
          </w:tcPr>
          <w:p>
            <w:r/>
            <w:r>
              <w:rPr>
                <w:sz w:val="19"/>
              </w:rPr>
              <w:t>4,000 – 25,000</w:t>
            </w:r>
          </w:p>
        </w:tc>
        <w:tc>
          <w:tcPr>
            <w:tcW w:type="dxa" w:w="2160"/>
          </w:tcPr>
          <w:p>
            <w:r/>
            <w:r>
              <w:rPr>
                <w:sz w:val="19"/>
              </w:rPr>
              <w:t>~56–58× over</w:t>
            </w:r>
          </w:p>
        </w:tc>
      </w:tr>
      <w:tr>
        <w:tc>
          <w:tcPr>
            <w:tcW w:type="dxa" w:w="2160"/>
          </w:tcPr>
          <w:p>
            <w:r/>
            <w:r>
              <w:rPr>
                <w:sz w:val="19"/>
              </w:rPr>
              <w:t>smelt</w:t>
            </w:r>
          </w:p>
        </w:tc>
        <w:tc>
          <w:tcPr>
            <w:tcW w:type="dxa" w:w="2160"/>
          </w:tcPr>
          <w:p>
            <w:r/>
            <w:r>
              <w:rPr>
                <w:sz w:val="19"/>
              </w:rPr>
              <w:t>680,125</w:t>
            </w:r>
          </w:p>
        </w:tc>
        <w:tc>
          <w:tcPr>
            <w:tcW w:type="dxa" w:w="2160"/>
          </w:tcPr>
          <w:p>
            <w:r/>
            <w:r>
              <w:rPr>
                <w:sz w:val="19"/>
              </w:rPr>
              <w:t>20,000 – 120,000</w:t>
            </w:r>
          </w:p>
        </w:tc>
        <w:tc>
          <w:tcPr>
            <w:tcW w:type="dxa" w:w="2160"/>
          </w:tcPr>
          <w:p>
            <w:r/>
            <w:r>
              <w:rPr>
                <w:sz w:val="19"/>
              </w:rPr>
              <w:t>~5.7× over</w:t>
            </w:r>
          </w:p>
        </w:tc>
      </w:tr>
      <w:tr>
        <w:tc>
          <w:tcPr>
            <w:tcW w:type="dxa" w:w="2160"/>
          </w:tcPr>
          <w:p>
            <w:r/>
            <w:r>
              <w:rPr>
                <w:sz w:val="19"/>
              </w:rPr>
              <w:t>perch</w:t>
            </w:r>
          </w:p>
        </w:tc>
        <w:tc>
          <w:tcPr>
            <w:tcW w:type="dxa" w:w="2160"/>
          </w:tcPr>
          <w:p>
            <w:r/>
            <w:r>
              <w:rPr>
                <w:sz w:val="19"/>
              </w:rPr>
              <w:t>45,382</w:t>
            </w:r>
          </w:p>
        </w:tc>
        <w:tc>
          <w:tcPr>
            <w:tcW w:type="dxa" w:w="2160"/>
          </w:tcPr>
          <w:p>
            <w:r/>
            <w:r>
              <w:rPr>
                <w:sz w:val="19"/>
              </w:rPr>
              <w:t>8,000 – 50,000</w:t>
            </w:r>
          </w:p>
        </w:tc>
        <w:tc>
          <w:tcPr>
            <w:tcW w:type="dxa" w:w="2160"/>
          </w:tcPr>
          <w:p>
            <w:r/>
            <w:r>
              <w:rPr>
                <w:sz w:val="19"/>
              </w:rPr>
              <w:t>in envelope</w:t>
            </w:r>
          </w:p>
        </w:tc>
      </w:tr>
      <w:tr>
        <w:tc>
          <w:tcPr>
            <w:tcW w:type="dxa" w:w="2160"/>
          </w:tcPr>
          <w:p>
            <w:r/>
            <w:r>
              <w:rPr>
                <w:sz w:val="19"/>
              </w:rPr>
              <w:t>cod_east</w:t>
            </w:r>
          </w:p>
        </w:tc>
        <w:tc>
          <w:tcPr>
            <w:tcW w:type="dxa" w:w="2160"/>
          </w:tcPr>
          <w:p>
            <w:r/>
            <w:r>
              <w:rPr>
                <w:sz w:val="19"/>
              </w:rPr>
              <w:t>83,122</w:t>
            </w:r>
          </w:p>
        </w:tc>
        <w:tc>
          <w:tcPr>
            <w:tcW w:type="dxa" w:w="2160"/>
          </w:tcPr>
          <w:p>
            <w:r/>
            <w:r>
              <w:rPr>
                <w:sz w:val="19"/>
              </w:rPr>
              <w:t>60,000 – 85,000</w:t>
            </w:r>
          </w:p>
        </w:tc>
        <w:tc>
          <w:tcPr>
            <w:tcW w:type="dxa" w:w="2160"/>
          </w:tcPr>
          <w:p>
            <w:r/>
            <w:r>
              <w:rPr>
                <w:sz w:val="19"/>
              </w:rPr>
              <w:t>in envelope (2.3% headroom)</w:t>
            </w:r>
          </w:p>
        </w:tc>
      </w:tr>
      <w:tr>
        <w:tc>
          <w:tcPr>
            <w:tcW w:type="dxa" w:w="2160"/>
          </w:tcPr>
          <w:p>
            <w:r/>
            <w:r>
              <w:rPr>
                <w:sz w:val="19"/>
              </w:rPr>
              <w:t>herring</w:t>
            </w:r>
          </w:p>
        </w:tc>
        <w:tc>
          <w:tcPr>
            <w:tcW w:type="dxa" w:w="2160"/>
          </w:tcPr>
          <w:p>
            <w:r/>
            <w:r>
              <w:rPr>
                <w:sz w:val="19"/>
              </w:rPr>
              <w:t>2,600,112</w:t>
            </w:r>
          </w:p>
        </w:tc>
        <w:tc>
          <w:tcPr>
            <w:tcW w:type="dxa" w:w="2160"/>
          </w:tcPr>
          <w:p>
            <w:r/>
            <w:r>
              <w:rPr>
                <w:sz w:val="19"/>
              </w:rPr>
              <w:t>800,000 – 3,000,000</w:t>
            </w:r>
          </w:p>
        </w:tc>
        <w:tc>
          <w:tcPr>
            <w:tcW w:type="dxa" w:w="2160"/>
          </w:tcPr>
          <w:p>
            <w:r/>
            <w:r>
              <w:rPr>
                <w:sz w:val="19"/>
              </w:rPr>
              <w:t>in envelope</w:t>
            </w:r>
          </w:p>
        </w:tc>
      </w:tr>
    </w:tbl>
    <w:p/>
    <w:p>
      <w:pPr>
        <w:ind w:left="360"/>
      </w:pPr>
      <w:r>
        <w:rPr>
          <w:i/>
          <w:color w:val="555555"/>
          <w:sz w:val="19"/>
        </w:rPr>
        <w:t>50-year runs, final-decade means, Python engine. The 7/9 baseline verdict derives from scripts/baltic_stability_certify.py at five seeds.</w:t>
      </w:r>
    </w:p>
    <w:p>
      <w:r>
        <w:rPr>
          <w:b w:val="0"/>
          <w:i w:val="0"/>
        </w:rPr>
        <w:t>A caveat that persists through every comparison below: the ICES envelope is a per-stock figure for locally assessed populations, whereas the model carries a single aggregated basin-wide pikeperch. The target is therefore not strictly like-for-like, and this is not resolved by any intervention proposed here.</w:t>
      </w:r>
    </w:p>
    <w:p>
      <w:pPr>
        <w:pStyle w:val="Heading1"/>
      </w:pPr>
      <w:r>
        <w:rPr>
          <w:color w:val="1F3864"/>
        </w:rPr>
        <w:t>2. Ecological context</w:t>
      </w:r>
    </w:p>
    <w:p>
      <w:r>
        <w:rPr>
          <w:b w:val="0"/>
          <w:i w:val="0"/>
        </w:rPr>
        <w:t>Baltic percids are coastal and locally structured. Site-fidelity and home-range work indicates a limited home range within bays (Christensen et al., 2020; Hansson et al., 2019, as reviewed in Hall et al., 2022), and stable-isotope analysis resolves feeding-range differences between closely located sites within a single littoral area, implying sedentary behaviour at sub-bay scale (Ahlbeck Bergendahl et al., 2017). That evidence is for perch and should not be extended to pikeperch without a pikeperch source.</w:t>
      </w:r>
    </w:p>
    <w:p>
      <w:r>
        <w:rPr>
          <w:b w:val="0"/>
          <w:i w:val="0"/>
        </w:rPr>
        <w:t>Stock structure is fine-grained. Pikeperch shows "a very local population structure" (Björklund et al., 2007, cited in Olsson et al., 2015). Anadromous perch populations less than 50 km apart are genetically differentiated with only 3–5% gene flow and exhibit reproductive homing (Hall et al., 2022). Along the Swedish coast, perch shows isolation by distance with stretches of deep water acting as barriers to gene flow, and the species is described as suitable for local management (Olsson et al., 2011). Olsson et al. (2015) accordingly treat the Gulf of Riga, Gulf of Finland, Archipelago Sea, Bothnian and lagoon systems as separate coastal ecosystems.</w:t>
      </w:r>
    </w:p>
    <w:p>
      <w:pPr>
        <w:ind w:left="360"/>
      </w:pPr>
      <w:r>
        <w:rPr>
          <w:i/>
          <w:color w:val="555555"/>
          <w:sz w:val="19"/>
        </w:rPr>
        <w:t>These are population-genetic results. They bound dispersal and stock identity, not daily foraging range. An earlier draft of the design used them as evidence about feeding range; that inference is withdrawn.</w:t>
      </w:r>
    </w:p>
    <w:p>
      <w:r>
        <w:rPr>
          <w:b w:val="0"/>
          <w:i w:val="0"/>
        </w:rPr>
        <w:t>Percids nonetheless do take herring inside bays. Jensen, Hansson and Didrikas (2011) examined diel vertical migration of young-of-the-year herring and "one of their major predators, pikeperch" in Himmerfjärden, a brackish Baltic bay, in summer, identifying piscivorous targets as pikeperch larger than 45 cm — above the 40 cm maturity size used in this configuration. The predator–prey size window already restricts this link to the coastal size class. The link is real and must not be removed from the configuration.</w:t>
      </w:r>
    </w:p>
    <w:p>
      <w:r>
        <w:rPr>
          <w:b w:val="0"/>
          <w:i w:val="0"/>
        </w:rPr>
        <w:t>Herring and sprat are not interchangeable in this respect: Baltic herring (Clupea harengus membras) is a coastal spring spawner whose juveniles are bay-resident, whereas sprat is genuinely offshore and deeper-dwelling.</w:t>
      </w:r>
    </w:p>
    <w:p>
      <w:r>
        <w:rPr>
          <w:b w:val="0"/>
          <w:i w:val="0"/>
        </w:rPr>
        <w:t>Smelt (Osmerus eperlanus) occurs as an anadromous form spawning in coastal low-salinity zones and rivers, with the fishery conducted on migrating fish during April–May and total spawning-migration duration of 20–45 days (Sendek &amp; Bogdanov, 2019). It is also among the most abundant fishes of the eastern Gulf of Finland year-round, so treating it as available to percids only during the run overstates the restriction.</w:t>
      </w:r>
    </w:p>
    <w:p>
      <w:r>
        <w:rPr>
          <w:b w:val="0"/>
          <w:i w:val="0"/>
        </w:rPr>
        <w:t>Finally, the direction of the model's error is opposite to the observed state of the resource: Jakubavičiūtė et al. (2022) assessed nine European pikeperch stocks and found three strongly depleted below B_MSY, including two in the Baltic Sea.</w:t>
      </w:r>
    </w:p>
    <w:p>
      <w:pPr>
        <w:pStyle w:val="Heading1"/>
      </w:pPr>
      <w:r>
        <w:rPr>
          <w:color w:val="1F3864"/>
        </w:rPr>
        <w:t>3. Methodological prerequisite: the diet diagnostic was defective</w:t>
      </w:r>
    </w:p>
    <w:p>
      <w:r>
        <w:rPr>
          <w:b w:val="0"/>
          <w:i w:val="0"/>
        </w:rPr>
        <w:t>No diet-based conclusion in this investigation was trustworthy until a defect in the diet output was repaired. It is documented here because it invalidates prior analyses, not merely this one.</w:t>
      </w:r>
    </w:p>
    <w:p>
      <w:r>
        <w:rPr>
          <w:b w:val="0"/>
          <w:i w:val="0"/>
        </w:rPr>
        <w:t>The prey axis of the diet and predator-pressure matrices was labelled with the focal species plus background species (grey seal, cormorant), while the predation kernel writes resource groups at column index n_species + resource_index. On the Baltic configuration this placed diatoms in the grey-seal column and dinoflagellates in the cormorant column, and pushed microzooplankton, mesozooplankton, macrozooplankton and benthos beyond the end of the array, where a bounds check discarded them without error.</w:t>
      </w:r>
    </w:p>
    <w:p>
      <w:r>
        <w:rPr>
          <w:b w:val="0"/>
          <w:i w:val="0"/>
        </w:rPr>
        <w:t>The visible symptom was smelt — a planktivore — reporting 94.3% of its diet as grey seal, a prey it cannot physically consume, and 0% resources, which is nearly all of what it actually eats. Every predator reported as 100% fish and 0% resource, which is precisely what an absent resource axis produces.</w:t>
      </w:r>
    </w:p>
    <w:p>
      <w:r>
        <w:rPr>
          <w:b w:val="0"/>
          <w:i w:val="0"/>
        </w:rPr>
        <w:t>After repair, smelt reads 55% mesozooplankton, 18% microzooplankton and 15% macrozooplankton. A first repair pass corrected three of the four sites that construct this axis and missed the fourth; that omission surfaced only as a biologically impossible consumption figure — herring consuming 0.12 times its own body weight per year while feeding 61% on mesozooplankton. The regression test added in response asserts that no fish can consume less than its own body weight annually, which catches a dropped prey block irrespective of which code path drops it.</w:t>
      </w:r>
    </w:p>
    <w:p>
      <w:pPr>
        <w:ind w:left="360"/>
      </w:pPr>
      <w:r>
        <w:rPr>
          <w:i/>
          <w:color w:val="555555"/>
          <w:sz w:val="19"/>
        </w:rPr>
        <w:t>Consequence for the wider project: any conclusion drawn from dietMatrix or predatorPressure on this configuration before commit e121c6d (and, for absolute consumption, 3e320ff) should be re-derived.</w:t>
      </w:r>
    </w:p>
    <w:p>
      <w:pPr>
        <w:pStyle w:val="Heading1"/>
      </w:pPr>
      <w:r>
        <w:rPr>
          <w:color w:val="1F3864"/>
        </w:rPr>
        <w:t>4. Hypotheses eliminated by measurement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Hypothesis</w:t>
            </w:r>
          </w:p>
        </w:tc>
        <w:tc>
          <w:tcPr>
            <w:tcW w:type="dxa" w:w="2880"/>
          </w:tcPr>
          <w:p>
            <w:r/>
            <w:r>
              <w:rPr>
                <w:b/>
                <w:sz w:val="19"/>
              </w:rPr>
              <w:t>Test</w:t>
            </w:r>
          </w:p>
        </w:tc>
        <w:tc>
          <w:tcPr>
            <w:tcW w:type="dxa" w:w="2880"/>
          </w:tcPr>
          <w:p>
            <w:r/>
            <w:r>
              <w:rPr>
                <w:b/>
                <w:sz w:val="19"/>
              </w:rPr>
              <w:t>Result</w:t>
            </w:r>
          </w:p>
        </w:tc>
      </w:tr>
      <w:tr>
        <w:tc>
          <w:tcPr>
            <w:tcW w:type="dxa" w:w="2880"/>
          </w:tcPr>
          <w:p>
            <w:r/>
            <w:r>
              <w:rPr>
                <w:sz w:val="19"/>
              </w:rPr>
              <w:t>Missing fishing mortality</w:t>
            </w:r>
          </w:p>
        </w:tc>
        <w:tc>
          <w:tcPr>
            <w:tcW w:type="dxa" w:w="2880"/>
          </w:tcPr>
          <w:p>
            <w:r/>
            <w:r>
              <w:rPr>
                <w:sz w:val="19"/>
              </w:rPr>
              <w:t>Read configuration</w:t>
            </w:r>
          </w:p>
        </w:tc>
        <w:tc>
          <w:tcPr>
            <w:tcW w:type="dxa" w:w="2880"/>
          </w:tcPr>
          <w:p>
            <w:r/>
            <w:r>
              <w:rPr>
                <w:sz w:val="19"/>
              </w:rPr>
              <w:t>Rejected — pikeperch F = 0.50, above perch's 0.40</w:t>
            </w:r>
          </w:p>
        </w:tc>
      </w:tr>
      <w:tr>
        <w:tc>
          <w:tcPr>
            <w:tcW w:type="dxa" w:w="2880"/>
          </w:tcPr>
          <w:p>
            <w:r/>
            <w:r>
              <w:rPr>
                <w:sz w:val="19"/>
              </w:rPr>
              <w:t>Fishery not wired to species</w:t>
            </w:r>
          </w:p>
        </w:tc>
        <w:tc>
          <w:tcPr>
            <w:tcW w:type="dxa" w:w="2880"/>
          </w:tcPr>
          <w:p>
            <w:r/>
            <w:r>
              <w:rPr>
                <w:sz w:val="19"/>
              </w:rPr>
              <w:t>Catchability matrix</w:t>
            </w:r>
          </w:p>
        </w:tc>
        <w:tc>
          <w:tcPr>
            <w:tcW w:type="dxa" w:w="2880"/>
          </w:tcPr>
          <w:p>
            <w:r/>
            <w:r>
              <w:rPr>
                <w:sz w:val="19"/>
              </w:rPr>
              <w:t>Rejected — pikeperch maps to coastalpikeperch = 1</w:t>
            </w:r>
          </w:p>
        </w:tc>
      </w:tr>
      <w:tr>
        <w:tc>
          <w:tcPr>
            <w:tcW w:type="dxa" w:w="2880"/>
          </w:tcPr>
          <w:p>
            <w:r/>
            <w:r>
              <w:rPr>
                <w:sz w:val="19"/>
              </w:rPr>
              <w:t>Stock–fishery spatial mismatch</w:t>
            </w:r>
          </w:p>
        </w:tc>
        <w:tc>
          <w:tcPr>
            <w:tcW w:type="dxa" w:w="2880"/>
          </w:tcPr>
          <w:p>
            <w:r/>
            <w:r>
              <w:rPr>
                <w:sz w:val="19"/>
              </w:rPr>
              <w:t>Map overlap</w:t>
            </w:r>
          </w:p>
        </w:tc>
        <w:tc>
          <w:tcPr>
            <w:tcW w:type="dxa" w:w="2880"/>
          </w:tcPr>
          <w:p>
            <w:r/>
            <w:r>
              <w:rPr>
                <w:sz w:val="19"/>
              </w:rPr>
              <w:t>Rejected — 100% of occupied cells overlap the fishery</w:t>
            </w:r>
          </w:p>
        </w:tc>
      </w:tr>
      <w:tr>
        <w:tc>
          <w:tcPr>
            <w:tcW w:type="dxa" w:w="2880"/>
          </w:tcPr>
          <w:p>
            <w:r/>
            <w:r>
              <w:rPr>
                <w:sz w:val="19"/>
              </w:rPr>
              <w:t>Resource (LTL) subsidy</w:t>
            </w:r>
          </w:p>
        </w:tc>
        <w:tc>
          <w:tcPr>
            <w:tcW w:type="dxa" w:w="2880"/>
          </w:tcPr>
          <w:p>
            <w:r/>
            <w:r>
              <w:rPr>
                <w:sz w:val="19"/>
              </w:rPr>
              <w:t>Equilibrium diet</w:t>
            </w:r>
          </w:p>
        </w:tc>
        <w:tc>
          <w:tcPr>
            <w:tcW w:type="dxa" w:w="2880"/>
          </w:tcPr>
          <w:p>
            <w:r/>
            <w:r>
              <w:rPr>
                <w:sz w:val="19"/>
              </w:rPr>
              <w:t>Rejected — 36.9% resource, below perch's 42.1%</w:t>
            </w:r>
          </w:p>
        </w:tc>
      </w:tr>
      <w:tr>
        <w:tc>
          <w:tcPr>
            <w:tcW w:type="dxa" w:w="2880"/>
          </w:tcPr>
          <w:p>
            <w:r/>
            <w:r>
              <w:rPr>
                <w:sz w:val="19"/>
              </w:rPr>
              <w:t>Engine accounting / bioenergetics</w:t>
            </w:r>
          </w:p>
        </w:tc>
        <w:tc>
          <w:tcPr>
            <w:tcW w:type="dxa" w:w="2880"/>
          </w:tcPr>
          <w:p>
            <w:r/>
            <w:r>
              <w:rPr>
                <w:sz w:val="19"/>
              </w:rPr>
              <w:t>Q/B at equilibrium</w:t>
            </w:r>
          </w:p>
        </w:tc>
        <w:tc>
          <w:tcPr>
            <w:tcW w:type="dxa" w:w="2880"/>
          </w:tcPr>
          <w:p>
            <w:r/>
            <w:r>
              <w:rPr>
                <w:sz w:val="19"/>
              </w:rPr>
              <w:t>Rejected — all species within published ranges</w:t>
            </w:r>
          </w:p>
        </w:tc>
      </w:tr>
    </w:tbl>
    <w:p/>
    <w:p>
      <w:r>
        <w:rPr>
          <w:b/>
          <w:i w:val="0"/>
        </w:rPr>
        <w:t>Consumption-to-biomass ratios at equilibrium: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Species</w:t>
            </w:r>
          </w:p>
        </w:tc>
        <w:tc>
          <w:tcPr>
            <w:tcW w:type="dxa" w:w="2160"/>
          </w:tcPr>
          <w:p>
            <w:r/>
            <w:r>
              <w:rPr>
                <w:b/>
                <w:sz w:val="19"/>
              </w:rPr>
              <w:t>Biomass (t)</w:t>
            </w:r>
          </w:p>
        </w:tc>
        <w:tc>
          <w:tcPr>
            <w:tcW w:type="dxa" w:w="2160"/>
          </w:tcPr>
          <w:p>
            <w:r/>
            <w:r>
              <w:rPr>
                <w:b/>
                <w:sz w:val="19"/>
              </w:rPr>
              <w:t>Consumption (t/yr)</w:t>
            </w:r>
          </w:p>
        </w:tc>
        <w:tc>
          <w:tcPr>
            <w:tcW w:type="dxa" w:w="2160"/>
          </w:tcPr>
          <w:p>
            <w:r/>
            <w:r>
              <w:rPr>
                <w:b/>
                <w:sz w:val="19"/>
              </w:rPr>
              <w:t>Q/B</w:t>
            </w:r>
          </w:p>
        </w:tc>
      </w:tr>
      <w:tr>
        <w:tc>
          <w:tcPr>
            <w:tcW w:type="dxa" w:w="2160"/>
          </w:tcPr>
          <w:p>
            <w:r/>
            <w:r>
              <w:rPr>
                <w:sz w:val="19"/>
              </w:rPr>
              <w:t>pikeperch</w:t>
            </w:r>
          </w:p>
        </w:tc>
        <w:tc>
          <w:tcPr>
            <w:tcW w:type="dxa" w:w="2160"/>
          </w:tcPr>
          <w:p>
            <w:r/>
            <w:r>
              <w:rPr>
                <w:sz w:val="19"/>
              </w:rPr>
              <w:t>1,453,313</w:t>
            </w:r>
          </w:p>
        </w:tc>
        <w:tc>
          <w:tcPr>
            <w:tcW w:type="dxa" w:w="2160"/>
          </w:tcPr>
          <w:p>
            <w:r/>
            <w:r>
              <w:rPr>
                <w:sz w:val="19"/>
              </w:rPr>
              <w:t>3,712,747</w:t>
            </w:r>
          </w:p>
        </w:tc>
        <w:tc>
          <w:tcPr>
            <w:tcW w:type="dxa" w:w="2160"/>
          </w:tcPr>
          <w:p>
            <w:r/>
            <w:r>
              <w:rPr>
                <w:sz w:val="19"/>
              </w:rPr>
              <w:t>2.55</w:t>
            </w:r>
          </w:p>
        </w:tc>
      </w:tr>
      <w:tr>
        <w:tc>
          <w:tcPr>
            <w:tcW w:type="dxa" w:w="2160"/>
          </w:tcPr>
          <w:p>
            <w:r/>
            <w:r>
              <w:rPr>
                <w:sz w:val="19"/>
              </w:rPr>
              <w:t>perch</w:t>
            </w:r>
          </w:p>
        </w:tc>
        <w:tc>
          <w:tcPr>
            <w:tcW w:type="dxa" w:w="2160"/>
          </w:tcPr>
          <w:p>
            <w:r/>
            <w:r>
              <w:rPr>
                <w:sz w:val="19"/>
              </w:rPr>
              <w:t>45,382</w:t>
            </w:r>
          </w:p>
        </w:tc>
        <w:tc>
          <w:tcPr>
            <w:tcW w:type="dxa" w:w="2160"/>
          </w:tcPr>
          <w:p>
            <w:r/>
            <w:r>
              <w:rPr>
                <w:sz w:val="19"/>
              </w:rPr>
              <w:t>154,920</w:t>
            </w:r>
          </w:p>
        </w:tc>
        <w:tc>
          <w:tcPr>
            <w:tcW w:type="dxa" w:w="2160"/>
          </w:tcPr>
          <w:p>
            <w:r/>
            <w:r>
              <w:rPr>
                <w:sz w:val="19"/>
              </w:rPr>
              <w:t>3.41</w:t>
            </w:r>
          </w:p>
        </w:tc>
      </w:tr>
      <w:tr>
        <w:tc>
          <w:tcPr>
            <w:tcW w:type="dxa" w:w="2160"/>
          </w:tcPr>
          <w:p>
            <w:r/>
            <w:r>
              <w:rPr>
                <w:sz w:val="19"/>
              </w:rPr>
              <w:t>cod_east</w:t>
            </w:r>
          </w:p>
        </w:tc>
        <w:tc>
          <w:tcPr>
            <w:tcW w:type="dxa" w:w="2160"/>
          </w:tcPr>
          <w:p>
            <w:r/>
            <w:r>
              <w:rPr>
                <w:sz w:val="19"/>
              </w:rPr>
              <w:t>83,122</w:t>
            </w:r>
          </w:p>
        </w:tc>
        <w:tc>
          <w:tcPr>
            <w:tcW w:type="dxa" w:w="2160"/>
          </w:tcPr>
          <w:p>
            <w:r/>
            <w:r>
              <w:rPr>
                <w:sz w:val="19"/>
              </w:rPr>
              <w:t>285,817</w:t>
            </w:r>
          </w:p>
        </w:tc>
        <w:tc>
          <w:tcPr>
            <w:tcW w:type="dxa" w:w="2160"/>
          </w:tcPr>
          <w:p>
            <w:r/>
            <w:r>
              <w:rPr>
                <w:sz w:val="19"/>
              </w:rPr>
              <w:t>3.44</w:t>
            </w:r>
          </w:p>
        </w:tc>
      </w:tr>
      <w:tr>
        <w:tc>
          <w:tcPr>
            <w:tcW w:type="dxa" w:w="2160"/>
          </w:tcPr>
          <w:p>
            <w:r/>
            <w:r>
              <w:rPr>
                <w:sz w:val="19"/>
              </w:rPr>
              <w:t>herring</w:t>
            </w:r>
          </w:p>
        </w:tc>
        <w:tc>
          <w:tcPr>
            <w:tcW w:type="dxa" w:w="2160"/>
          </w:tcPr>
          <w:p>
            <w:r/>
            <w:r>
              <w:rPr>
                <w:sz w:val="19"/>
              </w:rPr>
              <w:t>2,600,112</w:t>
            </w:r>
          </w:p>
        </w:tc>
        <w:tc>
          <w:tcPr>
            <w:tcW w:type="dxa" w:w="2160"/>
          </w:tcPr>
          <w:p>
            <w:r/>
            <w:r>
              <w:rPr>
                <w:sz w:val="19"/>
              </w:rPr>
              <w:t>11,925,219</w:t>
            </w:r>
          </w:p>
        </w:tc>
        <w:tc>
          <w:tcPr>
            <w:tcW w:type="dxa" w:w="2160"/>
          </w:tcPr>
          <w:p>
            <w:r/>
            <w:r>
              <w:rPr>
                <w:sz w:val="19"/>
              </w:rPr>
              <w:t>4.59</w:t>
            </w:r>
          </w:p>
        </w:tc>
      </w:tr>
      <w:tr>
        <w:tc>
          <w:tcPr>
            <w:tcW w:type="dxa" w:w="2160"/>
          </w:tcPr>
          <w:p>
            <w:r/>
            <w:r>
              <w:rPr>
                <w:sz w:val="19"/>
              </w:rPr>
              <w:t>sprat</w:t>
            </w:r>
          </w:p>
        </w:tc>
        <w:tc>
          <w:tcPr>
            <w:tcW w:type="dxa" w:w="2160"/>
          </w:tcPr>
          <w:p>
            <w:r/>
            <w:r>
              <w:rPr>
                <w:sz w:val="19"/>
              </w:rPr>
              <w:t>1,059,941</w:t>
            </w:r>
          </w:p>
        </w:tc>
        <w:tc>
          <w:tcPr>
            <w:tcW w:type="dxa" w:w="2160"/>
          </w:tcPr>
          <w:p>
            <w:r/>
            <w:r>
              <w:rPr>
                <w:sz w:val="19"/>
              </w:rPr>
              <w:t>5,056,861</w:t>
            </w:r>
          </w:p>
        </w:tc>
        <w:tc>
          <w:tcPr>
            <w:tcW w:type="dxa" w:w="2160"/>
          </w:tcPr>
          <w:p>
            <w:r/>
            <w:r>
              <w:rPr>
                <w:sz w:val="19"/>
              </w:rPr>
              <w:t>4.77</w:t>
            </w:r>
          </w:p>
        </w:tc>
      </w:tr>
    </w:tbl>
    <w:p/>
    <w:p>
      <w:r>
        <w:rPr>
          <w:b w:val="0"/>
          <w:i w:val="0"/>
        </w:rPr>
        <w:t>Planktivores at 4.6–4.8 and piscivores at 2.5–3.4 are consistent with published values. Pikeperch has the lowest Q/B of any fish in the system: it is not feeding anomalously hard, there is simply a great deal of it.</w:t>
      </w:r>
    </w:p>
    <w:p>
      <w:pPr>
        <w:ind w:left="360"/>
      </w:pPr>
      <w:r>
        <w:rPr>
          <w:i/>
          <w:color w:val="555555"/>
          <w:sz w:val="19"/>
        </w:rPr>
        <w:t>The resource-subsidy hypothesis was initially supported by a three-year run showing ~76% resource-derived diet. At equilibrium the figure is 36.9%. Diet composition on this configuration is not stable until the initialisation transient clears; short runs pointed in the opposite direction from the truth.</w:t>
      </w:r>
    </w:p>
    <w:p>
      <w:pPr>
        <w:pStyle w:val="Heading1"/>
      </w:pPr>
      <w:r>
        <w:rPr>
          <w:color w:val="1F3864"/>
        </w:rPr>
        <w:t>5. Withdrawn: the spatial-supply explanation</w:t>
      </w:r>
    </w:p>
    <w:p>
      <w:r>
        <w:rPr>
          <w:b w:val="0"/>
          <w:i w:val="0"/>
        </w:rPr>
        <w:t>An intermediate conclusion held that the overshoot arose from a bay-resident predator holding a continuously replenished tap into the basin-wide herring pool, on the basis that pikeperch's 27-cell range contained 4.55% of the herring distribution (~118 kt) against consumption of 1.46 Mt/yr — approximately 12 times the locally available standing stock annually.</w:t>
      </w:r>
    </w:p>
    <w:p>
      <w:r>
        <w:rPr>
          <w:b/>
          <w:i w:val="0"/>
        </w:rPr>
        <w:t>Both the figure and the conclusion are withdrawn.</w:t>
      </w:r>
    </w:p>
    <w:p>
      <w:r>
        <w:rPr>
          <w:b w:val="0"/>
          <w:i w:val="0"/>
        </w:rPr>
        <w:t>Adult herring occupies the 593-cell map for only 10 of 24 timesteps. The configuration assigns it three seasonal maps, honoured per movement.steps by the engine: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Timesteps</w:t>
            </w:r>
          </w:p>
        </w:tc>
        <w:tc>
          <w:tcPr>
            <w:tcW w:type="dxa" w:w="2160"/>
          </w:tcPr>
          <w:p>
            <w:r/>
            <w:r>
              <w:rPr>
                <w:b/>
                <w:sz w:val="19"/>
              </w:rPr>
              <w:t>Herring map</w:t>
            </w:r>
          </w:p>
        </w:tc>
        <w:tc>
          <w:tcPr>
            <w:tcW w:type="dxa" w:w="2160"/>
          </w:tcPr>
          <w:p>
            <w:r/>
            <w:r>
              <w:rPr>
                <w:b/>
                <w:sz w:val="19"/>
              </w:rPr>
              <w:t>Cells</w:t>
            </w:r>
          </w:p>
        </w:tc>
        <w:tc>
          <w:tcPr>
            <w:tcW w:type="dxa" w:w="2160"/>
          </w:tcPr>
          <w:p>
            <w:r/>
            <w:r>
              <w:rPr>
                <w:b/>
                <w:sz w:val="19"/>
              </w:rPr>
              <w:t>Share within pikeperch cells</w:t>
            </w:r>
          </w:p>
        </w:tc>
      </w:tr>
      <w:tr>
        <w:tc>
          <w:tcPr>
            <w:tcW w:type="dxa" w:w="2160"/>
          </w:tcPr>
          <w:p>
            <w:r/>
            <w:r>
              <w:rPr>
                <w:sz w:val="19"/>
              </w:rPr>
              <w:t>0–3, 12–15, 22–23</w:t>
            </w:r>
          </w:p>
        </w:tc>
        <w:tc>
          <w:tcPr>
            <w:tcW w:type="dxa" w:w="2160"/>
          </w:tcPr>
          <w:p>
            <w:r/>
            <w:r>
              <w:rPr>
                <w:sz w:val="19"/>
              </w:rPr>
              <w:t>herring_adult</w:t>
            </w:r>
          </w:p>
        </w:tc>
        <w:tc>
          <w:tcPr>
            <w:tcW w:type="dxa" w:w="2160"/>
          </w:tcPr>
          <w:p>
            <w:r/>
            <w:r>
              <w:rPr>
                <w:sz w:val="19"/>
              </w:rPr>
              <w:t>593</w:t>
            </w:r>
          </w:p>
        </w:tc>
        <w:tc>
          <w:tcPr>
            <w:tcW w:type="dxa" w:w="2160"/>
          </w:tcPr>
          <w:p>
            <w:r/>
            <w:r>
              <w:rPr>
                <w:sz w:val="19"/>
              </w:rPr>
              <w:t>4.55%</w:t>
            </w:r>
          </w:p>
        </w:tc>
      </w:tr>
      <w:tr>
        <w:tc>
          <w:tcPr>
            <w:tcW w:type="dxa" w:w="2160"/>
          </w:tcPr>
          <w:p>
            <w:r/>
            <w:r>
              <w:rPr>
                <w:sz w:val="19"/>
              </w:rPr>
              <w:t>4–11</w:t>
            </w:r>
          </w:p>
        </w:tc>
        <w:tc>
          <w:tcPr>
            <w:tcW w:type="dxa" w:w="2160"/>
          </w:tcPr>
          <w:p>
            <w:r/>
            <w:r>
              <w:rPr>
                <w:sz w:val="19"/>
              </w:rPr>
              <w:t>herring_spawning</w:t>
            </w:r>
          </w:p>
        </w:tc>
        <w:tc>
          <w:tcPr>
            <w:tcW w:type="dxa" w:w="2160"/>
          </w:tcPr>
          <w:p>
            <w:r/>
            <w:r>
              <w:rPr>
                <w:sz w:val="19"/>
              </w:rPr>
              <w:t>51</w:t>
            </w:r>
          </w:p>
        </w:tc>
        <w:tc>
          <w:tcPr>
            <w:tcW w:type="dxa" w:w="2160"/>
          </w:tcPr>
          <w:p>
            <w:r/>
            <w:r>
              <w:rPr>
                <w:sz w:val="19"/>
              </w:rPr>
              <w:t>3.9 – 9.8%</w:t>
            </w:r>
          </w:p>
        </w:tc>
      </w:tr>
      <w:tr>
        <w:tc>
          <w:tcPr>
            <w:tcW w:type="dxa" w:w="2160"/>
          </w:tcPr>
          <w:p>
            <w:r/>
            <w:r>
              <w:rPr>
                <w:sz w:val="19"/>
              </w:rPr>
              <w:t>16–21</w:t>
            </w:r>
          </w:p>
        </w:tc>
        <w:tc>
          <w:tcPr>
            <w:tcW w:type="dxa" w:w="2160"/>
          </w:tcPr>
          <w:p>
            <w:r/>
            <w:r>
              <w:rPr>
                <w:sz w:val="19"/>
              </w:rPr>
              <w:t>herring_spawning_autumn</w:t>
            </w:r>
          </w:p>
        </w:tc>
        <w:tc>
          <w:tcPr>
            <w:tcW w:type="dxa" w:w="2160"/>
          </w:tcPr>
          <w:p>
            <w:r/>
            <w:r>
              <w:rPr>
                <w:sz w:val="19"/>
              </w:rPr>
              <w:t>10</w:t>
            </w:r>
          </w:p>
        </w:tc>
        <w:tc>
          <w:tcPr>
            <w:tcW w:type="dxa" w:w="2160"/>
          </w:tcPr>
          <w:p>
            <w:r/>
            <w:r>
              <w:rPr>
                <w:sz w:val="19"/>
              </w:rPr>
              <w:t>50.0%</w:t>
            </w:r>
          </w:p>
        </w:tc>
      </w:tr>
    </w:tbl>
    <w:p/>
    <w:p>
      <w:r>
        <w:rPr>
          <w:b w:val="0"/>
          <w:i w:val="0"/>
        </w:rPr>
        <w:t>The time-weighted share is 16.19%, corresponding to ~421 kt locally available, so consumption represents ~3.5× the local standing stock, not 12×. An all-juvenile bound gives 9.3×, so the original figure lies outside the range achievable under any combination of adult and juvenile distributions. The dominant term is autumn, when all adult herring occupies a 10-cell coastal map of which pikeperch holds half — seasonal spawning aggregation into percid cells, a different mechanism from continuous replenishment.</w:t>
      </w:r>
    </w:p>
    <w:p>
      <w:r>
        <w:rPr>
          <w:b/>
          <w:i w:val="0"/>
        </w:rPr>
        <w:t>The comparison that refutes the hypothesis: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Predator</w:t>
            </w:r>
          </w:p>
        </w:tc>
        <w:tc>
          <w:tcPr>
            <w:tcW w:type="dxa" w:w="2160"/>
          </w:tcPr>
          <w:p>
            <w:r/>
            <w:r>
              <w:rPr>
                <w:b/>
                <w:sz w:val="19"/>
              </w:rPr>
              <w:t>Time-weighted share of herring</w:t>
            </w:r>
          </w:p>
        </w:tc>
        <w:tc>
          <w:tcPr>
            <w:tcW w:type="dxa" w:w="2160"/>
          </w:tcPr>
          <w:p>
            <w:r/>
            <w:r>
              <w:rPr>
                <w:b/>
                <w:sz w:val="19"/>
              </w:rPr>
              <w:t>Share of sprat</w:t>
            </w:r>
          </w:p>
        </w:tc>
        <w:tc>
          <w:tcPr>
            <w:tcW w:type="dxa" w:w="2160"/>
          </w:tcPr>
          <w:p>
            <w:r/>
            <w:r>
              <w:rPr>
                <w:b/>
                <w:sz w:val="19"/>
              </w:rPr>
              <w:t>Status</w:t>
            </w:r>
          </w:p>
        </w:tc>
      </w:tr>
      <w:tr>
        <w:tc>
          <w:tcPr>
            <w:tcW w:type="dxa" w:w="2160"/>
          </w:tcPr>
          <w:p>
            <w:r/>
            <w:r>
              <w:rPr>
                <w:sz w:val="19"/>
              </w:rPr>
              <w:t>pikeperch</w:t>
            </w:r>
          </w:p>
        </w:tc>
        <w:tc>
          <w:tcPr>
            <w:tcW w:type="dxa" w:w="2160"/>
          </w:tcPr>
          <w:p>
            <w:r/>
            <w:r>
              <w:rPr>
                <w:sz w:val="19"/>
              </w:rPr>
              <w:t>16.19%</w:t>
            </w:r>
          </w:p>
        </w:tc>
        <w:tc>
          <w:tcPr>
            <w:tcW w:type="dxa" w:w="2160"/>
          </w:tcPr>
          <w:p>
            <w:r/>
            <w:r>
              <w:rPr>
                <w:sz w:val="19"/>
              </w:rPr>
              <w:t>3.73%</w:t>
            </w:r>
          </w:p>
        </w:tc>
        <w:tc>
          <w:tcPr>
            <w:tcW w:type="dxa" w:w="2160"/>
          </w:tcPr>
          <w:p>
            <w:r/>
            <w:r>
              <w:rPr>
                <w:sz w:val="19"/>
              </w:rPr>
              <w:t>~56× over envelope</w:t>
            </w:r>
          </w:p>
        </w:tc>
      </w:tr>
      <w:tr>
        <w:tc>
          <w:tcPr>
            <w:tcW w:type="dxa" w:w="2160"/>
          </w:tcPr>
          <w:p>
            <w:r/>
            <w:r>
              <w:rPr>
                <w:sz w:val="19"/>
              </w:rPr>
              <w:t>perch</w:t>
            </w:r>
          </w:p>
        </w:tc>
        <w:tc>
          <w:tcPr>
            <w:tcW w:type="dxa" w:w="2160"/>
          </w:tcPr>
          <w:p>
            <w:r/>
            <w:r>
              <w:rPr>
                <w:sz w:val="19"/>
              </w:rPr>
              <w:t>31.56%</w:t>
            </w:r>
          </w:p>
        </w:tc>
        <w:tc>
          <w:tcPr>
            <w:tcW w:type="dxa" w:w="2160"/>
          </w:tcPr>
          <w:p>
            <w:r/>
            <w:r>
              <w:rPr>
                <w:sz w:val="19"/>
              </w:rPr>
              <w:t>7.90%</w:t>
            </w:r>
          </w:p>
        </w:tc>
        <w:tc>
          <w:tcPr>
            <w:tcW w:type="dxa" w:w="2160"/>
          </w:tcPr>
          <w:p>
            <w:r/>
            <w:r>
              <w:rPr>
                <w:sz w:val="19"/>
              </w:rPr>
              <w:t>in envelope</w:t>
            </w:r>
          </w:p>
        </w:tc>
      </w:tr>
    </w:tbl>
    <w:p/>
    <w:p>
      <w:r>
        <w:rPr>
          <w:b w:val="0"/>
          <w:i w:val="0"/>
        </w:rPr>
        <w:t>Perch has twice pikeperch's spatial access to herring and remains within its envelope. Spatial supply overlap therefore does not discriminate between the two species and cannot explain the pikeperch overshoot specifically.</w:t>
      </w:r>
    </w:p>
    <w:p>
      <w:pPr>
        <w:pStyle w:val="Heading1"/>
      </w:pPr>
      <w:r>
        <w:rPr>
          <w:color w:val="1F3864"/>
        </w:rPr>
        <w:t>6. Withdrawn: predation release</w:t>
      </w:r>
    </w:p>
    <w:p>
      <w:r>
        <w:rPr>
          <w:b w:val="0"/>
          <w:i w:val="0"/>
        </w:rPr>
        <w:t>A second intermediate conclusion held that pikeperch is the least-predated fish in the system, with total accessibility as prey of 0.60 against perch's 1.05, and that this asymmetry explained the overshoot. This too is withdrawn.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Pr>
              <w:t>Species</w:t>
            </w:r>
          </w:p>
        </w:tc>
        <w:tc>
          <w:tcPr>
            <w:tcW w:type="dxa" w:w="2880"/>
          </w:tcPr>
          <w:p>
            <w:r/>
            <w:r>
              <w:rPr>
                <w:b/>
                <w:sz w:val="19"/>
              </w:rPr>
              <w:t>Total accessibility as prey</w:t>
            </w:r>
          </w:p>
        </w:tc>
        <w:tc>
          <w:tcPr>
            <w:tcW w:type="dxa" w:w="2880"/>
          </w:tcPr>
          <w:p>
            <w:r/>
            <w:r>
              <w:rPr>
                <w:b/>
                <w:sz w:val="19"/>
              </w:rPr>
              <w:t>Status</w:t>
            </w:r>
          </w:p>
        </w:tc>
      </w:tr>
      <w:tr>
        <w:tc>
          <w:tcPr>
            <w:tcW w:type="dxa" w:w="2880"/>
          </w:tcPr>
          <w:p>
            <w:r/>
            <w:r>
              <w:rPr>
                <w:sz w:val="19"/>
              </w:rPr>
              <w:t>cod_west</w:t>
            </w:r>
          </w:p>
        </w:tc>
        <w:tc>
          <w:tcPr>
            <w:tcW w:type="dxa" w:w="2880"/>
          </w:tcPr>
          <w:p>
            <w:r/>
            <w:r>
              <w:rPr>
                <w:sz w:val="19"/>
              </w:rPr>
              <w:t>0.20</w:t>
            </w:r>
          </w:p>
        </w:tc>
        <w:tc>
          <w:tcPr>
            <w:tcW w:type="dxa" w:w="2880"/>
          </w:tcPr>
          <w:p>
            <w:r/>
            <w:r>
              <w:rPr>
                <w:sz w:val="19"/>
              </w:rPr>
              <w:t>in envelope</w:t>
            </w:r>
          </w:p>
        </w:tc>
      </w:tr>
      <w:tr>
        <w:tc>
          <w:tcPr>
            <w:tcW w:type="dxa" w:w="2880"/>
          </w:tcPr>
          <w:p>
            <w:r/>
            <w:r>
              <w:rPr>
                <w:sz w:val="19"/>
              </w:rPr>
              <w:t>cod_east</w:t>
            </w:r>
          </w:p>
        </w:tc>
        <w:tc>
          <w:tcPr>
            <w:tcW w:type="dxa" w:w="2880"/>
          </w:tcPr>
          <w:p>
            <w:r/>
            <w:r>
              <w:rPr>
                <w:sz w:val="19"/>
              </w:rPr>
              <w:t>0.20</w:t>
            </w:r>
          </w:p>
        </w:tc>
        <w:tc>
          <w:tcPr>
            <w:tcW w:type="dxa" w:w="2880"/>
          </w:tcPr>
          <w:p>
            <w:r/>
            <w:r>
              <w:rPr>
                <w:sz w:val="19"/>
              </w:rPr>
              <w:t>in envelope</w:t>
            </w:r>
          </w:p>
        </w:tc>
      </w:tr>
      <w:tr>
        <w:tc>
          <w:tcPr>
            <w:tcW w:type="dxa" w:w="2880"/>
          </w:tcPr>
          <w:p>
            <w:r/>
            <w:r>
              <w:rPr>
                <w:sz w:val="19"/>
              </w:rPr>
              <w:t>flounder</w:t>
            </w:r>
          </w:p>
        </w:tc>
        <w:tc>
          <w:tcPr>
            <w:tcW w:type="dxa" w:w="2880"/>
          </w:tcPr>
          <w:p>
            <w:r/>
            <w:r>
              <w:rPr>
                <w:sz w:val="19"/>
              </w:rPr>
              <w:t>0.35</w:t>
            </w:r>
          </w:p>
        </w:tc>
        <w:tc>
          <w:tcPr>
            <w:tcW w:type="dxa" w:w="2880"/>
          </w:tcPr>
          <w:p>
            <w:r/>
            <w:r>
              <w:rPr>
                <w:sz w:val="19"/>
              </w:rPr>
              <w:t>in envelope</w:t>
            </w:r>
          </w:p>
        </w:tc>
      </w:tr>
      <w:tr>
        <w:tc>
          <w:tcPr>
            <w:tcW w:type="dxa" w:w="2880"/>
          </w:tcPr>
          <w:p>
            <w:r/>
            <w:r>
              <w:rPr>
                <w:sz w:val="19"/>
              </w:rPr>
              <w:t>pikeperch</w:t>
            </w:r>
          </w:p>
        </w:tc>
        <w:tc>
          <w:tcPr>
            <w:tcW w:type="dxa" w:w="2880"/>
          </w:tcPr>
          <w:p>
            <w:r/>
            <w:r>
              <w:rPr>
                <w:sz w:val="19"/>
              </w:rPr>
              <w:t>0.60</w:t>
            </w:r>
          </w:p>
        </w:tc>
        <w:tc>
          <w:tcPr>
            <w:tcW w:type="dxa" w:w="2880"/>
          </w:tcPr>
          <w:p>
            <w:r/>
            <w:r>
              <w:rPr>
                <w:sz w:val="19"/>
              </w:rPr>
              <w:t>~56x over</w:t>
            </w:r>
          </w:p>
        </w:tc>
      </w:tr>
      <w:tr>
        <w:tc>
          <w:tcPr>
            <w:tcW w:type="dxa" w:w="2880"/>
          </w:tcPr>
          <w:p>
            <w:r/>
            <w:r>
              <w:rPr>
                <w:sz w:val="19"/>
              </w:rPr>
              <w:t>perch</w:t>
            </w:r>
          </w:p>
        </w:tc>
        <w:tc>
          <w:tcPr>
            <w:tcW w:type="dxa" w:w="2880"/>
          </w:tcPr>
          <w:p>
            <w:r/>
            <w:r>
              <w:rPr>
                <w:sz w:val="19"/>
              </w:rPr>
              <w:t>1.05</w:t>
            </w:r>
          </w:p>
        </w:tc>
        <w:tc>
          <w:tcPr>
            <w:tcW w:type="dxa" w:w="2880"/>
          </w:tcPr>
          <w:p>
            <w:r/>
            <w:r>
              <w:rPr>
                <w:sz w:val="19"/>
              </w:rPr>
              <w:t>in envelope</w:t>
            </w:r>
          </w:p>
        </w:tc>
      </w:tr>
      <w:tr>
        <w:tc>
          <w:tcPr>
            <w:tcW w:type="dxa" w:w="2880"/>
          </w:tcPr>
          <w:p>
            <w:r/>
            <w:r>
              <w:rPr>
                <w:sz w:val="19"/>
              </w:rPr>
              <w:t>smelt</w:t>
            </w:r>
          </w:p>
        </w:tc>
        <w:tc>
          <w:tcPr>
            <w:tcW w:type="dxa" w:w="2880"/>
          </w:tcPr>
          <w:p>
            <w:r/>
            <w:r>
              <w:rPr>
                <w:sz w:val="19"/>
              </w:rPr>
              <w:t>2.55</w:t>
            </w:r>
          </w:p>
        </w:tc>
        <w:tc>
          <w:tcPr>
            <w:tcW w:type="dxa" w:w="2880"/>
          </w:tcPr>
          <w:p>
            <w:r/>
            <w:r>
              <w:rPr>
                <w:sz w:val="19"/>
              </w:rPr>
              <w:t>~5.7x over</w:t>
            </w:r>
          </w:p>
        </w:tc>
      </w:tr>
    </w:tbl>
    <w:p/>
    <w:p>
      <w:r>
        <w:rPr>
          <w:b w:val="0"/>
          <w:i w:val="0"/>
        </w:rPr>
        <w:t>Pikeperch is fourth-least predated, not least. Three species carry lower predation and all three are within envelope, while smelt carries the highest predation in the system and is 5.7x over. The proposed axis is contradicted at both ends. The hypothesis had not been subjected to the same control test that was used to reject the spatial-supply explanation in Section 5 — the test was applied to the hypothesis being discarded and not to the one being adopted.</w:t>
      </w:r>
    </w:p>
    <w:p>
      <w:pPr>
        <w:pStyle w:val="Heading1"/>
      </w:pPr>
      <w:r>
        <w:rPr>
          <w:color w:val="1F3864"/>
        </w:rPr>
        <w:t>7. Current diagnosis: escape from the predator size window</w:t>
      </w:r>
    </w:p>
    <w:p>
      <w:r>
        <w:rPr>
          <w:b w:val="0"/>
          <w:i w:val="0"/>
        </w:rPr>
        <w:t>The mechanism that survives is not an accessibility coefficient at all. The predation kernel applies the predator-prey size-ratio gate before reading accessibility, so a coefficient outside the size window is never applied.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Predator</w:t>
            </w:r>
          </w:p>
        </w:tc>
        <w:tc>
          <w:tcPr>
            <w:tcW w:type="dxa" w:w="2160"/>
          </w:tcPr>
          <w:p>
            <w:r/>
            <w:r>
              <w:rPr>
                <w:b/>
                <w:sz w:val="19"/>
              </w:rPr>
              <w:t>Linf (cm)</w:t>
            </w:r>
          </w:p>
        </w:tc>
        <w:tc>
          <w:tcPr>
            <w:tcW w:type="dxa" w:w="2160"/>
          </w:tcPr>
          <w:p>
            <w:r/>
            <w:r>
              <w:rPr>
                <w:b/>
                <w:sz w:val="19"/>
              </w:rPr>
              <w:t>Minimum size ratio</w:t>
            </w:r>
          </w:p>
        </w:tc>
        <w:tc>
          <w:tcPr>
            <w:tcW w:type="dxa" w:w="2160"/>
          </w:tcPr>
          <w:p>
            <w:r/>
            <w:r>
              <w:rPr>
                <w:b/>
                <w:sz w:val="19"/>
              </w:rPr>
              <w:t>Largest prey it can take (cm)</w:t>
            </w:r>
          </w:p>
        </w:tc>
      </w:tr>
      <w:tr>
        <w:tc>
          <w:tcPr>
            <w:tcW w:type="dxa" w:w="2160"/>
          </w:tcPr>
          <w:p>
            <w:r/>
            <w:r>
              <w:rPr>
                <w:sz w:val="19"/>
              </w:rPr>
              <w:t>cod_west / cod_east</w:t>
            </w:r>
          </w:p>
        </w:tc>
        <w:tc>
          <w:tcPr>
            <w:tcW w:type="dxa" w:w="2160"/>
          </w:tcPr>
          <w:p>
            <w:r/>
            <w:r>
              <w:rPr>
                <w:sz w:val="19"/>
              </w:rPr>
              <w:t>110</w:t>
            </w:r>
          </w:p>
        </w:tc>
        <w:tc>
          <w:tcPr>
            <w:tcW w:type="dxa" w:w="2160"/>
          </w:tcPr>
          <w:p>
            <w:r/>
            <w:r>
              <w:rPr>
                <w:sz w:val="19"/>
              </w:rPr>
              <w:t>3.5</w:t>
            </w:r>
          </w:p>
        </w:tc>
        <w:tc>
          <w:tcPr>
            <w:tcW w:type="dxa" w:w="2160"/>
          </w:tcPr>
          <w:p>
            <w:r/>
            <w:r>
              <w:rPr>
                <w:sz w:val="19"/>
              </w:rPr>
              <w:t>31.4</w:t>
            </w:r>
          </w:p>
        </w:tc>
      </w:tr>
      <w:tr>
        <w:tc>
          <w:tcPr>
            <w:tcW w:type="dxa" w:w="2160"/>
          </w:tcPr>
          <w:p>
            <w:r/>
            <w:r>
              <w:rPr>
                <w:sz w:val="19"/>
              </w:rPr>
              <w:t>pikeperch (cannibalism)</w:t>
            </w:r>
          </w:p>
        </w:tc>
        <w:tc>
          <w:tcPr>
            <w:tcW w:type="dxa" w:w="2160"/>
          </w:tcPr>
          <w:p>
            <w:r/>
            <w:r>
              <w:rPr>
                <w:sz w:val="19"/>
              </w:rPr>
              <w:t>90</w:t>
            </w:r>
          </w:p>
        </w:tc>
        <w:tc>
          <w:tcPr>
            <w:tcW w:type="dxa" w:w="2160"/>
          </w:tcPr>
          <w:p>
            <w:r/>
            <w:r>
              <w:rPr>
                <w:sz w:val="19"/>
              </w:rPr>
              <w:t>2.5</w:t>
            </w:r>
          </w:p>
        </w:tc>
        <w:tc>
          <w:tcPr>
            <w:tcW w:type="dxa" w:w="2160"/>
          </w:tcPr>
          <w:p>
            <w:r/>
            <w:r>
              <w:rPr>
                <w:sz w:val="19"/>
              </w:rPr>
              <w:t>36.0</w:t>
            </w:r>
          </w:p>
        </w:tc>
      </w:tr>
    </w:tbl>
    <w:p/>
    <w:p>
      <w:r>
        <w:rPr>
          <w:b w:val="0"/>
          <w:i w:val="0"/>
        </w:rPr>
        <w:t>Pikeperch matures at 40.0 cm and has an asymptotic length of 90 cm. No predator in the configuration can take a pikeperch larger than 36 cm, so the species escapes the entire predator field before it reaches maturity and accumulates biomass in a structurally invulnerable adult class. Perch, with an asymptotic length of 45 cm, spends a far greater proportion of its life inside cod's 31.4 cm window.</w:t>
      </w:r>
    </w:p>
    <w:p>
      <w:r>
        <w:rPr>
          <w:b w:val="0"/>
          <w:i w:val="0"/>
        </w:rPr>
        <w:t>This reframes the asymptotic length from a contributing factor into the mechanism itself, and it accounts for every lever that failed: fishing is the only source of adult removal, and every demand-side intervention acted on a size class that was never predation-limited.</w:t>
      </w:r>
    </w:p>
    <w:p>
      <w:pPr>
        <w:ind w:left="360"/>
      </w:pPr>
      <w:r>
        <w:rPr>
          <w:i/>
          <w:color w:val="555555"/>
          <w:sz w:val="19"/>
        </w:rPr>
        <w:t>Candidate remedies consequently point elsewhere: grey seal predation on large pikeperch, which is documented in the Baltic and is absent from the configuration's accessibility matrix; the cod size-ratio window; or the asymptotic length itself. This diagnosis is recent and has not yet been tested.</w:t>
      </w:r>
    </w:p>
    <w:p>
      <w:pPr>
        <w:pStyle w:val="Heading1"/>
      </w:pPr>
      <w:r>
        <w:rPr>
          <w:color w:val="1F3864"/>
        </w:rPr>
        <w:t>8. Proposed refactor (superseded)</w:t>
      </w:r>
    </w:p>
    <w:p>
      <w:r>
        <w:rPr>
          <w:b w:val="0"/>
          <w:i w:val="0"/>
        </w:rPr>
        <w:t>The following tiers were designed against the predation-release hypothesis withdrawn in Section 6. They are recorded for completeness and are not recommended: Tier A raises coefficients on size classes holding roughly 5% of pikeperch biomass, since every predator size window closes below maturity, and Tier B derives its herring coefficient by multiplying accessibility by a spatial overlap that the cell-based predation kernel already applies. A narrower variant of Tier B was measured and failed non-regression, moving the envelope count from 7/9 to 5/9.</w:t>
      </w:r>
    </w:p>
    <w:p>
      <w:pPr>
        <w:pStyle w:val="Heading2"/>
      </w:pPr>
      <w:r>
        <w:rPr>
          <w:color w:val="1F3864"/>
        </w:rPr>
        <w:t>8.1 Tier A — test predation release (configuration only)</w:t>
      </w:r>
    </w:p>
    <w:p>
      <w:r>
        <w:rPr>
          <w:b w:val="0"/>
          <w:i w:val="0"/>
        </w:rPr>
        <w:t>Raise predation on pikeperch toward perch's level: cormorant 0.4 → 0.6, cod_west 0.1 → 0.15, cod_east 0.05 → 0.10, taking total accessibility as prey from 0.60 to 0.90. This is a diagnostic intervention, not a proposed calibration; it asks whether the asymmetry has the leverage the hypothesis requires.</w:t>
      </w:r>
    </w:p>
    <w:p>
      <w:pPr>
        <w:pStyle w:val="Heading2"/>
      </w:pPr>
      <w:r>
        <w:rPr>
          <w:color w:val="1F3864"/>
        </w:rPr>
        <w:t>8.2 Tier B — trophic corrections (configuration only)</w:t>
      </w:r>
    </w:p>
    <w:p>
      <w:pPr>
        <w:pStyle w:val="ListBullet"/>
      </w:pPr>
      <w:r>
        <w:t>Sprat → 0 for both percids. Sprat is genuinely offshore; this is the defensible half of the original proposal.</w:t>
      </w:r>
    </w:p>
    <w:p>
      <w:pPr>
        <w:pStyle w:val="ListBullet"/>
      </w:pPr>
      <w:r>
        <w:t>Herring → scaled, not removed. The documented bay link is retained at the coastal-available fraction, using the time-weighted spatial overlap as the scale: pikeperch ≈ 0.05, perch ≈ 0.06.</w:t>
      </w:r>
    </w:p>
    <w:p>
      <w:pPr>
        <w:pStyle w:val="ListBullet"/>
      </w:pPr>
      <w:r>
        <w:t>Smelt → time-averaged over a corrected window. Spring (April–May), 20–45 day runs, giving W ≈ 1 month rather than 3: perch ≈ 0.04, pikeperch ≈ 0.05. These are a lower bound, since smelt is present year-round in some basins.</w:t>
      </w:r>
    </w:p>
    <w:p>
      <w:pPr>
        <w:pStyle w:val="Heading2"/>
      </w:pPr>
      <w:r>
        <w:rPr>
          <w:color w:val="1F3864"/>
        </w:rPr>
        <w:t>8.3 Tier C — seasonal accessibility (engine feature, conditional)</w:t>
      </w:r>
    </w:p>
    <w:p>
      <w:r>
        <w:rPr>
          <w:b w:val="0"/>
          <w:i w:val="0"/>
        </w:rPr>
        <w:t>The accessibility matrix is stage-indexed by age threshold and carries no time axis, so seasonal prey availability cannot presently be expressed. Tier C would add a sparse per-pair, per-timestep multiplier mirroring the existing fishing-seasonality idiom, resolved to a dense array at configuration time because the predation kernel is compiled. It is conditional on Tier B showing that timing rather than level is what is wrong.</w:t>
      </w:r>
    </w:p>
    <w:p>
      <w:pPr>
        <w:pStyle w:val="Heading2"/>
      </w:pPr>
      <w:r>
        <w:rPr>
          <w:color w:val="1F3864"/>
        </w:rPr>
        <w:t>8.4 Out of scope</w:t>
      </w:r>
    </w:p>
    <w:p>
      <w:r>
        <w:rPr>
          <w:b w:val="0"/>
          <w:i w:val="0"/>
        </w:rPr>
        <w:t>Representing percid stocks as separate coastal units is the only change that would address supply rather than links, and the only one that makes the envelope comparison like-for-like. It is excluded here on cost grounds; the cod eastern/western disaggregation, which could not be fitted and remains a flagged experiment, is the cautionary precedent.</w:t>
      </w:r>
    </w:p>
    <w:p>
      <w:pPr>
        <w:pStyle w:val="Heading1"/>
      </w:pPr>
      <w:r>
        <w:rPr>
          <w:color w:val="1F3864"/>
        </w:rPr>
        <w:t>9. Acceptance criteria</w:t>
      </w:r>
    </w:p>
    <w:p>
      <w:r>
        <w:rPr>
          <w:b w:val="0"/>
          <w:i w:val="0"/>
        </w:rPr>
        <w:t>Measured on final-decade means, 50-year runs, five seeds, using the same certifier that produced the baseline verdict.</w:t>
      </w:r>
    </w:p>
    <w:p>
      <w:pPr>
        <w:pStyle w:val="ListBullet"/>
      </w:pPr>
      <w:r>
        <w:t>Non-regression (hard): at least 7 of 9 species in envelope. This is a floor, not a target — the baseline already satisfies it, so it cannot be the sole criterion.</w:t>
      </w:r>
    </w:p>
    <w:p>
      <w:pPr>
        <w:pStyle w:val="ListBullet"/>
      </w:pPr>
      <w:r>
        <w:t>Effect demonstrated (hard): pikeperch's final-decade mean must fall by more than twice the five-seed spread of the baseline, so that the change is distinguishable from noise.</w:t>
      </w:r>
    </w:p>
    <w:p>
      <w:pPr>
        <w:pStyle w:val="ListBullet"/>
      </w:pPr>
      <w:r>
        <w:t>Mechanism demonstrated (hard): for Tier A, pikeperch's realised predation mortality as a share of total mortality must rise, read from model output rather than inferred from the coefficient. For Tier B, herring must remain present but reduced in realised diet; its disappearance would indicate the coefficient acting as a hard gate rather than a scale, which is a defect.</w:t>
      </w:r>
    </w:p>
    <w:p>
      <w:pPr>
        <w:pStyle w:val="ListBullet"/>
      </w:pPr>
      <w:r>
        <w:t>Collapse guard: pikeperch must not fall below its envelope floor on the final-decade minimum. Reaching envelope by starvation or collapse dynamics is a failure, not a fix.</w:t>
      </w:r>
    </w:p>
    <w:p>
      <w:pPr>
        <w:pStyle w:val="ListBullet"/>
      </w:pPr>
      <w:r>
        <w:t>Explicitly not a criterion: smelt reaching envelope, which is a separate failure with no mechanism in this work.</w:t>
      </w:r>
    </w:p>
    <w:p>
      <w:r>
        <w:rPr>
          <w:b/>
          <w:i w:val="0"/>
        </w:rPr>
        <w:t>Risk, ranked by measured headroom to the nearest envelope bound: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Pr>
              <w:t>Species</w:t>
            </w:r>
          </w:p>
        </w:tc>
        <w:tc>
          <w:tcPr>
            <w:tcW w:type="dxa" w:w="2160"/>
          </w:tcPr>
          <w:p>
            <w:r/>
            <w:r>
              <w:rPr>
                <w:b/>
                <w:sz w:val="19"/>
              </w:rPr>
              <w:t>Current (t)</w:t>
            </w:r>
          </w:p>
        </w:tc>
        <w:tc>
          <w:tcPr>
            <w:tcW w:type="dxa" w:w="2160"/>
          </w:tcPr>
          <w:p>
            <w:r/>
            <w:r>
              <w:rPr>
                <w:b/>
                <w:sz w:val="19"/>
              </w:rPr>
              <w:t>Nearest bound (t)</w:t>
            </w:r>
          </w:p>
        </w:tc>
        <w:tc>
          <w:tcPr>
            <w:tcW w:type="dxa" w:w="2160"/>
          </w:tcPr>
          <w:p>
            <w:r/>
            <w:r>
              <w:rPr>
                <w:b/>
                <w:sz w:val="19"/>
              </w:rPr>
              <w:t>Headroom</w:t>
            </w:r>
          </w:p>
        </w:tc>
      </w:tr>
      <w:tr>
        <w:tc>
          <w:tcPr>
            <w:tcW w:type="dxa" w:w="2160"/>
          </w:tcPr>
          <w:p>
            <w:r/>
            <w:r>
              <w:rPr>
                <w:sz w:val="19"/>
              </w:rPr>
              <w:t>cod_east</w:t>
            </w:r>
          </w:p>
        </w:tc>
        <w:tc>
          <w:tcPr>
            <w:tcW w:type="dxa" w:w="2160"/>
          </w:tcPr>
          <w:p>
            <w:r/>
            <w:r>
              <w:rPr>
                <w:sz w:val="19"/>
              </w:rPr>
              <w:t>83,122</w:t>
            </w:r>
          </w:p>
        </w:tc>
        <w:tc>
          <w:tcPr>
            <w:tcW w:type="dxa" w:w="2160"/>
          </w:tcPr>
          <w:p>
            <w:r/>
            <w:r>
              <w:rPr>
                <w:sz w:val="19"/>
              </w:rPr>
              <w:t>85,000 (upper)</w:t>
            </w:r>
          </w:p>
        </w:tc>
        <w:tc>
          <w:tcPr>
            <w:tcW w:type="dxa" w:w="2160"/>
          </w:tcPr>
          <w:p>
            <w:r/>
            <w:r>
              <w:rPr>
                <w:sz w:val="19"/>
              </w:rPr>
              <w:t>2.3%</w:t>
            </w:r>
          </w:p>
        </w:tc>
      </w:tr>
      <w:tr>
        <w:tc>
          <w:tcPr>
            <w:tcW w:type="dxa" w:w="2160"/>
          </w:tcPr>
          <w:p>
            <w:r/>
            <w:r>
              <w:rPr>
                <w:sz w:val="19"/>
              </w:rPr>
              <w:t>perch</w:t>
            </w:r>
          </w:p>
        </w:tc>
        <w:tc>
          <w:tcPr>
            <w:tcW w:type="dxa" w:w="2160"/>
          </w:tcPr>
          <w:p>
            <w:r/>
            <w:r>
              <w:rPr>
                <w:sz w:val="19"/>
              </w:rPr>
              <w:t>45,382</w:t>
            </w:r>
          </w:p>
        </w:tc>
        <w:tc>
          <w:tcPr>
            <w:tcW w:type="dxa" w:w="2160"/>
          </w:tcPr>
          <w:p>
            <w:r/>
            <w:r>
              <w:rPr>
                <w:sz w:val="19"/>
              </w:rPr>
              <w:t>50,000 (upper)</w:t>
            </w:r>
          </w:p>
        </w:tc>
        <w:tc>
          <w:tcPr>
            <w:tcW w:type="dxa" w:w="2160"/>
          </w:tcPr>
          <w:p>
            <w:r/>
            <w:r>
              <w:rPr>
                <w:sz w:val="19"/>
              </w:rPr>
              <w:t>9.2%</w:t>
            </w:r>
          </w:p>
        </w:tc>
      </w:tr>
      <w:tr>
        <w:tc>
          <w:tcPr>
            <w:tcW w:type="dxa" w:w="2160"/>
          </w:tcPr>
          <w:p>
            <w:r/>
            <w:r>
              <w:rPr>
                <w:sz w:val="19"/>
              </w:rPr>
              <w:t>herring</w:t>
            </w:r>
          </w:p>
        </w:tc>
        <w:tc>
          <w:tcPr>
            <w:tcW w:type="dxa" w:w="2160"/>
          </w:tcPr>
          <w:p>
            <w:r/>
            <w:r>
              <w:rPr>
                <w:sz w:val="19"/>
              </w:rPr>
              <w:t>2,600,112</w:t>
            </w:r>
          </w:p>
        </w:tc>
        <w:tc>
          <w:tcPr>
            <w:tcW w:type="dxa" w:w="2160"/>
          </w:tcPr>
          <w:p>
            <w:r/>
            <w:r>
              <w:rPr>
                <w:sz w:val="19"/>
              </w:rPr>
              <w:t>3,000,000 (upper)</w:t>
            </w:r>
          </w:p>
        </w:tc>
        <w:tc>
          <w:tcPr>
            <w:tcW w:type="dxa" w:w="2160"/>
          </w:tcPr>
          <w:p>
            <w:r/>
            <w:r>
              <w:rPr>
                <w:sz w:val="19"/>
              </w:rPr>
              <w:t>15.4%</w:t>
            </w:r>
          </w:p>
        </w:tc>
      </w:tr>
      <w:tr>
        <w:tc>
          <w:tcPr>
            <w:tcW w:type="dxa" w:w="2160"/>
          </w:tcPr>
          <w:p>
            <w:r/>
            <w:r>
              <w:rPr>
                <w:sz w:val="19"/>
              </w:rPr>
              <w:t>stickleback</w:t>
            </w:r>
          </w:p>
        </w:tc>
        <w:tc>
          <w:tcPr>
            <w:tcW w:type="dxa" w:w="2160"/>
          </w:tcPr>
          <w:p>
            <w:r/>
            <w:r>
              <w:rPr>
                <w:sz w:val="19"/>
              </w:rPr>
              <w:t>80,159</w:t>
            </w:r>
          </w:p>
        </w:tc>
        <w:tc>
          <w:tcPr>
            <w:tcW w:type="dxa" w:w="2160"/>
          </w:tcPr>
          <w:p>
            <w:r/>
            <w:r>
              <w:rPr>
                <w:sz w:val="19"/>
              </w:rPr>
              <w:t>50,000 (lower)</w:t>
            </w:r>
          </w:p>
        </w:tc>
        <w:tc>
          <w:tcPr>
            <w:tcW w:type="dxa" w:w="2160"/>
          </w:tcPr>
          <w:p>
            <w:r/>
            <w:r>
              <w:rPr>
                <w:sz w:val="19"/>
              </w:rPr>
              <w:t>60.2%</w:t>
            </w:r>
          </w:p>
        </w:tc>
      </w:tr>
    </w:tbl>
    <w:p/>
    <w:p>
      <w:r>
        <w:rPr>
          <w:b w:val="0"/>
          <w:i w:val="0"/>
        </w:rPr>
        <w:t>cod_east is the tightest species in the system, and Tier A raises cod accessibility to pikeperch, which feeds cod. Any species leaving its envelope constitutes a failure regardless of explanation; an earlier draft permitted a herring breach to be reclassified as a subsequent finding, and that allowance has been withdrawn.</w:t>
      </w:r>
    </w:p>
    <w:p>
      <w:pPr>
        <w:pStyle w:val="Heading1"/>
      </w:pPr>
      <w:r>
        <w:rPr>
          <w:color w:val="1F3864"/>
        </w:rPr>
        <w:t>10. Limitations</w:t>
      </w:r>
    </w:p>
    <w:p>
      <w:pPr>
        <w:pStyle w:val="ListBullet"/>
      </w:pPr>
      <w:r>
        <w:t>Single configuration, single parameter set. Nothing here transfers to other OSMOSE configurations.</w:t>
      </w:r>
    </w:p>
    <w:p>
      <w:pPr>
        <w:pStyle w:val="ListBullet"/>
      </w:pPr>
      <w:r>
        <w:t>Several figures derive from single-seed runs and are labelled as such in the source documents; the five-seed certification is the standard for envelope verdicts.</w:t>
      </w:r>
    </w:p>
    <w:p>
      <w:pPr>
        <w:pStyle w:val="ListBullet"/>
      </w:pPr>
      <w:r>
        <w:t>The predation-release hypothesis is untested. It tracks the observed asymmetry between perch and pikeperch but causation has not been demonstrated.</w:t>
      </w:r>
    </w:p>
    <w:p>
      <w:pPr>
        <w:pStyle w:val="ListBullet"/>
      </w:pPr>
      <w:r>
        <w:t>Linf = 90 cm for Baltic pikeperch sits at the upper end of the plausible range and has not been independently validated here, though biomass scales with roughly the cube of length.</w:t>
      </w:r>
    </w:p>
    <w:p>
      <w:pPr>
        <w:pStyle w:val="ListBullet"/>
      </w:pPr>
      <w:r>
        <w:t>The envelope comparison is not like-for-like: a per-stock reference target is being applied to an aggregated basin-wide model stock.</w:t>
      </w:r>
    </w:p>
    <w:p>
      <w:pPr>
        <w:pStyle w:val="ListBullet"/>
      </w:pPr>
      <w:r>
        <w:t>Three substantive conclusions reached during this work were subsequently withdrawn (Sections 4, 5 and 6). Each was caught by measurement or by adversarial review rather than by the author's own reasoning, which suggests further unexamined assumptions may remain. The current diagnosis in Section 7 has not yet been subjected to an equivalent test.</w:t>
      </w:r>
    </w:p>
    <w:p>
      <w:pPr>
        <w:pStyle w:val="Heading1"/>
      </w:pPr>
      <w:r>
        <w:rPr>
          <w:color w:val="1F3864"/>
        </w:rPr>
        <w:t>11. Independent review</w:t>
      </w:r>
    </w:p>
    <w:p>
      <w:r>
        <w:rPr>
          <w:b w:val="0"/>
          <w:i w:val="0"/>
        </w:rPr>
        <w:t>The design and implementation plan underlying Sections 6–8 were subjected to two rounds of multi-agent adversarial review, in which independent reviewers raised findings that a second agent then attempted to refute; only findings surviving refutation are recorded.</w:t>
      </w:r>
    </w:p>
    <w:p>
      <w:r>
        <w:rPr>
          <w:b w:val="0"/>
          <w:i w:val="0"/>
        </w:rPr>
        <w:t>The first round upheld eight findings, including the two withdrawals documented in Sections 4 and 5. The second round, conducted on the revised documents, upheld 16.</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Pr>
              <w:t>Severity</w:t>
            </w:r>
          </w:p>
        </w:tc>
        <w:tc>
          <w:tcPr>
            <w:tcW w:type="dxa" w:w="4320"/>
          </w:tcPr>
          <w:p>
            <w:r/>
            <w:r>
              <w:rPr>
                <w:b/>
                <w:sz w:val="19"/>
              </w:rPr>
              <w:t>Finding</w:t>
            </w:r>
          </w:p>
        </w:tc>
      </w:tr>
      <w:tr>
        <w:tc>
          <w:tcPr>
            <w:tcW w:type="dxa" w:w="4320"/>
          </w:tcPr>
          <w:p>
            <w:r/>
            <w:r>
              <w:rPr>
                <w:sz w:val="19"/>
              </w:rPr>
              <w:t>critical</w:t>
            </w:r>
          </w:p>
        </w:tc>
        <w:tc>
          <w:tcPr>
            <w:tcW w:type="dxa" w:w="4320"/>
          </w:tcPr>
          <w:p>
            <w:r/>
            <w:r>
              <w:rPr>
                <w:sz w:val="19"/>
              </w:rPr>
              <w:t>Tier B herring coefficient is derived by double-counting a spatial constraint the engine already enforces (round-1 item 2: fixed in form, newly broken in substance)</w:t>
            </w:r>
          </w:p>
        </w:tc>
      </w:tr>
      <w:tr>
        <w:tc>
          <w:tcPr>
            <w:tcW w:type="dxa" w:w="4320"/>
          </w:tcPr>
          <w:p>
            <w:r/>
            <w:r>
              <w:rPr>
                <w:sz w:val="19"/>
              </w:rPr>
              <w:t>critical</w:t>
            </w:r>
          </w:p>
        </w:tc>
        <w:tc>
          <w:tcPr>
            <w:tcW w:type="dxa" w:w="4320"/>
          </w:tcPr>
          <w:p>
            <w:r/>
            <w:r>
              <w:rPr>
                <w:sz w:val="19"/>
              </w:rPr>
              <w:t>Risk register omits the already-measured experiment that pre-diagnoses Tier B as a failure (round-1 item 6: claimed-but-not-fixed)</w:t>
            </w:r>
          </w:p>
        </w:tc>
      </w:tr>
      <w:tr>
        <w:tc>
          <w:tcPr>
            <w:tcW w:type="dxa" w:w="4320"/>
          </w:tcPr>
          <w:p>
            <w:r/>
            <w:r>
              <w:rPr>
                <w:sz w:val="19"/>
              </w:rPr>
              <w:t>major</w:t>
            </w:r>
          </w:p>
        </w:tc>
        <w:tc>
          <w:tcPr>
            <w:tcW w:type="dxa" w:w="4320"/>
          </w:tcPr>
          <w:p>
            <w:r/>
            <w:r>
              <w:rPr>
                <w:sz w:val="19"/>
              </w:rPr>
              <w:t>Smelt phenology correction lands on the accessibility coefficient, never on the map that implements timing (round-1 item 3: partially fixed)</w:t>
            </w:r>
          </w:p>
        </w:tc>
      </w:tr>
      <w:tr>
        <w:tc>
          <w:tcPr>
            <w:tcW w:type="dxa" w:w="4320"/>
          </w:tcPr>
          <w:p>
            <w:r/>
            <w:r>
              <w:rPr>
                <w:sz w:val="19"/>
              </w:rPr>
              <w:t>minor</w:t>
            </w:r>
          </w:p>
        </w:tc>
        <w:tc>
          <w:tcPr>
            <w:tcW w:type="dxa" w:w="4320"/>
          </w:tcPr>
          <w:p>
            <w:r/>
            <w:r>
              <w:rPr>
                <w:sz w:val="19"/>
              </w:rPr>
              <w:t>§1.3's bounding claim is false — 12x IS reachable under an adult/juvenile combination (round-1 item 1: substance fixed, one new false statement)</w:t>
            </w:r>
          </w:p>
        </w:tc>
      </w:tr>
      <w:tr>
        <w:tc>
          <w:tcPr>
            <w:tcW w:type="dxa" w:w="4320"/>
          </w:tcPr>
          <w:p>
            <w:r/>
            <w:r>
              <w:rPr>
                <w:sz w:val="19"/>
              </w:rPr>
              <w:t>critical</w:t>
            </w:r>
          </w:p>
        </w:tc>
        <w:tc>
          <w:tcPr>
            <w:tcW w:type="dxa" w:w="4320"/>
          </w:tcPr>
          <w:p>
            <w:r/>
            <w:r>
              <w:rPr>
                <w:sz w:val="19"/>
              </w:rPr>
              <w:t>§1.5's "discriminator that survives" fails the same control test §1.4 used to kill the supply hypothesis; the superlative it rests on is false</w:t>
            </w:r>
          </w:p>
        </w:tc>
      </w:tr>
      <w:tr>
        <w:tc>
          <w:tcPr>
            <w:tcW w:type="dxa" w:w="4320"/>
          </w:tcPr>
          <w:p>
            <w:r/>
            <w:r>
              <w:rPr>
                <w:sz w:val="19"/>
              </w:rPr>
              <w:t>major</w:t>
            </w:r>
          </w:p>
        </w:tc>
        <w:tc>
          <w:tcPr>
            <w:tcW w:type="dxa" w:w="4320"/>
          </w:tcPr>
          <w:p>
            <w:r/>
            <w:r>
              <w:rPr>
                <w:sz w:val="19"/>
              </w:rPr>
              <w:t>Tier B's herring and smelt coefficients multiply an accessibility coefficient by a spatial-overlap fraction the cell-based kernel already applies</w:t>
            </w:r>
          </w:p>
        </w:tc>
      </w:tr>
      <w:tr>
        <w:tc>
          <w:tcPr>
            <w:tcW w:type="dxa" w:w="4320"/>
          </w:tcPr>
          <w:p>
            <w:r/>
            <w:r>
              <w:rPr>
                <w:sz w:val="19"/>
              </w:rPr>
              <w:t>major</w:t>
            </w:r>
          </w:p>
        </w:tc>
        <w:tc>
          <w:tcPr>
            <w:tcW w:type="dxa" w:w="4320"/>
          </w:tcPr>
          <w:p>
            <w:r/>
            <w:r>
              <w:rPr>
                <w:sz w:val="19"/>
              </w:rPr>
              <w:t>Tier A is mechanically bounded well below the F sweep §1.1 already declared insufficient, and the §6 headroom numbers that gate it are single-seed and inconsistently computed</w:t>
            </w:r>
          </w:p>
        </w:tc>
      </w:tr>
      <w:tr>
        <w:tc>
          <w:tcPr>
            <w:tcW w:type="dxa" w:w="4320"/>
          </w:tcPr>
          <w:p>
            <w:r/>
            <w:r>
              <w:rPr>
                <w:sz w:val="19"/>
              </w:rPr>
              <w:t>critical</w:t>
            </w:r>
          </w:p>
        </w:tc>
        <w:tc>
          <w:tcPr>
            <w:tcW w:type="dxa" w:w="4320"/>
          </w:tcPr>
          <w:p>
            <w:r/>
            <w:r>
              <w:rPr>
                <w:sz w:val="19"/>
              </w:rPr>
              <w:t>Tier A raises coefficients on size classes that hold ~5% of pikeperch mass — every predator's size window closes below maturity</w:t>
            </w:r>
          </w:p>
        </w:tc>
      </w:tr>
      <w:tr>
        <w:tc>
          <w:tcPr>
            <w:tcW w:type="dxa" w:w="4320"/>
          </w:tcPr>
          <w:p>
            <w:r/>
            <w:r>
              <w:rPr>
                <w:sz w:val="19"/>
              </w:rPr>
              <w:t>critical</w:t>
            </w:r>
          </w:p>
        </w:tc>
        <w:tc>
          <w:tcPr>
            <w:tcW w:type="dxa" w:w="4320"/>
          </w:tcPr>
          <w:p>
            <w:r/>
            <w:r>
              <w:rPr>
                <w:sz w:val="19"/>
              </w:rPr>
              <w:t>"Predation release is the discriminator" is false on the file the spec cites: the three least-predated fish in the system are all in envelope</w:t>
            </w:r>
          </w:p>
        </w:tc>
      </w:tr>
      <w:tr>
        <w:tc>
          <w:tcPr>
            <w:tcW w:type="dxa" w:w="4320"/>
          </w:tcPr>
          <w:p>
            <w:r/>
            <w:r>
              <w:rPr>
                <w:sz w:val="19"/>
              </w:rPr>
              <w:t>major</w:t>
            </w:r>
          </w:p>
        </w:tc>
        <w:tc>
          <w:tcPr>
            <w:tcW w:type="dxa" w:w="4320"/>
          </w:tcPr>
          <w:p>
            <w:r/>
            <w:r>
              <w:rPr>
                <w:sz w:val="19"/>
              </w:rPr>
              <w:t>Criterion 2 passes a change that leaves pikeperch ~48x over, and for Tier B it is measured against the wrong control</w:t>
            </w:r>
          </w:p>
        </w:tc>
      </w:tr>
      <w:tr>
        <w:tc>
          <w:tcPr>
            <w:tcW w:type="dxa" w:w="4320"/>
          </w:tcPr>
          <w:p>
            <w:r/>
            <w:r>
              <w:rPr>
                <w:sz w:val="19"/>
              </w:rPr>
              <w:t>major</w:t>
            </w:r>
          </w:p>
        </w:tc>
        <w:tc>
          <w:tcPr>
            <w:tcW w:type="dxa" w:w="4320"/>
          </w:tcPr>
          <w:p>
            <w:r/>
            <w:r>
              <w:rPr>
                <w:sz w:val="19"/>
              </w:rPr>
              <w:t>Tier B scales accessibility by a spatial overlap the engine already simulates per timestep — the same maps, applied twice</w:t>
            </w:r>
          </w:p>
        </w:tc>
      </w:tr>
      <w:tr>
        <w:tc>
          <w:tcPr>
            <w:tcW w:type="dxa" w:w="4320"/>
          </w:tcPr>
          <w:p>
            <w:r/>
            <w:r>
              <w:rPr>
                <w:sz w:val="19"/>
              </w:rPr>
              <w:t>critical</w:t>
            </w:r>
          </w:p>
        </w:tc>
        <w:tc>
          <w:tcPr>
            <w:tcW w:type="dxa" w:w="4320"/>
          </w:tcPr>
          <w:p>
            <w:r/>
            <w:r>
              <w:rPr>
                <w:sz w:val="19"/>
              </w:rPr>
              <w:t>Criterion 2's acceptance window is empty: the required drop is above what Tier A's lever can deliver and above where criterion 1 has broken in every measurement</w:t>
            </w:r>
          </w:p>
        </w:tc>
      </w:tr>
      <w:tr>
        <w:tc>
          <w:tcPr>
            <w:tcW w:type="dxa" w:w="4320"/>
          </w:tcPr>
          <w:p>
            <w:r/>
            <w:r>
              <w:rPr>
                <w:sz w:val="19"/>
              </w:rPr>
              <w:t>major</w:t>
            </w:r>
          </w:p>
        </w:tc>
        <w:tc>
          <w:tcPr>
            <w:tcW w:type="dxa" w:w="4320"/>
          </w:tcPr>
          <w:p>
            <w:r/>
            <w:r>
              <w:rPr>
                <w:sz w:val="19"/>
              </w:rPr>
              <w:t>Section 6's risk table is single-seed data labelled "from the 5-seed baseline", and it names the wrong risk mechanism</w:t>
            </w:r>
          </w:p>
        </w:tc>
      </w:tr>
      <w:tr>
        <w:tc>
          <w:tcPr>
            <w:tcW w:type="dxa" w:w="4320"/>
          </w:tcPr>
          <w:p>
            <w:r/>
            <w:r>
              <w:rPr>
                <w:sz w:val="19"/>
              </w:rPr>
              <w:t>critical</w:t>
            </w:r>
          </w:p>
        </w:tc>
        <w:tc>
          <w:tcPr>
            <w:tcW w:type="dxa" w:w="4320"/>
          </w:tcPr>
          <w:p>
            <w:r/>
            <w:r>
              <w:rPr>
                <w:sz w:val="19"/>
              </w:rPr>
              <w:t>Spec §5 criterion 3 (Task 5.3) is a hard gate with no evaluation path and no well-defined quantity</w:t>
            </w:r>
          </w:p>
        </w:tc>
      </w:tr>
      <w:tr>
        <w:tc>
          <w:tcPr>
            <w:tcW w:type="dxa" w:w="4320"/>
          </w:tcPr>
          <w:p>
            <w:r/>
            <w:r>
              <w:rPr>
                <w:sz w:val="19"/>
              </w:rPr>
              <w:t>critical</w:t>
            </w:r>
          </w:p>
        </w:tc>
        <w:tc>
          <w:tcPr>
            <w:tcW w:type="dxa" w:w="4320"/>
          </w:tcPr>
          <w:p>
            <w:r/>
            <w:r>
              <w:rPr>
                <w:sz w:val="19"/>
              </w:rPr>
              <w:t>Certifier writes to one tracked file by default — Tasks 1/4/8 overwrite the Task 1 baseline that criterion 2 is defined against</w:t>
            </w:r>
          </w:p>
        </w:tc>
      </w:tr>
      <w:tr>
        <w:tc>
          <w:tcPr>
            <w:tcW w:type="dxa" w:w="4320"/>
          </w:tcPr>
          <w:p>
            <w:r/>
            <w:r>
              <w:rPr>
                <w:sz w:val="19"/>
              </w:rPr>
              <w:t>major</w:t>
            </w:r>
          </w:p>
        </w:tc>
        <w:tc>
          <w:tcPr>
            <w:tcW w:type="dxa" w:w="4320"/>
          </w:tcPr>
          <w:p>
            <w:r/>
            <w:r>
              <w:rPr>
                <w:sz w:val="19"/>
              </w:rPr>
              <w:t>Runtime is 2.5× the plan's estimate — the three certifications are ~2.5 h of serial compute, not ~1 h</w:t>
            </w:r>
          </w:p>
        </w:tc>
      </w:tr>
    </w:tbl>
    <w:p/>
    <w:p>
      <w:pPr>
        <w:pStyle w:val="Heading1"/>
      </w:pPr>
      <w:r>
        <w:rPr>
          <w:color w:val="1F3864"/>
        </w:rPr>
        <w:t>References</w:t>
      </w:r>
    </w:p>
    <w:p>
      <w:pPr>
        <w:spacing w:after="160"/>
        <w:ind w:left="480" w:hanging="480"/>
      </w:pPr>
      <w:r>
        <w:rPr>
          <w:sz w:val="19"/>
        </w:rPr>
        <w:t>Ahlbeck Bergendahl, I., Holliland, P. B., &amp; Hansson, S. (2017). Feeding range of age 1+ year Eurasian perch Perca fluviatilis in the Baltic Sea. Journal of Fish Biology, 90(5), 2060–2072. https://doi.org/10.1111/jfb.13285</w:t>
      </w:r>
    </w:p>
    <w:p>
      <w:pPr>
        <w:spacing w:after="160"/>
        <w:ind w:left="480" w:hanging="480"/>
      </w:pPr>
      <w:r>
        <w:rPr>
          <w:sz w:val="19"/>
        </w:rPr>
        <w:t>Björklund, M., et al. (2007). Cited in Olsson, Tomczak &amp; Ojaveer (2015).</w:t>
      </w:r>
    </w:p>
    <w:p>
      <w:pPr>
        <w:spacing w:after="160"/>
        <w:ind w:left="480" w:hanging="480"/>
      </w:pPr>
      <w:r>
        <w:rPr>
          <w:sz w:val="19"/>
        </w:rPr>
        <w:t>Christensen, E. A. F., et al. (2020); Hansson, S., et al. (2019). Cited in Hall, Koch-Schmidt &amp; Larsson (2022).</w:t>
      </w:r>
    </w:p>
    <w:p>
      <w:pPr>
        <w:spacing w:after="160"/>
        <w:ind w:left="480" w:hanging="480"/>
      </w:pPr>
      <w:r>
        <w:rPr>
          <w:sz w:val="19"/>
        </w:rPr>
        <w:t>Dainys, J., et al. (2022). Cited in Jakubavičiūtė, Arula &amp; Dainys (2022).</w:t>
      </w:r>
    </w:p>
    <w:p>
      <w:pPr>
        <w:spacing w:after="160"/>
        <w:ind w:left="480" w:hanging="480"/>
      </w:pPr>
      <w:r>
        <w:rPr>
          <w:sz w:val="19"/>
        </w:rPr>
        <w:t>Hall, M., Koch-Schmidt, P., &amp; Larsson, P. (2022). Reproductive homing and fine-scaled genetic structuring of anadromous Baltic Sea perch (Perca fluviatilis). Fisheries Management and Ecology, 29(5), 586–596. https://doi.org/10.1111/fme.12542</w:t>
      </w:r>
    </w:p>
    <w:p>
      <w:pPr>
        <w:spacing w:after="160"/>
        <w:ind w:left="480" w:hanging="480"/>
      </w:pPr>
      <w:r>
        <w:rPr>
          <w:sz w:val="19"/>
        </w:rPr>
        <w:t>Heikinheimo, O., et al. (2015). Cited in Jakubavičiūtė, Arula &amp; Dainys (2022).</w:t>
      </w:r>
    </w:p>
    <w:p>
      <w:pPr>
        <w:spacing w:after="160"/>
        <w:ind w:left="480" w:hanging="480"/>
      </w:pPr>
      <w:r>
        <w:rPr>
          <w:sz w:val="19"/>
        </w:rPr>
        <w:t>Jakubavičiūtė, E., Arula, T., &amp; Dainys, J. (2022). Status and future perspectives for pikeperch (Sander lucioperca) stocks in Europe. openRxiv. https://doi.org/10.1101/2022.12.20.521162</w:t>
      </w:r>
    </w:p>
    <w:p>
      <w:pPr>
        <w:spacing w:after="160"/>
        <w:ind w:left="480" w:hanging="480"/>
      </w:pPr>
      <w:r>
        <w:rPr>
          <w:sz w:val="19"/>
        </w:rPr>
        <w:t>Jensen, O. P., Hansson, S., &amp; Didrikas, T. (2011). Foraging, bioenergetic and predation constraints on diel vertical migration. Journal of Fish Biology, 78(2), 449–465. https://doi.org/10.1111/j.1095-8649.2010.02855.x</w:t>
      </w:r>
    </w:p>
    <w:p>
      <w:pPr>
        <w:spacing w:after="160"/>
        <w:ind w:left="480" w:hanging="480"/>
      </w:pPr>
      <w:r>
        <w:rPr>
          <w:sz w:val="19"/>
        </w:rPr>
        <w:t>Kokkonen, E., Heikinheimo, O., &amp; Pekcan-Hekim, Z. (2019). Effects of water temperature and pikeperch (Sander lucioperca) abundance on the stock–recruitment relationship of Eurasian perch (Perca fluviatilis) in the northern Baltic Sea. Hydrobiologia, 841(1), 79–94. https://doi.org/10.1007/s10750-019-04008-z</w:t>
      </w:r>
    </w:p>
    <w:p>
      <w:pPr>
        <w:spacing w:after="160"/>
        <w:ind w:left="480" w:hanging="480"/>
      </w:pPr>
      <w:r>
        <w:rPr>
          <w:sz w:val="19"/>
        </w:rPr>
        <w:t>Olin, M., Heikinheimo, O., &amp; Lehtonen, T. K. (2023). Long-term monitoring of pikeperch (Sander lucioperca) populations under increasing temperatures and predator abundances in the Finnish coastal waters of the Baltic Sea. Ecology of Freshwater Fish, 32(4), 750–764. https://doi.org/10.1111/eff.12721</w:t>
      </w:r>
    </w:p>
    <w:p>
      <w:pPr>
        <w:spacing w:after="160"/>
        <w:ind w:left="480" w:hanging="480"/>
      </w:pPr>
      <w:r>
        <w:rPr>
          <w:sz w:val="19"/>
        </w:rPr>
        <w:t>Olsson, J., Mo, K., &amp; Florin, A.-B. (2011). Genetic population structure of perch Perca fluviatilis along the Swedish coast of the Baltic Sea. Journal of Fish Biology, 79(1), 122–137. https://doi.org/10.1111/j.1095-8649.2011.02998.x</w:t>
      </w:r>
    </w:p>
    <w:p>
      <w:pPr>
        <w:spacing w:after="160"/>
        <w:ind w:left="480" w:hanging="480"/>
      </w:pPr>
      <w:r>
        <w:rPr>
          <w:sz w:val="19"/>
        </w:rPr>
        <w:t>Olsson, J., Tomczak, M. T., &amp; Ojaveer, H. (2015). Temporal development of coastal ecosystems in the Baltic Sea over the past two decades. ICES Journal of Marine Science, 72(9), 2539–2548. https://doi.org/10.1093/icesjms/fsv143</w:t>
      </w:r>
    </w:p>
    <w:p>
      <w:pPr>
        <w:spacing w:after="160"/>
        <w:ind w:left="480" w:hanging="480"/>
      </w:pPr>
      <w:r>
        <w:rPr>
          <w:sz w:val="19"/>
        </w:rPr>
        <w:t>Sendek, D. S., &amp; Bogdanov, D. V. (2019). European smelt Osmerus eperlanus in the eastern Gulf of Finland, Baltic Sea: Stock status and fishery. Journal of Fish Biology. https://doi.org/10.1111/jfb.14009</w:t>
      </w:r>
    </w:p>
    <w:p>
      <w:pPr>
        <w:pStyle w:val="Heading1"/>
      </w:pPr>
      <w:r>
        <w:rPr>
          <w:color w:val="1F3864"/>
        </w:rPr>
        <w:t>Source documents in the repository</w:t>
      </w:r>
    </w:p>
    <w:p>
      <w:pPr>
        <w:pStyle w:val="ListBullet"/>
      </w:pPr>
      <w:r>
        <w:t>docs/baltic_percid_overshoot_investigation_2026-08-02.md — measurements and eliminated hypotheses</w:t>
      </w:r>
    </w:p>
    <w:p>
      <w:pPr>
        <w:pStyle w:val="ListBullet"/>
      </w:pPr>
      <w:r>
        <w:t>docs/superpowers/specs/2026-08-02-percid-trophic-refactor-design.md — design</w:t>
      </w:r>
    </w:p>
    <w:p>
      <w:pPr>
        <w:pStyle w:val="ListBullet"/>
      </w:pPr>
      <w:r>
        <w:t>docs/superpowers/plans/2026-08-02-percid-trophic-refactor.md — implementation plan</w:t>
      </w:r>
    </w:p>
    <w:p>
      <w:pPr>
        <w:pStyle w:val="ListBullet"/>
      </w:pPr>
      <w:r>
        <w:t>docs/proposals/2026-08-02-percid-trophic-refactor.md — original proposal</w:t>
      </w:r>
    </w:p>
    <w:p>
      <w:pPr>
        <w:pStyle w:val="ListBullet"/>
      </w:pPr>
      <w:r>
        <w:t>docs/baltic_rv_gate_mechanism_ab_2026-08-02.md — related recruitment-gate measurement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