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Baltic OSMOSE Model — Calibration and Status Report</w:t>
      </w:r>
    </w:p>
    <w:p>
      <w:r>
        <w:rPr>
          <w:i/>
        </w:rPr>
        <w:t>Report of 2026-08-07, updated 2026-08-15 · OSMOSE Python engine (osmopy), 9-species Baltic configuration</w:t>
      </w:r>
    </w:p>
    <w:p>
      <w:r>
        <w:rPr>
          <w:b w:val="0"/>
          <w:i w:val="0"/>
        </w:rPr>
        <w:t>Marine Research Institute, Klaipėda University</w:t>
      </w:r>
    </w:p>
    <w:p>
      <w:pPr>
        <w:ind w:left="360"/>
      </w:pPr>
      <w:r>
        <w:rPr>
          <w:i/>
          <w:color w:val="555555"/>
          <w:sz w:val="19"/>
        </w:rPr>
        <w:t>Companion documents: 'Pikeperch Overshoot in the Baltic OSMOSE Configuration' (2026-08-03, updated 2026-08-06) for the full percid investigation, and the LITERATURE folder for the monthly literature alerts. This report is the compact status recap.</w:t>
      </w:r>
    </w:p>
    <w:p>
      <w:pPr>
        <w:pStyle w:val="Heading1"/>
      </w:pPr>
      <w:r>
        <w:rPr>
          <w:color w:val="1F3864"/>
        </w:rPr>
        <w:t>Executive summary</w:t>
      </w:r>
    </w:p>
    <w:p>
      <w:pPr>
        <w:pStyle w:val="ListBullet"/>
      </w:pPr>
      <w:r>
        <w:t>The current 9-species Baltic configuration certifies at 7 of 9 species inside their reference envelopes (50-year runs, five seeds, final-decade means). Under the new weight-aware verdict the headline is 5 of 5: every target backed by a real stock assessment is reproduced. The two failures — pikeperch (~58× over) and smelt (~5.7× over) — are the two lowest-confidence literature estimates in the reference file.</w:t>
      </w:r>
    </w:p>
    <w:p>
      <w:pPr>
        <w:pStyle w:val="ListBullet"/>
      </w:pPr>
      <w:r>
        <w:t>No species collapses at equilibrium. Earlier 'collapse' verdicts (as low as 2/9) were an artifact of a defective persistence criterion that measured the seeding bootstrap transient instead of the equilibrium; the criterion was corrected and all prior certification notes audited (2026-08-01).</w:t>
      </w:r>
    </w:p>
    <w:p>
      <w:pPr>
        <w:pStyle w:val="ListBullet"/>
      </w:pPr>
      <w:r>
        <w:t>The pikeperch overshoot investigation is concluded: the overshoot is structural and over-determined. Seven interventions across removal and production returned between −86% and +8% against a 58-fold gap, four intermediate explanations were withdrawn under scrutiny, and the biomass target itself was re-derived and retained — the gap is real, and this configuration cannot represent Baltic pikeperch at a defensible biomass on the current grid.</w:t>
      </w:r>
    </w:p>
    <w:p>
      <w:pPr>
        <w:pStyle w:val="ListBullet"/>
      </w:pPr>
      <w:r>
        <w:t>Cross-engine fidelity with the Java reference engine improved substantially: a prey-axis defect in the diet diagnostic was found and repaired (it had been reporting every predator as 100% piscivorous), along with mortality-rate, header-parsing and diet-normalisation parity fixes. The test suite stands at ~4,390 tests.</w:t>
      </w:r>
    </w:p>
    <w:p>
      <w:pPr>
        <w:pStyle w:val="ListBullet"/>
      </w:pPr>
      <w:r>
        <w:t>A trophic control on stickleback was identified and quantified: herring predation on stickleback eggs and young-of-year accounts for 55–63% of their early-stage mortality, while stickleback is only 0.038% of herring's diet. Shifting herring's spawning window by ±2 timesteps moves stickleback biomass by ∓20%. The finding is diagnostic — no parameter was changed, and the configuration re-certifies unchanged at 5 of 5 assessed.</w:t>
      </w:r>
    </w:p>
    <w:p>
      <w:pPr>
        <w:pStyle w:val="ListBullet"/>
      </w:pPr>
      <w:r>
        <w:t>Literature watch (2026-07-28 alert): upstream OSMOSE has been static at v4.4.1 for three consecutive months — the 4.4.x parity port now has a stable target. The most actionable new paper is Voss &amp; Quaas (2026) on temperature-dependent stock–recruitment for Western Baltic cod and herring. The ICES 2027 Baltic advice cycle is confirmed, so the reference envelopes for the pelagics have moved materially and need refreshing.</w:t>
      </w:r>
    </w:p>
    <w:p>
      <w:pPr>
        <w:pStyle w:val="Heading1"/>
      </w:pPr>
      <w:r>
        <w:rPr>
          <w:color w:val="1F3864"/>
        </w:rPr>
        <w:t>1. Configuration 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Component</w:t>
            </w:r>
          </w:p>
        </w:tc>
        <w:tc>
          <w:tcPr>
            <w:tcW w:type="dxa" w:w="4320"/>
          </w:tcPr>
          <w:p>
            <w:r/>
            <w:r>
              <w:rPr>
                <w:b/>
                <w:sz w:val="19"/>
              </w:rPr>
              <w:t>Value</w:t>
            </w:r>
          </w:p>
        </w:tc>
      </w:tr>
      <w:tr>
        <w:tc>
          <w:tcPr>
            <w:tcW w:type="dxa" w:w="4320"/>
          </w:tcPr>
          <w:p>
            <w:r/>
            <w:r>
              <w:rPr>
                <w:sz w:val="19"/>
              </w:rPr>
              <w:t>Focal species (9)</w:t>
            </w:r>
          </w:p>
        </w:tc>
        <w:tc>
          <w:tcPr>
            <w:tcW w:type="dxa" w:w="4320"/>
          </w:tcPr>
          <w:p>
            <w:r/>
            <w:r>
              <w:rPr>
                <w:sz w:val="19"/>
              </w:rPr>
              <w:t>cod_west, cod_east (disaggregated 2026-07-25), herring, sprat, flounder, perch, pikeperch, smelt, stickleback</w:t>
            </w:r>
          </w:p>
        </w:tc>
      </w:tr>
      <w:tr>
        <w:tc>
          <w:tcPr>
            <w:tcW w:type="dxa" w:w="4320"/>
          </w:tcPr>
          <w:p>
            <w:r/>
            <w:r>
              <w:rPr>
                <w:sz w:val="19"/>
              </w:rPr>
              <w:t>Background predators</w:t>
            </w:r>
          </w:p>
        </w:tc>
        <w:tc>
          <w:tcPr>
            <w:tcW w:type="dxa" w:w="4320"/>
          </w:tcPr>
          <w:p>
            <w:r/>
            <w:r>
              <w:rPr>
                <w:sz w:val="19"/>
              </w:rPr>
              <w:t>grey seal, cormorant</w:t>
            </w:r>
          </w:p>
        </w:tc>
      </w:tr>
      <w:tr>
        <w:tc>
          <w:tcPr>
            <w:tcW w:type="dxa" w:w="4320"/>
          </w:tcPr>
          <w:p>
            <w:r/>
            <w:r>
              <w:rPr>
                <w:sz w:val="19"/>
              </w:rPr>
              <w:t>LTL resource groups (6)</w:t>
            </w:r>
          </w:p>
        </w:tc>
        <w:tc>
          <w:tcPr>
            <w:tcW w:type="dxa" w:w="4320"/>
          </w:tcPr>
          <w:p>
            <w:r/>
            <w:r>
              <w:rPr>
                <w:sz w:val="19"/>
              </w:rPr>
              <w:t>diatoms, dinoflagellates, micro-/meso-/macrozooplankton, benthos</w:t>
            </w:r>
          </w:p>
        </w:tc>
      </w:tr>
      <w:tr>
        <w:tc>
          <w:tcPr>
            <w:tcW w:type="dxa" w:w="4320"/>
          </w:tcPr>
          <w:p>
            <w:r/>
            <w:r>
              <w:rPr>
                <w:sz w:val="19"/>
              </w:rPr>
              <w:t>Domain</w:t>
            </w:r>
          </w:p>
        </w:tc>
        <w:tc>
          <w:tcPr>
            <w:tcW w:type="dxa" w:w="4320"/>
          </w:tcPr>
          <w:p>
            <w:r/>
            <w:r>
              <w:rPr>
                <w:sz w:val="19"/>
              </w:rPr>
              <w:t>whole Baltic model domain (10–30°E, 54–66°N), 593 active cells</w:t>
            </w:r>
          </w:p>
        </w:tc>
      </w:tr>
      <w:tr>
        <w:tc>
          <w:tcPr>
            <w:tcW w:type="dxa" w:w="4320"/>
          </w:tcPr>
          <w:p>
            <w:r/>
            <w:r>
              <w:rPr>
                <w:sz w:val="19"/>
              </w:rPr>
              <w:t>Forcing</w:t>
            </w:r>
          </w:p>
        </w:tc>
        <w:tc>
          <w:tcPr>
            <w:tcW w:type="dxa" w:w="4320"/>
          </w:tcPr>
          <w:p>
            <w:r/>
            <w:r>
              <w:rPr>
                <w:sz w:val="19"/>
              </w:rPr>
              <w:t>CMEMS-derived LTL biomass and physics</w:t>
            </w:r>
          </w:p>
        </w:tc>
      </w:tr>
      <w:tr>
        <w:tc>
          <w:tcPr>
            <w:tcW w:type="dxa" w:w="4320"/>
          </w:tcPr>
          <w:p>
            <w:r/>
            <w:r>
              <w:rPr>
                <w:sz w:val="19"/>
              </w:rPr>
              <w:t>Engines</w:t>
            </w:r>
          </w:p>
        </w:tc>
        <w:tc>
          <w:tcPr>
            <w:tcW w:type="dxa" w:w="4320"/>
          </w:tcPr>
          <w:p>
            <w:r/>
            <w:r>
              <w:rPr>
                <w:sz w:val="19"/>
              </w:rPr>
              <w:t>pure-Python (NumPy/Numba, full Java parity: 14/14 EEC, 8/8 Bay of Biscay) and Java OSMOSE via subprocess</w:t>
            </w:r>
          </w:p>
        </w:tc>
      </w:tr>
      <w:tr>
        <w:tc>
          <w:tcPr>
            <w:tcW w:type="dxa" w:w="4320"/>
          </w:tcPr>
          <w:p>
            <w:r/>
            <w:r>
              <w:rPr>
                <w:sz w:val="19"/>
              </w:rPr>
              <w:t>Certification protocol</w:t>
            </w:r>
          </w:p>
        </w:tc>
        <w:tc>
          <w:tcPr>
            <w:tcW w:type="dxa" w:w="4320"/>
          </w:tcPr>
          <w:p>
            <w:r/>
            <w:r>
              <w:rPr>
                <w:sz w:val="19"/>
              </w:rPr>
              <w:t>scripts/baltic_stability_certify.py — 50-year runs, seeds [42, 123, 7, 999, 2024], final-decade means vs data/baltic/reference/biomass_targets.csv</w:t>
            </w:r>
          </w:p>
        </w:tc>
      </w:tr>
    </w:tbl>
    <w:p/>
    <w:p>
      <w:pPr>
        <w:pStyle w:val="Heading1"/>
      </w:pPr>
      <w:r>
        <w:rPr>
          <w:color w:val="1F3864"/>
        </w:rPr>
        <w:t>2. Certification status (current configuration)</w:t>
      </w:r>
    </w:p>
    <w:p>
      <w:r>
        <w:rPr>
          <w:b w:val="0"/>
          <w:i w:val="0"/>
        </w:rPr>
        <w:t>Final-decade mean biomass against the reference envelopes. Weights are the confidence weights carried in the reference file (1.0 = category-1 ICES assessment, 0.5 = medium, 0.2–0.3 = literature estimate poorly resolved at grid scale).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Species</w:t>
            </w:r>
          </w:p>
        </w:tc>
        <w:tc>
          <w:tcPr>
            <w:tcW w:type="dxa" w:w="1440"/>
          </w:tcPr>
          <w:p>
            <w:r/>
            <w:r>
              <w:rPr>
                <w:b/>
                <w:sz w:val="19"/>
              </w:rPr>
              <w:t>Mean (t)</w:t>
            </w:r>
          </w:p>
        </w:tc>
        <w:tc>
          <w:tcPr>
            <w:tcW w:type="dxa" w:w="1440"/>
          </w:tcPr>
          <w:p>
            <w:r/>
            <w:r>
              <w:rPr>
                <w:b/>
                <w:sz w:val="19"/>
              </w:rPr>
              <w:t>Envelope (t)</w:t>
            </w:r>
          </w:p>
        </w:tc>
        <w:tc>
          <w:tcPr>
            <w:tcW w:type="dxa" w:w="1440"/>
          </w:tcPr>
          <w:p>
            <w:r/>
            <w:r>
              <w:rPr>
                <w:b/>
                <w:sz w:val="19"/>
              </w:rPr>
              <w:t>Weight</w:t>
            </w:r>
          </w:p>
        </w:tc>
        <w:tc>
          <w:tcPr>
            <w:tcW w:type="dxa" w:w="1440"/>
          </w:tcPr>
          <w:p>
            <w:r/>
            <w:r>
              <w:rPr>
                <w:b/>
                <w:sz w:val="19"/>
              </w:rPr>
              <w:t>Tier</w:t>
            </w:r>
          </w:p>
        </w:tc>
        <w:tc>
          <w:tcPr>
            <w:tcW w:type="dxa" w:w="1440"/>
          </w:tcPr>
          <w:p>
            <w:r/>
            <w:r>
              <w:rPr>
                <w:b/>
                <w:sz w:val="19"/>
              </w:rPr>
              <w:t>Status</w:t>
            </w:r>
          </w:p>
        </w:tc>
      </w:tr>
      <w:tr>
        <w:tc>
          <w:tcPr>
            <w:tcW w:type="dxa" w:w="1440"/>
          </w:tcPr>
          <w:p>
            <w:r/>
            <w:r>
              <w:rPr>
                <w:sz w:val="19"/>
              </w:rPr>
              <w:t>cod_west</w:t>
            </w:r>
          </w:p>
        </w:tc>
        <w:tc>
          <w:tcPr>
            <w:tcW w:type="dxa" w:w="1440"/>
          </w:tcPr>
          <w:p>
            <w:r/>
            <w:r>
              <w:rPr>
                <w:sz w:val="19"/>
              </w:rPr>
              <w:t>~14,000</w:t>
            </w:r>
          </w:p>
        </w:tc>
        <w:tc>
          <w:tcPr>
            <w:tcW w:type="dxa" w:w="1440"/>
          </w:tcPr>
          <w:p>
            <w:r/>
            <w:r>
              <w:rPr>
                <w:sz w:val="19"/>
              </w:rPr>
              <w:t>4,000 – 25,000</w:t>
            </w:r>
          </w:p>
        </w:tc>
        <w:tc>
          <w:tcPr>
            <w:tcW w:type="dxa" w:w="1440"/>
          </w:tcPr>
          <w:p>
            <w:r/>
            <w:r>
              <w:rPr>
                <w:sz w:val="19"/>
              </w:rPr>
              <w:t>1.0</w:t>
            </w:r>
          </w:p>
        </w:tc>
        <w:tc>
          <w:tcPr>
            <w:tcW w:type="dxa" w:w="1440"/>
          </w:tcPr>
          <w:p>
            <w:r/>
            <w:r>
              <w:rPr>
                <w:sz w:val="19"/>
              </w:rPr>
              <w:t>assessed</w:t>
            </w:r>
          </w:p>
        </w:tc>
        <w:tc>
          <w:tcPr>
            <w:tcW w:type="dxa" w:w="1440"/>
          </w:tcPr>
          <w:p>
            <w:r/>
            <w:r>
              <w:rPr>
                <w:sz w:val="19"/>
              </w:rPr>
              <w:t>PASS</w:t>
            </w:r>
          </w:p>
        </w:tc>
      </w:tr>
      <w:tr>
        <w:tc>
          <w:tcPr>
            <w:tcW w:type="dxa" w:w="1440"/>
          </w:tcPr>
          <w:p>
            <w:r/>
            <w:r>
              <w:rPr>
                <w:sz w:val="19"/>
              </w:rPr>
              <w:t>cod_east</w:t>
            </w:r>
          </w:p>
        </w:tc>
        <w:tc>
          <w:tcPr>
            <w:tcW w:type="dxa" w:w="1440"/>
          </w:tcPr>
          <w:p>
            <w:r/>
            <w:r>
              <w:rPr>
                <w:sz w:val="19"/>
              </w:rPr>
              <w:t>83,122</w:t>
            </w:r>
          </w:p>
        </w:tc>
        <w:tc>
          <w:tcPr>
            <w:tcW w:type="dxa" w:w="1440"/>
          </w:tcPr>
          <w:p>
            <w:r/>
            <w:r>
              <w:rPr>
                <w:sz w:val="19"/>
              </w:rPr>
              <w:t>60,000 – 85,000</w:t>
            </w:r>
          </w:p>
        </w:tc>
        <w:tc>
          <w:tcPr>
            <w:tcW w:type="dxa" w:w="1440"/>
          </w:tcPr>
          <w:p>
            <w:r/>
            <w:r>
              <w:rPr>
                <w:sz w:val="19"/>
              </w:rPr>
              <w:t>1.0</w:t>
            </w:r>
          </w:p>
        </w:tc>
        <w:tc>
          <w:tcPr>
            <w:tcW w:type="dxa" w:w="1440"/>
          </w:tcPr>
          <w:p>
            <w:r/>
            <w:r>
              <w:rPr>
                <w:sz w:val="19"/>
              </w:rPr>
              <w:t>assessed</w:t>
            </w:r>
          </w:p>
        </w:tc>
        <w:tc>
          <w:tcPr>
            <w:tcW w:type="dxa" w:w="1440"/>
          </w:tcPr>
          <w:p>
            <w:r/>
            <w:r>
              <w:rPr>
                <w:sz w:val="19"/>
              </w:rPr>
              <w:t>PASS (2.3% headroom)</w:t>
            </w:r>
          </w:p>
        </w:tc>
      </w:tr>
      <w:tr>
        <w:tc>
          <w:tcPr>
            <w:tcW w:type="dxa" w:w="1440"/>
          </w:tcPr>
          <w:p>
            <w:r/>
            <w:r>
              <w:rPr>
                <w:sz w:val="19"/>
              </w:rPr>
              <w:t>herring</w:t>
            </w:r>
          </w:p>
        </w:tc>
        <w:tc>
          <w:tcPr>
            <w:tcW w:type="dxa" w:w="1440"/>
          </w:tcPr>
          <w:p>
            <w:r/>
            <w:r>
              <w:rPr>
                <w:sz w:val="19"/>
              </w:rPr>
              <w:t>2,600,112</w:t>
            </w:r>
          </w:p>
        </w:tc>
        <w:tc>
          <w:tcPr>
            <w:tcW w:type="dxa" w:w="1440"/>
          </w:tcPr>
          <w:p>
            <w:r/>
            <w:r>
              <w:rPr>
                <w:sz w:val="19"/>
              </w:rPr>
              <w:t>800,000 – 3,000,000</w:t>
            </w:r>
          </w:p>
        </w:tc>
        <w:tc>
          <w:tcPr>
            <w:tcW w:type="dxa" w:w="1440"/>
          </w:tcPr>
          <w:p>
            <w:r/>
            <w:r>
              <w:rPr>
                <w:sz w:val="19"/>
              </w:rPr>
              <w:t>1.0</w:t>
            </w:r>
          </w:p>
        </w:tc>
        <w:tc>
          <w:tcPr>
            <w:tcW w:type="dxa" w:w="1440"/>
          </w:tcPr>
          <w:p>
            <w:r/>
            <w:r>
              <w:rPr>
                <w:sz w:val="19"/>
              </w:rPr>
              <w:t>assessed</w:t>
            </w:r>
          </w:p>
        </w:tc>
        <w:tc>
          <w:tcPr>
            <w:tcW w:type="dxa" w:w="1440"/>
          </w:tcPr>
          <w:p>
            <w:r/>
            <w:r>
              <w:rPr>
                <w:sz w:val="19"/>
              </w:rPr>
              <w:t>PASS</w:t>
            </w:r>
          </w:p>
        </w:tc>
      </w:tr>
      <w:tr>
        <w:tc>
          <w:tcPr>
            <w:tcW w:type="dxa" w:w="1440"/>
          </w:tcPr>
          <w:p>
            <w:r/>
            <w:r>
              <w:rPr>
                <w:sz w:val="19"/>
              </w:rPr>
              <w:t>sprat</w:t>
            </w:r>
          </w:p>
        </w:tc>
        <w:tc>
          <w:tcPr>
            <w:tcW w:type="dxa" w:w="1440"/>
          </w:tcPr>
          <w:p>
            <w:r/>
            <w:r>
              <w:rPr>
                <w:sz w:val="19"/>
              </w:rPr>
              <w:t>1,059,941</w:t>
            </w:r>
          </w:p>
        </w:tc>
        <w:tc>
          <w:tcPr>
            <w:tcW w:type="dxa" w:w="1440"/>
          </w:tcPr>
          <w:p>
            <w:r/>
            <w:r>
              <w:rPr>
                <w:sz w:val="19"/>
              </w:rPr>
              <w:t>800,000 – 2,500,000</w:t>
            </w:r>
          </w:p>
        </w:tc>
        <w:tc>
          <w:tcPr>
            <w:tcW w:type="dxa" w:w="1440"/>
          </w:tcPr>
          <w:p>
            <w:r/>
            <w:r>
              <w:rPr>
                <w:sz w:val="19"/>
              </w:rPr>
              <w:t>1.0</w:t>
            </w:r>
          </w:p>
        </w:tc>
        <w:tc>
          <w:tcPr>
            <w:tcW w:type="dxa" w:w="1440"/>
          </w:tcPr>
          <w:p>
            <w:r/>
            <w:r>
              <w:rPr>
                <w:sz w:val="19"/>
              </w:rPr>
              <w:t>assessed</w:t>
            </w:r>
          </w:p>
        </w:tc>
        <w:tc>
          <w:tcPr>
            <w:tcW w:type="dxa" w:w="1440"/>
          </w:tcPr>
          <w:p>
            <w:r/>
            <w:r>
              <w:rPr>
                <w:sz w:val="19"/>
              </w:rPr>
              <w:t>PASS</w:t>
            </w:r>
          </w:p>
        </w:tc>
      </w:tr>
      <w:tr>
        <w:tc>
          <w:tcPr>
            <w:tcW w:type="dxa" w:w="1440"/>
          </w:tcPr>
          <w:p>
            <w:r/>
            <w:r>
              <w:rPr>
                <w:sz w:val="19"/>
              </w:rPr>
              <w:t>flounder</w:t>
            </w:r>
          </w:p>
        </w:tc>
        <w:tc>
          <w:tcPr>
            <w:tcW w:type="dxa" w:w="1440"/>
          </w:tcPr>
          <w:p>
            <w:r/>
            <w:r>
              <w:rPr>
                <w:sz w:val="19"/>
              </w:rPr>
              <w:t>~44,900</w:t>
            </w:r>
          </w:p>
        </w:tc>
        <w:tc>
          <w:tcPr>
            <w:tcW w:type="dxa" w:w="1440"/>
          </w:tcPr>
          <w:p>
            <w:r/>
            <w:r>
              <w:rPr>
                <w:sz w:val="19"/>
              </w:rPr>
              <w:t>20,000 – 100,000</w:t>
            </w:r>
          </w:p>
        </w:tc>
        <w:tc>
          <w:tcPr>
            <w:tcW w:type="dxa" w:w="1440"/>
          </w:tcPr>
          <w:p>
            <w:r/>
            <w:r>
              <w:rPr>
                <w:sz w:val="19"/>
              </w:rPr>
              <w:t>0.5</w:t>
            </w:r>
          </w:p>
        </w:tc>
        <w:tc>
          <w:tcPr>
            <w:tcW w:type="dxa" w:w="1440"/>
          </w:tcPr>
          <w:p>
            <w:r/>
            <w:r>
              <w:rPr>
                <w:sz w:val="19"/>
              </w:rPr>
              <w:t>assessed</w:t>
            </w:r>
          </w:p>
        </w:tc>
        <w:tc>
          <w:tcPr>
            <w:tcW w:type="dxa" w:w="1440"/>
          </w:tcPr>
          <w:p>
            <w:r/>
            <w:r>
              <w:rPr>
                <w:sz w:val="19"/>
              </w:rPr>
              <w:t>PASS</w:t>
            </w:r>
          </w:p>
        </w:tc>
      </w:tr>
      <w:tr>
        <w:tc>
          <w:tcPr>
            <w:tcW w:type="dxa" w:w="1440"/>
          </w:tcPr>
          <w:p>
            <w:r/>
            <w:r>
              <w:rPr>
                <w:sz w:val="19"/>
              </w:rPr>
              <w:t>perch</w:t>
            </w:r>
          </w:p>
        </w:tc>
        <w:tc>
          <w:tcPr>
            <w:tcW w:type="dxa" w:w="1440"/>
          </w:tcPr>
          <w:p>
            <w:r/>
            <w:r>
              <w:rPr>
                <w:sz w:val="19"/>
              </w:rPr>
              <w:t>45,382</w:t>
            </w:r>
          </w:p>
        </w:tc>
        <w:tc>
          <w:tcPr>
            <w:tcW w:type="dxa" w:w="1440"/>
          </w:tcPr>
          <w:p>
            <w:r/>
            <w:r>
              <w:rPr>
                <w:sz w:val="19"/>
              </w:rPr>
              <w:t>8,000 – 50,000</w:t>
            </w:r>
          </w:p>
        </w:tc>
        <w:tc>
          <w:tcPr>
            <w:tcW w:type="dxa" w:w="1440"/>
          </w:tcPr>
          <w:p>
            <w:r/>
            <w:r>
              <w:rPr>
                <w:sz w:val="19"/>
              </w:rPr>
              <w:t>0.2</w:t>
            </w:r>
          </w:p>
        </w:tc>
        <w:tc>
          <w:tcPr>
            <w:tcW w:type="dxa" w:w="1440"/>
          </w:tcPr>
          <w:p>
            <w:r/>
            <w:r>
              <w:rPr>
                <w:sz w:val="19"/>
              </w:rPr>
              <w:t>indicative</w:t>
            </w:r>
          </w:p>
        </w:tc>
        <w:tc>
          <w:tcPr>
            <w:tcW w:type="dxa" w:w="1440"/>
          </w:tcPr>
          <w:p>
            <w:r/>
            <w:r>
              <w:rPr>
                <w:sz w:val="19"/>
              </w:rPr>
              <w:t>PASS</w:t>
            </w:r>
          </w:p>
        </w:tc>
      </w:tr>
      <w:tr>
        <w:tc>
          <w:tcPr>
            <w:tcW w:type="dxa" w:w="1440"/>
          </w:tcPr>
          <w:p>
            <w:r/>
            <w:r>
              <w:rPr>
                <w:sz w:val="19"/>
              </w:rPr>
              <w:t>pikeperch</w:t>
            </w:r>
          </w:p>
        </w:tc>
        <w:tc>
          <w:tcPr>
            <w:tcW w:type="dxa" w:w="1440"/>
          </w:tcPr>
          <w:p>
            <w:r/>
            <w:r>
              <w:rPr>
                <w:sz w:val="19"/>
              </w:rPr>
              <w:t>1,453,313</w:t>
            </w:r>
          </w:p>
        </w:tc>
        <w:tc>
          <w:tcPr>
            <w:tcW w:type="dxa" w:w="1440"/>
          </w:tcPr>
          <w:p>
            <w:r/>
            <w:r>
              <w:rPr>
                <w:sz w:val="19"/>
              </w:rPr>
              <w:t>4,000 – 25,000</w:t>
            </w:r>
          </w:p>
        </w:tc>
        <w:tc>
          <w:tcPr>
            <w:tcW w:type="dxa" w:w="1440"/>
          </w:tcPr>
          <w:p>
            <w:r/>
            <w:r>
              <w:rPr>
                <w:sz w:val="19"/>
              </w:rPr>
              <w:t>0.2</w:t>
            </w:r>
          </w:p>
        </w:tc>
        <w:tc>
          <w:tcPr>
            <w:tcW w:type="dxa" w:w="1440"/>
          </w:tcPr>
          <w:p>
            <w:r/>
            <w:r>
              <w:rPr>
                <w:sz w:val="19"/>
              </w:rPr>
              <w:t>indicative</w:t>
            </w:r>
          </w:p>
        </w:tc>
        <w:tc>
          <w:tcPr>
            <w:tcW w:type="dxa" w:w="1440"/>
          </w:tcPr>
          <w:p>
            <w:r/>
            <w:r>
              <w:rPr>
                <w:sz w:val="19"/>
              </w:rPr>
              <w:t>FAIL (~58× over)</w:t>
            </w:r>
          </w:p>
        </w:tc>
      </w:tr>
      <w:tr>
        <w:tc>
          <w:tcPr>
            <w:tcW w:type="dxa" w:w="1440"/>
          </w:tcPr>
          <w:p>
            <w:r/>
            <w:r>
              <w:rPr>
                <w:sz w:val="19"/>
              </w:rPr>
              <w:t>smelt</w:t>
            </w:r>
          </w:p>
        </w:tc>
        <w:tc>
          <w:tcPr>
            <w:tcW w:type="dxa" w:w="1440"/>
          </w:tcPr>
          <w:p>
            <w:r/>
            <w:r>
              <w:rPr>
                <w:sz w:val="19"/>
              </w:rPr>
              <w:t>680,125</w:t>
            </w:r>
          </w:p>
        </w:tc>
        <w:tc>
          <w:tcPr>
            <w:tcW w:type="dxa" w:w="1440"/>
          </w:tcPr>
          <w:p>
            <w:r/>
            <w:r>
              <w:rPr>
                <w:sz w:val="19"/>
              </w:rPr>
              <w:t>20,000 – 120,000</w:t>
            </w:r>
          </w:p>
        </w:tc>
        <w:tc>
          <w:tcPr>
            <w:tcW w:type="dxa" w:w="1440"/>
          </w:tcPr>
          <w:p>
            <w:r/>
            <w:r>
              <w:rPr>
                <w:sz w:val="19"/>
              </w:rPr>
              <w:t>0.3</w:t>
            </w:r>
          </w:p>
        </w:tc>
        <w:tc>
          <w:tcPr>
            <w:tcW w:type="dxa" w:w="1440"/>
          </w:tcPr>
          <w:p>
            <w:r/>
            <w:r>
              <w:rPr>
                <w:sz w:val="19"/>
              </w:rPr>
              <w:t>indicative</w:t>
            </w:r>
          </w:p>
        </w:tc>
        <w:tc>
          <w:tcPr>
            <w:tcW w:type="dxa" w:w="1440"/>
          </w:tcPr>
          <w:p>
            <w:r/>
            <w:r>
              <w:rPr>
                <w:sz w:val="19"/>
              </w:rPr>
              <w:t>FAIL (~5.7× over)</w:t>
            </w:r>
          </w:p>
        </w:tc>
      </w:tr>
      <w:tr>
        <w:tc>
          <w:tcPr>
            <w:tcW w:type="dxa" w:w="1440"/>
          </w:tcPr>
          <w:p>
            <w:r/>
            <w:r>
              <w:rPr>
                <w:sz w:val="19"/>
              </w:rPr>
              <w:t>stickleback</w:t>
            </w:r>
          </w:p>
        </w:tc>
        <w:tc>
          <w:tcPr>
            <w:tcW w:type="dxa" w:w="1440"/>
          </w:tcPr>
          <w:p>
            <w:r/>
            <w:r>
              <w:rPr>
                <w:sz w:val="19"/>
              </w:rPr>
              <w:t>80,159</w:t>
            </w:r>
          </w:p>
        </w:tc>
        <w:tc>
          <w:tcPr>
            <w:tcW w:type="dxa" w:w="1440"/>
          </w:tcPr>
          <w:p>
            <w:r/>
            <w:r>
              <w:rPr>
                <w:sz w:val="19"/>
              </w:rPr>
              <w:t>50,000 – 500,000</w:t>
            </w:r>
          </w:p>
        </w:tc>
        <w:tc>
          <w:tcPr>
            <w:tcW w:type="dxa" w:w="1440"/>
          </w:tcPr>
          <w:p>
            <w:r/>
            <w:r>
              <w:rPr>
                <w:sz w:val="19"/>
              </w:rPr>
              <w:t>0.2</w:t>
            </w:r>
          </w:p>
        </w:tc>
        <w:tc>
          <w:tcPr>
            <w:tcW w:type="dxa" w:w="1440"/>
          </w:tcPr>
          <w:p>
            <w:r/>
            <w:r>
              <w:rPr>
                <w:sz w:val="19"/>
              </w:rPr>
              <w:t>indicative</w:t>
            </w:r>
          </w:p>
        </w:tc>
        <w:tc>
          <w:tcPr>
            <w:tcW w:type="dxa" w:w="1440"/>
          </w:tcPr>
          <w:p>
            <w:r/>
            <w:r>
              <w:rPr>
                <w:sz w:val="19"/>
              </w:rPr>
              <w:t>PASS</w:t>
            </w:r>
          </w:p>
        </w:tc>
      </w:tr>
    </w:tbl>
    <w:p/>
    <w:p>
      <w:r>
        <w:rPr>
          <w:b/>
          <w:i w:val="0"/>
        </w:rPr>
        <w:t>Verdicts: assessed tier 5/5 PASS (the weight-aware headline) · all-species 7/9 (retained as the legacy figure for comparability with earlier notes) · indicative tier 2/4.</w:t>
      </w:r>
    </w:p>
    <w:p>
      <w:pPr>
        <w:ind w:left="360"/>
      </w:pPr>
      <w:r>
        <w:rPr>
          <w:i/>
          <w:color w:val="555555"/>
          <w:sz w:val="19"/>
        </w:rPr>
        <w:t>Means are quoted from the five-seed certification where available and from single-seed diagnostic runs otherwise (cod_west, flounder are approximate mid-range values). cod_east is the tightest stock in the system at 2.3% headroom to its upper bound.</w:t>
      </w:r>
    </w:p>
    <w:p>
      <w:r>
        <w:rPr>
          <w:b w:val="0"/>
          <w:i w:val="0"/>
        </w:rPr>
        <w:t>The certifier became weight-aware on 2026-08-06: it now reads the confidence weight column from the reference file itself and reports assessed and indicative tiers separately, with the former all-species count retained as a labelled legacy figure. Eleven regression tests pin the behaviour. Previously all nine species were scored identically, which made the headline verdict substantially a statement about the two weakest targets rather than about the model.</w:t>
      </w:r>
    </w:p>
    <w:p>
      <w:pPr>
        <w:pStyle w:val="Heading1"/>
      </w:pPr>
      <w:r>
        <w:rPr>
          <w:color w:val="1F3864"/>
        </w:rPr>
        <w:t>3. The persistence-criterion audit (2026-08-01)</w:t>
      </w:r>
    </w:p>
    <w:p>
      <w:r>
        <w:rPr>
          <w:b w:val="0"/>
          <w:i w:val="0"/>
        </w:rPr>
        <w:t>The certifier's 'persists' criterion used the whole-run biomass minimum, which on the Baltic is dominated by the deep transient dip of the seeding bootstrap, while the 'in-envelope' criterion has always used the final-decade mean — the two halves of every verdict described different windows. Commit 556ba3d rescoped 'persists' to the final decade.</w:t>
      </w:r>
    </w:p>
    <w:p>
      <w:pPr>
        <w:pStyle w:val="ListBullet"/>
      </w:pPr>
      <w:r>
        <w:t>Every prior certification note was audited: rows reading 'persists ✗' with 'in-envelope ✓' are bootstrap artifacts, not collapses. The same five stocks recur in every affected note: cod (both stocks after disaggregation), sprat, flounder, perch.</w:t>
      </w:r>
    </w:p>
    <w:p>
      <w:pPr>
        <w:pStyle w:val="ListBullet"/>
      </w:pPr>
      <w:r>
        <w:t>Under the corrected criterion the current configuration moved from a reported 2/9 to 7/9, and the 8-species pre-disaggregation baseline re-certified at 5/8 — in both cases the persist set now coincides with the in-envelope set, so no species collapses at equilibrium.</w:t>
      </w:r>
    </w:p>
    <w:p>
      <w:pPr>
        <w:pStyle w:val="ListBullet"/>
      </w:pPr>
      <w:r>
        <w:t>An artifactual signal does not mean the decision it prompted was wrong. cod_east's natural mortality was lowered from M = 1.2546 to M = 0.9 partly on the faulty flag; the revert was tested and rejected — at the original M the stock does not collapse but settles ~5.6× below its ICES envelope (final-decade mean ~14.5–15.1 kt against 60–85 kt). M = 0.9 stands on the mean, independent of the flag that prompted it.</w:t>
      </w:r>
    </w:p>
    <w:p>
      <w:pPr>
        <w:pStyle w:val="ListBullet"/>
      </w:pPr>
      <w:r>
        <w:t>Decisions citing a persistence flag are being re-tested individually; configs behind older notes should be re-certified under the corrected criterion before their persistence verdicts are cited.</w:t>
      </w:r>
    </w:p>
    <w:p>
      <w:pPr>
        <w:pStyle w:val="Heading1"/>
      </w:pPr>
      <w:r>
        <w:rPr>
          <w:color w:val="1F3864"/>
        </w:rPr>
        <w:t>4. Calibration timeline (July–August 2026)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When</w:t>
            </w:r>
          </w:p>
        </w:tc>
        <w:tc>
          <w:tcPr>
            <w:tcW w:type="dxa" w:w="2880"/>
          </w:tcPr>
          <w:p>
            <w:r/>
            <w:r>
              <w:rPr>
                <w:b/>
                <w:sz w:val="19"/>
              </w:rPr>
              <w:t>Step</w:t>
            </w:r>
          </w:p>
        </w:tc>
        <w:tc>
          <w:tcPr>
            <w:tcW w:type="dxa" w:w="2880"/>
          </w:tcPr>
          <w:p>
            <w:r/>
            <w:r>
              <w:rPr>
                <w:b/>
                <w:sz w:val="19"/>
              </w:rPr>
              <w:t>Outcome</w:t>
            </w:r>
          </w:p>
        </w:tc>
      </w:tr>
      <w:tr>
        <w:tc>
          <w:tcPr>
            <w:tcW w:type="dxa" w:w="2880"/>
          </w:tcPr>
          <w:p>
            <w:r/>
            <w:r>
              <w:rPr>
                <w:sz w:val="19"/>
              </w:rPr>
              <w:t>2026-07-21</w:t>
            </w:r>
          </w:p>
        </w:tc>
        <w:tc>
          <w:tcPr>
            <w:tcW w:type="dxa" w:w="2880"/>
          </w:tcPr>
          <w:p>
            <w:r/>
            <w:r>
              <w:rPr>
                <w:sz w:val="19"/>
              </w:rPr>
              <w:t>Baseline calibration (NSGA-II + GP surrogate, SALib sensitivity)</w:t>
            </w:r>
          </w:p>
        </w:tc>
        <w:tc>
          <w:tcPr>
            <w:tcW w:type="dxa" w:w="2880"/>
          </w:tcPr>
          <w:p>
            <w:r/>
            <w:r>
              <w:rPr>
                <w:sz w:val="19"/>
              </w:rPr>
              <w:t>8-species baseline, 5/8 in envelope; β-identifiability r² = 0.10–0.99</w:t>
            </w:r>
          </w:p>
        </w:tc>
      </w:tr>
      <w:tr>
        <w:tc>
          <w:tcPr>
            <w:tcW w:type="dxa" w:w="2880"/>
          </w:tcPr>
          <w:p>
            <w:r/>
            <w:r>
              <w:rPr>
                <w:sz w:val="19"/>
              </w:rPr>
              <w:t>2026-07-25</w:t>
            </w:r>
          </w:p>
        </w:tc>
        <w:tc>
          <w:tcPr>
            <w:tcW w:type="dxa" w:w="2880"/>
          </w:tcPr>
          <w:p>
            <w:r/>
            <w:r>
              <w:rPr>
                <w:sz w:val="19"/>
              </w:rPr>
              <w:t>Cod east/west disaggregation (Phase 1)</w:t>
            </w:r>
          </w:p>
        </w:tc>
        <w:tc>
          <w:tcPr>
            <w:tcW w:type="dxa" w:w="2880"/>
          </w:tcPr>
          <w:p>
            <w:r/>
            <w:r>
              <w:rPr>
                <w:sz w:val="19"/>
              </w:rPr>
              <w:t>cod split into cod_west (sp0) + cod_east (sp8) with name-labelled 15×15 predation matrices; joint recalibration hit an apex-predation bottleneck and the split was retained as a flagged configuration change rather than a refit</w:t>
            </w:r>
          </w:p>
        </w:tc>
      </w:tr>
      <w:tr>
        <w:tc>
          <w:tcPr>
            <w:tcW w:type="dxa" w:w="2880"/>
          </w:tcPr>
          <w:p>
            <w:r/>
            <w:r>
              <w:rPr>
                <w:sz w:val="19"/>
              </w:rPr>
              <w:t>2026-07-28</w:t>
            </w:r>
          </w:p>
        </w:tc>
        <w:tc>
          <w:tcPr>
            <w:tcW w:type="dxa" w:w="2880"/>
          </w:tcPr>
          <w:p>
            <w:r/>
            <w:r>
              <w:rPr>
                <w:sz w:val="19"/>
              </w:rPr>
              <w:t>Realistic percid removals</w:t>
            </w:r>
          </w:p>
        </w:tc>
        <w:tc>
          <w:tcPr>
            <w:tcW w:type="dxa" w:w="2880"/>
          </w:tcPr>
          <w:p>
            <w:r/>
            <w:r>
              <w:rPr>
                <w:sz w:val="19"/>
              </w:rPr>
              <w:t>percid fishing mortality (~44–46 kt total removals) plus cormorant predation close perch to its envelope; certified at five seeds with no regression</w:t>
            </w:r>
          </w:p>
        </w:tc>
      </w:tr>
      <w:tr>
        <w:tc>
          <w:tcPr>
            <w:tcW w:type="dxa" w:w="2880"/>
          </w:tcPr>
          <w:p>
            <w:r/>
            <w:r>
              <w:rPr>
                <w:sz w:val="19"/>
              </w:rPr>
              <w:t>2026-07-28</w:t>
            </w:r>
          </w:p>
        </w:tc>
        <w:tc>
          <w:tcPr>
            <w:tcW w:type="dxa" w:w="2880"/>
          </w:tcPr>
          <w:p>
            <w:r/>
            <w:r>
              <w:rPr>
                <w:sz w:val="19"/>
              </w:rPr>
              <w:t>cod_east M correction</w:t>
            </w:r>
          </w:p>
        </w:tc>
        <w:tc>
          <w:tcPr>
            <w:tcW w:type="dxa" w:w="2880"/>
          </w:tcPr>
          <w:p>
            <w:r/>
            <w:r>
              <w:rPr>
                <w:sz w:val="19"/>
              </w:rPr>
              <w:t>M lowered 1.2546 → 0.9; revert tested 2026-08-01 and rejected (see Section 3)</w:t>
            </w:r>
          </w:p>
        </w:tc>
      </w:tr>
      <w:tr>
        <w:tc>
          <w:tcPr>
            <w:tcW w:type="dxa" w:w="2880"/>
          </w:tcPr>
          <w:p>
            <w:r/>
            <w:r>
              <w:rPr>
                <w:sz w:val="19"/>
              </w:rPr>
              <w:t>2026-08-01</w:t>
            </w:r>
          </w:p>
        </w:tc>
        <w:tc>
          <w:tcPr>
            <w:tcW w:type="dxa" w:w="2880"/>
          </w:tcPr>
          <w:p>
            <w:r/>
            <w:r>
              <w:rPr>
                <w:sz w:val="19"/>
              </w:rPr>
              <w:t>Seeding-mode A/B (stock_recruitment vs linear) and criterion fix</w:t>
            </w:r>
          </w:p>
        </w:tc>
        <w:tc>
          <w:tcPr>
            <w:tcW w:type="dxa" w:w="2880"/>
          </w:tcPr>
          <w:p>
            <w:r/>
            <w:r>
              <w:rPr>
                <w:sz w:val="19"/>
              </w:rPr>
              <w:t>equilibrium means byte-identical across seeding modes — mode immaterial; persistence criterion corrected and all notes audited</w:t>
            </w:r>
          </w:p>
        </w:tc>
      </w:tr>
      <w:tr>
        <w:tc>
          <w:tcPr>
            <w:tcW w:type="dxa" w:w="2880"/>
          </w:tcPr>
          <w:p>
            <w:r/>
            <w:r>
              <w:rPr>
                <w:sz w:val="19"/>
              </w:rPr>
              <w:t>2026-08-02/06</w:t>
            </w:r>
          </w:p>
        </w:tc>
        <w:tc>
          <w:tcPr>
            <w:tcW w:type="dxa" w:w="2880"/>
          </w:tcPr>
          <w:p>
            <w:r/>
            <w:r>
              <w:rPr>
                <w:sz w:val="19"/>
              </w:rPr>
              <w:t>Percid overshoot investigation and target re-derivation</w:t>
            </w:r>
          </w:p>
        </w:tc>
        <w:tc>
          <w:tcPr>
            <w:tcW w:type="dxa" w:w="2880"/>
          </w:tcPr>
          <w:p>
            <w:r/>
            <w:r>
              <w:rPr>
                <w:sz w:val="19"/>
              </w:rPr>
              <w:t>overshoot established as structural; targets retained; certifier made weight-aware</w:t>
            </w:r>
          </w:p>
        </w:tc>
      </w:tr>
    </w:tbl>
    <w:p/>
    <w:p>
      <w:r>
        <w:rPr>
          <w:b w:val="0"/>
          <w:i w:val="0"/>
        </w:rPr>
        <w:t>The recruitment-viability (RV) gate on cod_east remains load-bearing for its envelope PASS: a reference sweep put the valid tolerance band at 0.331–0.449 and the constraint is asymmetric, with ~2.2% headroom in the shipped profile. A surrogate-Bayesian UQ layer exists and is validated by self-consistency; the Baltic's literature-estimate targets are too weak to support ICES-target UQ directly.</w:t>
      </w:r>
    </w:p>
    <w:p>
      <w:pPr>
        <w:pStyle w:val="Heading1"/>
      </w:pPr>
      <w:r>
        <w:rPr>
          <w:color w:val="1F3864"/>
        </w:rPr>
        <w:t>5. The percid overshoot: concluded as structural</w:t>
      </w:r>
    </w:p>
    <w:p>
      <w:r>
        <w:rPr>
          <w:b w:val="0"/>
          <w:i w:val="0"/>
        </w:rPr>
        <w:t>Pikeperch sits at ~1.45 Mt against a 4–25 kt target (~58×); smelt is ~5.7× over. Perch — same family, same coastal habitat, comparable fishery — is in envelope and served as the control throughout. The full investigation is in the companion report; the conclusions:</w:t>
      </w:r>
    </w:p>
    <w:p>
      <w:pPr>
        <w:pStyle w:val="ListBullet"/>
      </w:pPr>
      <w:r>
        <w:t>Not an engine defect: consumption-to-biomass ratios at equilibrium are within published ranges for every species (pikeperch has the lowest Q/B in the system, 2.55); no conservation violation.</w:t>
      </w:r>
    </w:p>
    <w:p>
      <w:pPr>
        <w:pStyle w:val="ListBullet"/>
      </w:pPr>
      <w:r>
        <w:t>Four explanations were reached and withdrawn under measurement or adversarial review: a resource subsidy (equilibrium diet is 36.9% resource, below perch), a spatial-supply mechanism (the corrected time-weighted herring overlap refutes it — perch has twice pikeperch's access and is in envelope), predation release (pikeperch is fourth-least predated; the three less-predated species are all in envelope), and a mis-scoped target (the reference file already declares whole-domain aggregate scope).</w:t>
      </w:r>
    </w:p>
    <w:p>
      <w:pPr>
        <w:pStyle w:val="ListBullet"/>
      </w:pPr>
      <w:r>
        <w:t>The surviving mechanism — escape from every predator's size window before maturity (no predator can take a pikeperch above 36 cm; it matures at 40 cm) — is real but not sufficient: opening cod's window past maturity moved biomass +3.4%, the wrong way. Cod totals ~97 kt against pikeperch's 1.45 Mt; grey seal consumes ~58.5 kt/yr across all prey. No predator in the configuration has the biomass to regulate the stock.</w:t>
      </w:r>
    </w:p>
    <w:p>
      <w:pPr>
        <w:pStyle w:val="ListBullet"/>
      </w:pPr>
      <w:r>
        <w:t>Seven interventions (accessibility cuts, F sweeps to 4.0, gear selectivity, size windows, reduced asymptotic length, recruitment ssbhalf cut 97.6×) returned −86% to +8% against the 58× gap. Biomass scales as roughly the 0.42 power of the recruitment parameter; reaching the target would require indefensible values.</w:t>
      </w:r>
    </w:p>
    <w:p>
      <w:pPr>
        <w:pStyle w:val="ListBullet"/>
      </w:pPr>
      <w:r>
        <w:t>The target was re-derived and retained: ICES assesses no Baltic pikeperch, perch, smelt or stickleback stock, so these are literature estimates — but the perch target survives an independent production cross-check against the Curonian Lagoon anchor (Hansson et al., 2018), and pikeperch must sit below perch given its restricted, patchy distribution and the depleted state of both assessed Baltic stocks (Jakubavičiūtė et al., 2022). The 58× gap is real.</w:t>
      </w:r>
    </w:p>
    <w:p>
      <w:r>
        <w:rPr>
          <w:b w:val="0"/>
          <w:i w:val="0"/>
        </w:rPr>
        <w:t>Reading: the configuration cannot represent Baltic pikeperch at a defensible biomass — which is what the reference file's own note about coarse-grid under-resolution anticipated. Representing percids as separate coastal stock units is the only change that would address this like-for-like and is out of scope on cost grounds; the weight-aware verdict keeps the failure visible but out of the assessed-tier headline. Smelt (second-most abundant fish of the eastern Gulf of Finland after herring; Sendek &amp; Bogdanov, 2019) is a smaller instance of the same limitation.</w:t>
      </w:r>
    </w:p>
    <w:p>
      <w:pPr>
        <w:pStyle w:val="Heading1"/>
      </w:pPr>
      <w:r>
        <w:rPr>
          <w:color w:val="1F3864"/>
        </w:rPr>
        <w:t>6. A trophic control on stickleback: herring predation on early life stages</w:t>
      </w:r>
    </w:p>
    <w:p>
      <w:r>
        <w:rPr>
          <w:b w:val="0"/>
          <w:i w:val="0"/>
        </w:rPr>
        <w:t>A phenology experiment — translating herring's spawning window by ±2 timesteps (±1 month), holding the total spawning effort constant — moved stickleback biomass by ∓20.7%, inversely to herring and at roughly twice its magnitude, while sprat stayed flat (±0.4%). Eight measurement rounds were needed to explain it. The mechanism is predation, not competition.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Stage of stickleback</w:t>
            </w:r>
          </w:p>
        </w:tc>
        <w:tc>
          <w:tcPr>
            <w:tcW w:type="dxa" w:w="2880"/>
          </w:tcPr>
          <w:p>
            <w:r/>
            <w:r>
              <w:rPr>
                <w:b/>
                <w:sz w:val="19"/>
              </w:rPr>
              <w:t>Herring's share of deaths</w:t>
            </w:r>
          </w:p>
        </w:tc>
        <w:tc>
          <w:tcPr>
            <w:tcW w:type="dxa" w:w="2880"/>
          </w:tcPr>
          <w:p>
            <w:r/>
            <w:r>
              <w:rPr>
                <w:b/>
                <w:sz w:val="19"/>
              </w:rPr>
              <w:t>Direction across arms</w:t>
            </w:r>
          </w:p>
        </w:tc>
      </w:tr>
      <w:tr>
        <w:tc>
          <w:tcPr>
            <w:tcW w:type="dxa" w:w="2880"/>
          </w:tcPr>
          <w:p>
            <w:r/>
            <w:r>
              <w:rPr>
                <w:sz w:val="19"/>
              </w:rPr>
              <w:t>Eggs</w:t>
            </w:r>
          </w:p>
        </w:tc>
        <w:tc>
          <w:tcPr>
            <w:tcW w:type="dxa" w:w="2880"/>
          </w:tcPr>
          <w:p>
            <w:r/>
            <w:r>
              <w:rPr>
                <w:sz w:val="19"/>
              </w:rPr>
              <w:t>62.9% (by number)</w:t>
            </w:r>
          </w:p>
        </w:tc>
        <w:tc>
          <w:tcPr>
            <w:tcW w:type="dxa" w:w="2880"/>
          </w:tcPr>
          <w:p>
            <w:r/>
            <w:r>
              <w:rPr>
                <w:sz w:val="19"/>
              </w:rPr>
              <w:t>falls monotonically as herring spawns later</w:t>
            </w:r>
          </w:p>
        </w:tc>
      </w:tr>
      <w:tr>
        <w:tc>
          <w:tcPr>
            <w:tcW w:type="dxa" w:w="2880"/>
          </w:tcPr>
          <w:p>
            <w:r/>
            <w:r>
              <w:rPr>
                <w:sz w:val="19"/>
              </w:rPr>
              <w:t>Young-of-year (0–0.5 yr)</w:t>
            </w:r>
          </w:p>
        </w:tc>
        <w:tc>
          <w:tcPr>
            <w:tcW w:type="dxa" w:w="2880"/>
          </w:tcPr>
          <w:p>
            <w:r/>
            <w:r>
              <w:rPr>
                <w:sz w:val="19"/>
              </w:rPr>
              <w:t>54.9% (by number)</w:t>
            </w:r>
          </w:p>
        </w:tc>
        <w:tc>
          <w:tcPr>
            <w:tcW w:type="dxa" w:w="2880"/>
          </w:tcPr>
          <w:p>
            <w:r/>
            <w:r>
              <w:rPr>
                <w:sz w:val="19"/>
              </w:rPr>
              <w:t>falls monotonically</w:t>
            </w:r>
          </w:p>
        </w:tc>
      </w:tr>
      <w:tr>
        <w:tc>
          <w:tcPr>
            <w:tcW w:type="dxa" w:w="2880"/>
          </w:tcPr>
          <w:p>
            <w:r/>
            <w:r>
              <w:rPr>
                <w:sz w:val="19"/>
              </w:rPr>
              <w:t>Stickleback in herring's own diet</w:t>
            </w:r>
          </w:p>
        </w:tc>
        <w:tc>
          <w:tcPr>
            <w:tcW w:type="dxa" w:w="2880"/>
          </w:tcPr>
          <w:p>
            <w:r/>
            <w:r>
              <w:rPr>
                <w:sz w:val="19"/>
              </w:rPr>
              <w:t>0.038%</w:t>
            </w:r>
          </w:p>
        </w:tc>
        <w:tc>
          <w:tcPr>
            <w:tcW w:type="dxa" w:w="2880"/>
          </w:tcPr>
          <w:p>
            <w:r/>
            <w:r>
              <w:rPr>
                <w:sz w:val="19"/>
              </w:rPr>
              <w:t>flat — a rounding error to the predator</w:t>
            </w:r>
          </w:p>
        </w:tc>
      </w:tr>
    </w:tbl>
    <w:p/>
    <w:p>
      <w:r>
        <w:rPr>
          <w:b w:val="0"/>
          <w:i w:val="0"/>
        </w:rPr>
        <w:t>The asymmetry is the reason this took eight rounds. Herring biomass is roughly 30× stickleback's, so a negligible fraction of the predator's intake is the dominant term in the prey's mortality. Every measure built on diet composition — dietary overlap, diet percentages, predation pressure in tonnes — is structurally incapable of seeing it, and each produced a false negative in turn.</w:t>
      </w:r>
    </w:p>
    <w:p>
      <w:r>
        <w:rPr>
          <w:b w:val="0"/>
          <w:i w:val="0"/>
        </w:rPr>
        <w:t>The causal chain, end to end:</w:t>
      </w:r>
    </w:p>
    <w:p>
      <w:pPr>
        <w:pStyle w:val="ListBullet"/>
      </w:pPr>
      <w:r>
        <w:t>Herring spawns later → herring biomass falls ~10% → its predation on stickleback eggs and young-of-year falls (−8.9% on young-of-year, close to proportional) → more stickleback survive past the 0.5-year reporting cutoff → stickleback biomass +20.7%.</w:t>
      </w:r>
    </w:p>
    <w:p>
      <w:pPr>
        <w:pStyle w:val="ListBullet"/>
      </w:pPr>
      <w:r>
        <w:t>Six alternative hypotheses were tested and refuted along the way: dietary competition, growth-mediated competition, starvation mortality, egg survival, alternative equilibria, and egg production. Egg production in fact moves opposite to abundance, because stickleback's stock–recruitment curve is over-compensatory (Shepherd β ≈ 1.3) with spawning stock 9–14× above half-saturation.</w:t>
      </w:r>
    </w:p>
    <w:p>
      <w:pPr>
        <w:ind w:left="360"/>
      </w:pPr>
      <w:r>
        <w:rPr>
          <w:i/>
          <w:color w:val="555555"/>
          <w:sz w:val="19"/>
        </w:rPr>
        <w:t>Three interim conclusions were published and retracted during this investigation, each because a verdict was drawn from an output that could not have detected the effect being tested. Two output conventions that caused this are now documented in the repository: biomass and abundance series exclude fish below an age cutoff (0.5 yr for all Baltic species), and mortality-rate outputs are sums of per-step rates rather than cohort integrals. Full record: docs/baltic_stickleback_mechanism_2026-08-12.md.</w:t>
      </w:r>
    </w:p>
    <w:p>
      <w:r>
        <w:rPr>
          <w:b w:val="0"/>
          <w:i w:val="0"/>
        </w:rPr>
        <w:t>Management relevance, stated with its caveat: stickleback's certified biomass sits only 6.9% of the way from the floor to the ceiling of its reference envelope, so its headroom is strongly asymmetric — 38% to the floor against 517% to the ceiling. The controlling term now lives in herring's calibration rather than any stickleback parameter, so anything that raises herring biomass pushes stickleback toward its floor. The ±20% swing is nonetheless absorbed by the envelope, but that is weak reassurance: stickleback's envelope spans a factor of ten because the target is a low-confidence literature estimate, not a stock assessment. Real 20% structure exists that the certification gate cannot resolve.</w:t>
      </w:r>
    </w:p>
    <w:p>
      <w:pPr>
        <w:pStyle w:val="Heading1"/>
      </w:pPr>
      <w:r>
        <w:rPr>
          <w:color w:val="1F3864"/>
        </w:rPr>
        <w:t>7. Engine and cross-engine fidelity</w:t>
      </w:r>
    </w:p>
    <w:p>
      <w:pPr>
        <w:pStyle w:val="ListBullet"/>
      </w:pPr>
      <w:r>
        <w:t>Diet diagnostic defect repaired (#146): the prey axis of dietMatrix/predatorPressure was mislabelled (focal + background instead of schools + resources), silently dropping all resource columns — every predator reported 100% fish. Any diet-based conclusion predating commits e121c6d/3e320ff has been re-derived; a regression test now asserts no fish consumes less than its own body weight annually.</w:t>
      </w:r>
    </w:p>
    <w:p>
      <w:pPr>
        <w:pStyle w:val="ListBullet"/>
      </w:pPr>
      <w:r>
        <w:t>Java cross-engine parity fixes: mortality-rate outputs were counts not rates (#140), output header parsing (#141), dietMatrix percentage normalisation (#144), and the predatorPressure time convention. The remaining sprat seeding gap (~7.1×) is isolated to the SeedingInterface lambda convention.</w:t>
      </w:r>
    </w:p>
    <w:p>
      <w:pPr>
        <w:pStyle w:val="ListBullet"/>
      </w:pPr>
      <w:r>
        <w:t>Seeding mode (population.seeding.mode: stock_recruitment | linear) is configurable and measured immaterial at equilibrium (#143).</w:t>
      </w:r>
    </w:p>
    <w:p>
      <w:pPr>
        <w:pStyle w:val="ListBullet"/>
      </w:pPr>
      <w:r>
        <w:t>Test suite: ~4,390 tests, green as of 2026-08-06, including 11 new weight-aware certifier tests.</w:t>
      </w:r>
    </w:p>
    <w:p>
      <w:pPr>
        <w:pStyle w:val="Heading1"/>
      </w:pPr>
      <w:r>
        <w:rPr>
          <w:color w:val="1F3864"/>
        </w:rPr>
        <w:t>8. Open items and next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Priority</w:t>
            </w:r>
          </w:p>
        </w:tc>
        <w:tc>
          <w:tcPr>
            <w:tcW w:type="dxa" w:w="2880"/>
          </w:tcPr>
          <w:p>
            <w:r/>
            <w:r>
              <w:rPr>
                <w:b/>
                <w:sz w:val="19"/>
              </w:rPr>
              <w:t>Item</w:t>
            </w:r>
          </w:p>
        </w:tc>
        <w:tc>
          <w:tcPr>
            <w:tcW w:type="dxa" w:w="2880"/>
          </w:tcPr>
          <w:p>
            <w:r/>
            <w:r>
              <w:rPr>
                <w:b/>
                <w:sz w:val="19"/>
              </w:rPr>
              <w:t>Rationale</w:t>
            </w:r>
          </w:p>
        </w:tc>
      </w:tr>
      <w:tr>
        <w:tc>
          <w:tcPr>
            <w:tcW w:type="dxa" w:w="2880"/>
          </w:tcPr>
          <w:p>
            <w:r/>
            <w:r>
              <w:rPr>
                <w:sz w:val="19"/>
              </w:rPr>
              <w:t>High</w:t>
            </w:r>
          </w:p>
        </w:tc>
        <w:tc>
          <w:tcPr>
            <w:tcW w:type="dxa" w:w="2880"/>
          </w:tcPr>
          <w:p>
            <w:r/>
            <w:r>
              <w:rPr>
                <w:sz w:val="19"/>
              </w:rPr>
              <w:t>Ingest the ICES 2026 assessment cycle (advice for 2027) and refresh biomass_targets.csv</w:t>
            </w:r>
          </w:p>
        </w:tc>
        <w:tc>
          <w:tcPr>
            <w:tcW w:type="dxa" w:w="2880"/>
          </w:tcPr>
          <w:p>
            <w:r/>
            <w:r>
              <w:rPr>
                <w:sz w:val="19"/>
              </w:rPr>
              <w:t>cycle confirmed; reported directions: central Baltic herring +74% TAC, sprat +32%, both cod stocks zero catch — numbers are trade-press-sourced and must be re-read from the ICES advice sheets before use</w:t>
            </w:r>
          </w:p>
        </w:tc>
      </w:tr>
      <w:tr>
        <w:tc>
          <w:tcPr>
            <w:tcW w:type="dxa" w:w="2880"/>
          </w:tcPr>
          <w:p>
            <w:r/>
            <w:r>
              <w:rPr>
                <w:sz w:val="19"/>
              </w:rPr>
              <w:t>High</w:t>
            </w:r>
          </w:p>
        </w:tc>
        <w:tc>
          <w:tcPr>
            <w:tcW w:type="dxa" w:w="2880"/>
          </w:tcPr>
          <w:p>
            <w:r/>
            <w:r>
              <w:rPr>
                <w:sz w:val="19"/>
              </w:rPr>
              <w:t>Temperature-dependent stock–recruitment in processes/reproduction.py</w:t>
            </w:r>
          </w:p>
        </w:tc>
        <w:tc>
          <w:tcPr>
            <w:tcW w:type="dxa" w:w="2880"/>
          </w:tcPr>
          <w:p>
            <w:r/>
            <w:r>
              <w:rPr>
                <w:sz w:val="19"/>
              </w:rPr>
              <w:t>Voss &amp; Quaas (2026): ignoring temperature-dependent SR 'might trigger overexploitation'; osmopy already ingests CMEMS temperature but does not route it into reproduction; design jointly with the 4.4.x temperature-bioenergetics slice</w:t>
            </w:r>
          </w:p>
        </w:tc>
      </w:tr>
      <w:tr>
        <w:tc>
          <w:tcPr>
            <w:tcW w:type="dxa" w:w="2880"/>
          </w:tcPr>
          <w:p>
            <w:r/>
            <w:r>
              <w:rPr>
                <w:sz w:val="19"/>
              </w:rPr>
              <w:t>High</w:t>
            </w:r>
          </w:p>
        </w:tc>
        <w:tc>
          <w:tcPr>
            <w:tcW w:type="dxa" w:w="2880"/>
          </w:tcPr>
          <w:p>
            <w:r/>
            <w:r>
              <w:rPr>
                <w:sz w:val="19"/>
              </w:rPr>
              <w:t>OSMOSE 4.4.x parity port (staged)</w:t>
            </w:r>
          </w:p>
        </w:tc>
        <w:tc>
          <w:tcPr>
            <w:tcW w:type="dxa" w:w="2880"/>
          </w:tcPr>
          <w:p>
            <w:r/>
            <w:r>
              <w:rPr>
                <w:sz w:val="19"/>
              </w:rPr>
              <w:t>upstream static at v4.4.1 for three consecutive months — the moving-target argument for deferral has expired</w:t>
            </w:r>
          </w:p>
        </w:tc>
      </w:tr>
      <w:tr>
        <w:tc>
          <w:tcPr>
            <w:tcW w:type="dxa" w:w="2880"/>
          </w:tcPr>
          <w:p>
            <w:r/>
            <w:r>
              <w:rPr>
                <w:sz w:val="19"/>
              </w:rPr>
              <w:t>High</w:t>
            </w:r>
          </w:p>
        </w:tc>
        <w:tc>
          <w:tcPr>
            <w:tcW w:type="dxa" w:w="2880"/>
          </w:tcPr>
          <w:p>
            <w:r/>
            <w:r>
              <w:rPr>
                <w:sz w:val="19"/>
              </w:rPr>
              <w:t>WGSAM cod predation-mortality as a validation target</w:t>
            </w:r>
          </w:p>
        </w:tc>
        <w:tc>
          <w:tcPr>
            <w:tcW w:type="dxa" w:w="2880"/>
          </w:tcPr>
          <w:p>
            <w:r/>
            <w:r>
              <w:rPr>
                <w:sz w:val="19"/>
              </w:rPr>
              <w:t>2022 Baltic key run (1974–2021, ~64,000 cod stomachs) gives an independent check on emergent M2 on sprat and central Baltic herring</w:t>
            </w:r>
          </w:p>
        </w:tc>
      </w:tr>
      <w:tr>
        <w:tc>
          <w:tcPr>
            <w:tcW w:type="dxa" w:w="2880"/>
          </w:tcPr>
          <w:p>
            <w:r/>
            <w:r>
              <w:rPr>
                <w:sz w:val="19"/>
              </w:rPr>
              <w:t>Medium</w:t>
            </w:r>
          </w:p>
        </w:tc>
        <w:tc>
          <w:tcPr>
            <w:tcW w:type="dxa" w:w="2880"/>
          </w:tcPr>
          <w:p>
            <w:r/>
            <w:r>
              <w:rPr>
                <w:sz w:val="19"/>
              </w:rPr>
              <w:t>Re-certify older configs under the corrected persistence criterion</w:t>
            </w:r>
          </w:p>
        </w:tc>
        <w:tc>
          <w:tcPr>
            <w:tcW w:type="dxa" w:w="2880"/>
          </w:tcPr>
          <w:p>
            <w:r/>
            <w:r>
              <w:rPr>
                <w:sz w:val="19"/>
              </w:rPr>
              <w:t>prior notes' persistence verdicts are unreliable until re-run (Section 3)</w:t>
            </w:r>
          </w:p>
        </w:tc>
      </w:tr>
      <w:tr>
        <w:tc>
          <w:tcPr>
            <w:tcW w:type="dxa" w:w="2880"/>
          </w:tcPr>
          <w:p>
            <w:r/>
            <w:r>
              <w:rPr>
                <w:sz w:val="19"/>
              </w:rPr>
              <w:t>Medium</w:t>
            </w:r>
          </w:p>
        </w:tc>
        <w:tc>
          <w:tcPr>
            <w:tcW w:type="dxa" w:w="2880"/>
          </w:tcPr>
          <w:p>
            <w:r/>
            <w:r>
              <w:rPr>
                <w:sz w:val="19"/>
              </w:rPr>
              <w:t>Percid representation decision</w:t>
            </w:r>
          </w:p>
        </w:tc>
        <w:tc>
          <w:tcPr>
            <w:tcW w:type="dxa" w:w="2880"/>
          </w:tcPr>
          <w:p>
            <w:r/>
            <w:r>
              <w:rPr>
                <w:sz w:val="19"/>
              </w:rPr>
              <w:t>separate coastal stock units are the only like-for-like fix for the pikeperch/smelt limitation; currently excluded on cost grounds (cod E/W is the cautionary precedent)</w:t>
            </w:r>
          </w:p>
        </w:tc>
      </w:tr>
    </w:tbl>
    <w:p/>
    <w:p>
      <w:pPr>
        <w:pStyle w:val="Heading1"/>
      </w:pPr>
      <w:r>
        <w:rPr>
          <w:color w:val="1F3864"/>
        </w:rPr>
        <w:t>9. Literature watch (from the LITERATURE folder)</w:t>
      </w:r>
    </w:p>
    <w:p>
      <w:r>
        <w:rPr>
          <w:b w:val="0"/>
          <w:i w:val="0"/>
        </w:rPr>
        <w:t>Monthly automated alerts run against scite, ICES/HELCOM, CRAN, ecopath.org and the osmose-model GitHub org; the latest is dated 2026-07-28 (window 2026-06-23 → 2026-07-28).</w:t>
      </w:r>
    </w:p>
    <w:p>
      <w:pPr>
        <w:pStyle w:val="ListBullet"/>
      </w:pPr>
      <w:r>
        <w:t>Upstream OSMOSE: frozen for a third consecutive month at v4.4.1 (18 Jun 2026); no new org repos; homepage byte-identical. The whole v4.4.0 breaking-change set remains un-ported in osmopy (region-aware mortality, abundance-based fishing, stochastic maturity ogive, temperature bioenergetics, gradient movement, etc.).</w:t>
      </w:r>
    </w:p>
    <w:p>
      <w:pPr>
        <w:pStyle w:val="ListBullet"/>
      </w:pPr>
      <w:r>
        <w:t>Most actionable paper: Voss &amp; Quaas (2026), ICES JMS 83(4) — temperature-dependent stock–recruitment for Western Baltic cod and herring under RCP4.5/RCP8.5; herring recovers only after a ~4-year moratorium; cod catch potential stays below 5,000 t even under optimal management; MMEY dominates MMSY under climate change. (Note: the alert file credits Quaas as first author; the paper is Voss &amp; Quaas.)</w:t>
      </w:r>
    </w:p>
    <w:p>
      <w:pPr>
        <w:pStyle w:val="ListBullet"/>
      </w:pPr>
      <w:r>
        <w:t>ICES: 2027 Baltic catch advice confirmed published (see Section 7); the Baltic Sea Ecosystem Overview was read in full for the first time — late-1980s regime shift to sprat dominance, persistent hypoxia, warming and freshening are the qualitative behaviours the configuration should reproduce.</w:t>
      </w:r>
    </w:p>
    <w:p>
      <w:pPr>
        <w:pStyle w:val="ListBullet"/>
      </w:pPr>
      <w:r>
        <w:t>Comparator models all unchanged: mizer 2.5.3, EwE 6.7 beta (build 18865), Atlantis with no public release. HELCOM HOLAS 4 (2022–2027) publishes in 2029.</w:t>
      </w:r>
    </w:p>
    <w:p>
      <w:pPr>
        <w:pStyle w:val="ListBullet"/>
      </w:pPr>
      <w:r>
        <w:t>Carried comparators: Atlantis semi-automated calibration framework, global sensitivity-analysis of a complex marine ecosystem model, cross-ecosystem trophic transfer efficiency synthesis (all Ecological Modelling / Science Advances 2026).</w:t>
      </w:r>
    </w:p>
    <w:p>
      <w:pPr>
        <w:pStyle w:val="Heading1"/>
      </w:pPr>
      <w:r>
        <w:rPr>
          <w:color w:val="1F3864"/>
        </w:rPr>
        <w:t>References</w:t>
      </w:r>
    </w:p>
    <w:p>
      <w:r>
        <w:rPr>
          <w:b w:val="0"/>
          <w:i w:val="0"/>
        </w:rPr>
        <w:t>Hansson, S., Bergström, U., &amp; Bonsdorff, E. (2018). Competition for the fish — fish extraction from the Baltic Sea by humans, aquatic mammals, and birds. ICES Journal of Marine Science, 75(3), 999–1008. https://doi.org/10.1093/icesjms/fsx207</w:t>
      </w:r>
    </w:p>
    <w:p>
      <w:r>
        <w:rPr>
          <w:b w:val="0"/>
          <w:i w:val="0"/>
        </w:rPr>
        <w:t>Jakubavičiūtė, E., Arula, T., &amp; Dainys, J. (2022). Status and future perspectives for pikeperch (Sander lucioperca) stocks in Europe. openRxiv preprint. https://doi.org/10.1101/2022.12.20.521162</w:t>
      </w:r>
    </w:p>
    <w:p>
      <w:r>
        <w:rPr>
          <w:b w:val="0"/>
          <w:i w:val="0"/>
        </w:rPr>
        <w:t>Olsson, J., Jakubavičiūtė, E., Kaljuste, O., et al. (2019). The first large-scale assessment of three-spined stickleback (Gasterosteus aculeatus) biomass and spatial distribution in the Baltic Sea. ICES Journal of Marine Science, 76(6), 1653–1665. https://doi.org/10.1093/icesjms/fsz078</w:t>
      </w:r>
    </w:p>
    <w:p>
      <w:r>
        <w:rPr>
          <w:b w:val="0"/>
          <w:i w:val="0"/>
        </w:rPr>
        <w:t>Sendek, D. S., &amp; Bogdanov, D. V. (2019). European smelt Osmerus eperlanus in the eastern Gulf of Finland, Baltic Sea: Stock status and fishery. Journal of Fish Biology, 94(6), 1001–1010. https://doi.org/10.1111/jfb.14009</w:t>
      </w:r>
    </w:p>
    <w:p>
      <w:r>
        <w:rPr>
          <w:b w:val="0"/>
          <w:i w:val="0"/>
        </w:rPr>
        <w:t>Voss, R., &amp; Quaas, M. F. (2026). Future fishing potential of cod and herring under climate change in the Western Baltic Sea. ICES Journal of Marine Science, 83(4), fsag033. https://doi.org/10.1093/icesjms/fsag033</w:t>
      </w:r>
    </w:p>
    <w:p>
      <w:pPr>
        <w:pStyle w:val="Heading1"/>
      </w:pPr>
      <w:r>
        <w:rPr>
          <w:color w:val="1F3864"/>
        </w:rPr>
        <w:t>Source documents in the repository</w:t>
      </w:r>
    </w:p>
    <w:p>
      <w:pPr>
        <w:pStyle w:val="ListBullet"/>
      </w:pPr>
      <w:r>
        <w:t>docs/baltic_percid_overshoot_report_2026-08-03.docx — full percid investigation (updated 2026-08-06)</w:t>
      </w:r>
    </w:p>
    <w:p>
      <w:pPr>
        <w:pStyle w:val="ListBullet"/>
      </w:pPr>
      <w:r>
        <w:t>docs/baltic_percid_target_rederivation_2026-08-06.md — target re-derivation</w:t>
      </w:r>
    </w:p>
    <w:p>
      <w:pPr>
        <w:pStyle w:val="ListBullet"/>
      </w:pPr>
      <w:r>
        <w:t>docs/baltic_certification_reread_2026-08-01.md — persistence-criterion audit</w:t>
      </w:r>
    </w:p>
    <w:p>
      <w:pPr>
        <w:pStyle w:val="ListBullet"/>
      </w:pPr>
      <w:r>
        <w:t>docs/baltic_8species_recert_corrected_criterion_2026-08-01.md — baseline re-certification</w:t>
      </w:r>
    </w:p>
    <w:p>
      <w:pPr>
        <w:pStyle w:val="ListBullet"/>
      </w:pPr>
      <w:r>
        <w:t>docs/baltic_cod_east_M_revert_test_2026-08-01.md — M = 0.9 revert test</w:t>
      </w:r>
    </w:p>
    <w:p>
      <w:pPr>
        <w:pStyle w:val="ListBullet"/>
      </w:pPr>
      <w:r>
        <w:t>docs/baltic_java_crossengine_fidelity_2026-07-30.md — cross-engine fidelity</w:t>
      </w:r>
    </w:p>
    <w:p>
      <w:pPr>
        <w:pStyle w:val="ListBullet"/>
      </w:pPr>
      <w:r>
        <w:t>data/baltic/reference/biomass_targets.csv — targets, envelopes, confidence weights</w:t>
      </w:r>
    </w:p>
    <w:p>
      <w:pPr>
        <w:pStyle w:val="ListBullet"/>
      </w:pPr>
      <w:r>
        <w:t>scripts/baltic_stability_certify.py — weight-aware certifier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