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Baltic OSMOSE — Findings Summary</w:t>
      </w:r>
    </w:p>
    <w:p>
      <w:r>
        <w:rPr>
          <w:i/>
        </w:rPr>
        <w:t>Cod stock disaggregation, the percid missing-removals finding, and a fishing-forced redesign</w:t>
      </w:r>
    </w:p>
    <w:p>
      <w:r>
        <w:rPr>
          <w:sz w:val="18"/>
        </w:rPr>
        <w:t>Prepared 2026-07-28. Model: osmose-python, Baltic Sea configuration (9→8 focal species, 50×40 grid, 10–30°E / 54–66°N).</w:t>
      </w:r>
    </w:p>
    <w:p>
      <w:pPr>
        <w:pStyle w:val="Heading1"/>
      </w:pPr>
      <w:r>
        <w:t>1  Executive summary</w:t>
      </w:r>
    </w:p>
    <w:p>
      <w:r>
        <w:t>Three connected findings from this work cycle:</w:t>
      </w:r>
    </w:p>
    <w:p>
      <w:pPr>
        <w:pStyle w:val="ListBullet"/>
      </w:pPr>
      <w:r>
        <w:t>Cod E/W disaggregation (Phase 1) is STRUCTURALLY complete but could NOT be calibrated. Splitting cod into eastern (cod.27.24-32) and western (cod.27.22-24) focal species works mechanically, but suppressing the eastern cod removes apex predation and releases the prey field 10–80× over the ICES envelopes. Two proper calibrations failed (best obj 8.855 vs the aggregate baseline's 2.33). Kept on master as a documented experiment; the 8-species 5/8 baseline remains the production model.</w:t>
      </w:r>
    </w:p>
    <w:p>
      <w:pPr>
        <w:pStyle w:val="ListBullet"/>
      </w:pPr>
      <w:r>
        <w:t>The percid overshoot (perch ×5.5, pikeperch ×217 over ICES envelopes) is PARTLY a missing-removals artifact, not purely the coarse-grid structural limit previously concluded. Baltic perch and pikeperch are heavily removed by (a) small-scale coastal + recreational fisheries whose catch is poorly reported and not analytically assessed by ICES, and (b) seal and cormorant predation that is ~2× the fishery for coastal fish. The model's calibrated percid fishing mortality (perch F 0.029, pikeperch F 0.0095) under-represents true removals twice over.</w:t>
      </w:r>
    </w:p>
    <w:p>
      <w:pPr>
        <w:pStyle w:val="ListBullet"/>
      </w:pPr>
      <w:r>
        <w:t>A fishing-forced redesign is both engine-feasible and scientifically grounded: drive cod down its real ICES decline via per-year FISHING forcing (not biomass forcing, which the engine does not support for a multi-year trajectory), while calibrating seal/cormorant top-down control and realistic percid removals to hold the prey field. Because cod stays a live focal predator, this avoids the apex-predator-release trap that sank the disaggregation.</w:t>
      </w:r>
    </w:p>
    <w:p>
      <w:pPr>
        <w:pStyle w:val="Heading1"/>
      </w:pPr>
      <w:r>
        <w:t>2  Cod E/W disaggregation (Phase 1)</w:t>
      </w:r>
    </w:p>
    <w:p>
      <w:pPr>
        <w:pStyle w:val="Heading2"/>
      </w:pPr>
      <w:r>
        <w:t>2.1  What was built</w:t>
      </w:r>
    </w:p>
    <w:p>
      <w:r>
        <w:t>Cod was split into cod_west (sp0, cod.27.22-24) and cod_east (sp8, cod.27.24-32) as two OSMOSE focal species: a re-indexing tool for the contiguous species namespace, eastern-stock life history (impaired condition, early maturation, buoyant low-salinity eggs, truncated lifespan, summer spawning), salinity-niched distribution maps (10.3% footprint overlap — a clean spatial separation), an expanded name-labelled predation matrix, ICES SSB/catch targets split via the ICES data service (cod_east ~70 kt, cod_west ~10 kt, both below Blim), a reproductive-volume recruitment gate on cod_east, and a separate moratorium fishery. The 9-species config runs end-to-end and is validation-clean.</w:t>
      </w:r>
    </w:p>
    <w:p>
      <w:pPr>
        <w:pStyle w:val="Heading2"/>
      </w:pPr>
      <w:r>
        <w:t>2.2  The calibration wall — apex-predator-release</w:t>
      </w:r>
    </w:p>
    <w:p>
      <w:r>
        <w:t>The 9-species model cannot be fitted to the ICES envelopes. Suppressing the eastern cod removes the top-down predation the aggregate-cod baseline relied on, so the prey field is released far above target. The optimizer resolves the cod-low-versus-prey-in-range tension by NOT suppressing cod_east (booming everything) — and even a warm-started run with double the budget and clamped cod fishing left prey fishing unused, so the failure is structural, not a budget artifact. Best 9-species objective 8.855 vs the aggregate baseline's 2.33.</w:t>
      </w:r>
    </w:p>
    <w:p>
      <w:r>
        <w:t>40-year per-species biomass under the best re-calibration (over ICES envelope):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Species</w:t>
            </w:r>
          </w:p>
        </w:tc>
        <w:tc>
          <w:tcPr>
            <w:tcW w:type="dxa" w:w="2880"/>
          </w:tcPr>
          <w:p>
            <w:r>
              <w:t>40-yr mean</w:t>
            </w:r>
          </w:p>
        </w:tc>
        <w:tc>
          <w:tcPr>
            <w:tcW w:type="dxa" w:w="2880"/>
          </w:tcPr>
          <w:p>
            <w:r>
              <w:t>× over envelope</w:t>
            </w:r>
          </w:p>
        </w:tc>
      </w:tr>
      <w:tr>
        <w:tc>
          <w:tcPr>
            <w:tcW w:type="dxa" w:w="2880"/>
          </w:tcPr>
          <w:p>
            <w:r>
              <w:t>cod_west</w:t>
            </w:r>
          </w:p>
        </w:tc>
        <w:tc>
          <w:tcPr>
            <w:tcW w:type="dxa" w:w="2880"/>
          </w:tcPr>
          <w:p>
            <w:r>
              <w:t>1.37 Mt</w:t>
            </w:r>
          </w:p>
        </w:tc>
        <w:tc>
          <w:tcPr>
            <w:tcW w:type="dxa" w:w="2880"/>
          </w:tcPr>
          <w:p>
            <w:r>
              <w:t>55×</w:t>
            </w:r>
          </w:p>
        </w:tc>
      </w:tr>
      <w:tr>
        <w:tc>
          <w:tcPr>
            <w:tcW w:type="dxa" w:w="2880"/>
          </w:tcPr>
          <w:p>
            <w:r>
              <w:t>cod_east</w:t>
            </w:r>
          </w:p>
        </w:tc>
        <w:tc>
          <w:tcPr>
            <w:tcW w:type="dxa" w:w="2880"/>
          </w:tcPr>
          <w:p>
            <w:r>
              <w:t>1.11 Mt</w:t>
            </w:r>
          </w:p>
        </w:tc>
        <w:tc>
          <w:tcPr>
            <w:tcW w:type="dxa" w:w="2880"/>
          </w:tcPr>
          <w:p>
            <w:r>
              <w:t>13×</w:t>
            </w:r>
          </w:p>
        </w:tc>
      </w:tr>
      <w:tr>
        <w:tc>
          <w:tcPr>
            <w:tcW w:type="dxa" w:w="2880"/>
          </w:tcPr>
          <w:p>
            <w:r>
              <w:t>herring</w:t>
            </w:r>
          </w:p>
        </w:tc>
        <w:tc>
          <w:tcPr>
            <w:tcW w:type="dxa" w:w="2880"/>
          </w:tcPr>
          <w:p>
            <w:r>
              <w:t>13 Mt</w:t>
            </w:r>
          </w:p>
        </w:tc>
        <w:tc>
          <w:tcPr>
            <w:tcW w:type="dxa" w:w="2880"/>
          </w:tcPr>
          <w:p>
            <w:r>
              <w:t>4×</w:t>
            </w:r>
          </w:p>
        </w:tc>
      </w:tr>
      <w:tr>
        <w:tc>
          <w:tcPr>
            <w:tcW w:type="dxa" w:w="2880"/>
          </w:tcPr>
          <w:p>
            <w:r>
              <w:t>sprat</w:t>
            </w:r>
          </w:p>
        </w:tc>
        <w:tc>
          <w:tcPr>
            <w:tcW w:type="dxa" w:w="2880"/>
          </w:tcPr>
          <w:p>
            <w:r>
              <w:t>3.5 Mt</w:t>
            </w:r>
          </w:p>
        </w:tc>
        <w:tc>
          <w:tcPr>
            <w:tcW w:type="dxa" w:w="2880"/>
          </w:tcPr>
          <w:p>
            <w:r>
              <w:t>1.4×</w:t>
            </w:r>
          </w:p>
        </w:tc>
      </w:tr>
      <w:tr>
        <w:tc>
          <w:tcPr>
            <w:tcW w:type="dxa" w:w="2880"/>
          </w:tcPr>
          <w:p>
            <w:r>
              <w:t>flounder</w:t>
            </w:r>
          </w:p>
        </w:tc>
        <w:tc>
          <w:tcPr>
            <w:tcW w:type="dxa" w:w="2880"/>
          </w:tcPr>
          <w:p>
            <w:r>
              <w:t>1.2 Mt</w:t>
            </w:r>
          </w:p>
        </w:tc>
        <w:tc>
          <w:tcPr>
            <w:tcW w:type="dxa" w:w="2880"/>
          </w:tcPr>
          <w:p>
            <w:r>
              <w:t>12×</w:t>
            </w:r>
          </w:p>
        </w:tc>
      </w:tr>
      <w:tr>
        <w:tc>
          <w:tcPr>
            <w:tcW w:type="dxa" w:w="2880"/>
          </w:tcPr>
          <w:p>
            <w:r>
              <w:t>perch</w:t>
            </w:r>
          </w:p>
        </w:tc>
        <w:tc>
          <w:tcPr>
            <w:tcW w:type="dxa" w:w="2880"/>
          </w:tcPr>
          <w:p>
            <w:r>
              <w:t>836 kt</w:t>
            </w:r>
          </w:p>
        </w:tc>
        <w:tc>
          <w:tcPr>
            <w:tcW w:type="dxa" w:w="2880"/>
          </w:tcPr>
          <w:p>
            <w:r>
              <w:t>17×</w:t>
            </w:r>
          </w:p>
        </w:tc>
      </w:tr>
      <w:tr>
        <w:tc>
          <w:tcPr>
            <w:tcW w:type="dxa" w:w="2880"/>
          </w:tcPr>
          <w:p>
            <w:r>
              <w:t>pikeperch</w:t>
            </w:r>
          </w:p>
        </w:tc>
        <w:tc>
          <w:tcPr>
            <w:tcW w:type="dxa" w:w="2880"/>
          </w:tcPr>
          <w:p>
            <w:r>
              <w:t>1.64 Mt</w:t>
            </w:r>
          </w:p>
        </w:tc>
        <w:tc>
          <w:tcPr>
            <w:tcW w:type="dxa" w:w="2880"/>
          </w:tcPr>
          <w:p>
            <w:r>
              <w:t>65×</w:t>
            </w:r>
          </w:p>
        </w:tc>
      </w:tr>
      <w:tr>
        <w:tc>
          <w:tcPr>
            <w:tcW w:type="dxa" w:w="2880"/>
          </w:tcPr>
          <w:p>
            <w:r>
              <w:t>stickleback</w:t>
            </w:r>
          </w:p>
        </w:tc>
        <w:tc>
          <w:tcPr>
            <w:tcW w:type="dxa" w:w="2880"/>
          </w:tcPr>
          <w:p>
            <w:r>
              <w:t>collapsed</w:t>
            </w:r>
          </w:p>
        </w:tc>
        <w:tc>
          <w:tcPr>
            <w:tcW w:type="dxa" w:w="2880"/>
          </w:tcPr>
          <w:p>
            <w:r>
              <w:t>under</w:t>
            </w:r>
          </w:p>
        </w:tc>
      </w:tr>
    </w:tbl>
    <w:p>
      <w:r>
        <w:t>Finding: a collapsed-eastern-cod Baltic food web cannot hold the prey species in their ICES envelopes without the apex predator. A future disaggregation would need a non-cod top-down control to replace the lost predation.</w:t>
      </w:r>
    </w:p>
    <w:p>
      <w:pPr>
        <w:pStyle w:val="Heading1"/>
      </w:pPr>
      <w:r>
        <w:t>3  The percid overshoot — a missing-removals finding</w:t>
      </w:r>
    </w:p>
    <w:p>
      <w:pPr>
        <w:pStyle w:val="Heading2"/>
      </w:pPr>
      <w:r>
        <w:t>3.1  The model's percid problem</w:t>
      </w:r>
    </w:p>
    <w:p>
      <w:r>
        <w:t>The calibrated 5/8 baseline over-predicts perch (×5.5), pikeperch (×217) and smelt (×11). Prior work ruled out eight recruitment- and mortality-side tuning levers and concluded the overshoot is a structural coarse-grid habitat-carrying-capacity limit — the ~0.4°×0.3° grid cannot resolve the estuary/lagoon habitat that bounds real percid populations, and the calibration chose implausibly low percid fishing (perch F 0.029, pikeperch F 0.0095) only because their ICES assessment weight is 0.2.</w:t>
      </w:r>
    </w:p>
    <w:p>
      <w:pPr>
        <w:pStyle w:val="Heading2"/>
      </w:pPr>
      <w:r>
        <w:t>3.2  Scientific check — coastal and recreational fishing (SUPPORTED)</w:t>
      </w:r>
    </w:p>
    <w:p>
      <w:r>
        <w:t>The low percid fishing mortality is itself a reporting artifact. Baltic perch and pikeperch are exploited by small-scale coastal commercial AND recreational fisheries whose catch is poorly documented and not analytically (category-1) assessed by ICES, unlike cod/herring/sprat.</w:t>
      </w:r>
    </w:p>
    <w:p>
      <w:pPr>
        <w:pStyle w:val="ListBullet"/>
      </w:pPr>
      <w:r>
        <w:t>Recreational pikeperch catch can equal or exceed commercial landings. In Lithuania (Curonian Lagoon) recreational catches 'can greatly exceed commercial catches and impede population recovery after commercial closures'; they also exceed commercial in the Archipelago Sea (Baltic pikeperch status reviews, 2019–2024).</w:t>
      </w:r>
    </w:p>
    <w:p>
      <w:pPr>
        <w:pStyle w:val="ListBullet"/>
      </w:pPr>
      <w:r>
        <w:t>Recreational 'landings by anglers are not as well documented,' and coastal species 'remain inadequately represented in stock assessment models' (Hansson et al. 2018).</w:t>
      </w:r>
    </w:p>
    <w:p>
      <w:pPr>
        <w:pStyle w:val="Heading2"/>
      </w:pPr>
      <w:r>
        <w:t>3.3  Scientific check — seal and cormorant predation (SUPPORTED, and larger)</w:t>
      </w:r>
    </w:p>
    <w:p>
      <w:r>
        <w:t>The under-counted removal is even larger on the predation side. Hansson et al. (2018) quantify total Baltic fish extraction:</w:t>
      </w:r>
    </w:p>
    <w:tbl>
      <w:tblPr>
        <w:tblStyle w:val="LightGrid-Accent1"/>
        <w:tblW w:type="auto" w:w="0"/>
        <w:tblLook w:firstColumn="1" w:firstRow="1" w:lastColumn="0" w:lastRow="0" w:noHBand="0" w:noVBand="1" w:val="04A0"/>
      </w:tblPr>
      <w:tblGrid>
        <w:gridCol w:w="4320"/>
        <w:gridCol w:w="4320"/>
      </w:tblGrid>
      <w:tr>
        <w:tc>
          <w:tcPr>
            <w:tcW w:type="dxa" w:w="4320"/>
          </w:tcPr>
          <w:p>
            <w:r>
              <w:t>Agent</w:t>
            </w:r>
          </w:p>
        </w:tc>
        <w:tc>
          <w:tcPr>
            <w:tcW w:type="dxa" w:w="4320"/>
          </w:tcPr>
          <w:p>
            <w:r>
              <w:t>Annual Baltic removal</w:t>
            </w:r>
          </w:p>
        </w:tc>
      </w:tr>
      <w:tr>
        <w:tc>
          <w:tcPr>
            <w:tcW w:type="dxa" w:w="4320"/>
          </w:tcPr>
          <w:p>
            <w:r>
              <w:t>Fisheries (commercial + recreational)</w:t>
            </w:r>
          </w:p>
        </w:tc>
        <w:tc>
          <w:tcPr>
            <w:tcW w:type="dxa" w:w="4320"/>
          </w:tcPr>
          <w:p>
            <w:r>
              <w:t>~7 × 10⁵ t</w:t>
            </w:r>
          </w:p>
        </w:tc>
      </w:tr>
      <w:tr>
        <w:tc>
          <w:tcPr>
            <w:tcW w:type="dxa" w:w="4320"/>
          </w:tcPr>
          <w:p>
            <w:r>
              <w:t>Grey seals</w:t>
            </w:r>
          </w:p>
        </w:tc>
        <w:tc>
          <w:tcPr>
            <w:tcW w:type="dxa" w:w="4320"/>
          </w:tcPr>
          <w:p>
            <w:r>
              <w:t>~1 × 10⁵ t</w:t>
            </w:r>
          </w:p>
        </w:tc>
      </w:tr>
      <w:tr>
        <w:tc>
          <w:tcPr>
            <w:tcW w:type="dxa" w:w="4320"/>
          </w:tcPr>
          <w:p>
            <w:r>
              <w:t>Birds (mainly cormorants)</w:t>
            </w:r>
          </w:p>
        </w:tc>
        <w:tc>
          <w:tcPr>
            <w:tcW w:type="dxa" w:w="4320"/>
          </w:tcPr>
          <w:p>
            <w:r>
              <w:t>~1 × 10⁵ t</w:t>
            </w:r>
          </w:p>
        </w:tc>
      </w:tr>
    </w:tbl>
    <w:p>
      <w:r>
        <w:t>For coastal fish, birds and seals 'consume 2–3 times as much coastal fish as is caught in the fishery'; for perch specifically, 'cormorants and seals together consume twice as much as the fishery' (Hansson et al. 2018). Cormorant predation on Baltic perch is independently quantified by Heikinheimo et al. (2021) and Östman et al. (2013).</w:t>
      </w:r>
    </w:p>
    <w:p>
      <w:r>
        <w:t>Conclusion: the model under-represents percid removals twice over — missing recreational/unreported catch AND under-weighting seal/cormorant predation that is ~2× the fishery. This partly revises the 'purely structural' verdict and gives a citable basis for higher percid mortality. Caveat: prior work found mortality-side percid levers destabilised the system, so grounded magnitudes must be tested empirically, not assumed.</w:t>
      </w:r>
    </w:p>
    <w:p>
      <w:pPr>
        <w:pStyle w:val="Heading1"/>
      </w:pPr>
      <w:r>
        <w:t>4  Engine feasibility (Python engine)</w:t>
      </w:r>
    </w:p>
    <w:p>
      <w:pPr>
        <w:pStyle w:val="Heading2"/>
      </w:pPr>
      <w:r>
        <w:t>4.1  Background predators are real and calibratable</w:t>
      </w:r>
    </w:p>
    <w:p>
      <w:r>
        <w:t>Background species (GreySeal sp15, Cormorant sp16) are injected as schools each timestep and DO impose predation mortality on focal fish, scaled by their prescribed biomass × ingestion rate and gated by a predator/prey size-ratio window (seal 3–12× → herring/sprat/cod/flounder/large percids; cormorant 2.5–8× → perch/young pikeperch/small forage fish). Because they are absent from the accessibility matrix they currently predate at the default coefficient 1.0; adding a matrix column lets that coefficient be tuned down per prey. Calibration levers: prescribed biomass, ingestion.rate.max, size-ratio window, and (via a new matrix column) per-prey accessibility. A regression test already asserts a background predator reduces focal-prey abundance.</w:t>
      </w:r>
    </w:p>
    <w:p>
      <w:pPr>
        <w:pStyle w:val="Heading2"/>
      </w:pPr>
      <w:r>
        <w:t>4.2  Biomass forcing is NOT supported; fishing forcing IS</w:t>
      </w:r>
    </w:p>
    <w:p>
      <w:pPr>
        <w:pStyle w:val="ListBullet"/>
      </w:pPr>
      <w:r>
        <w:t>Background/resource biomass is a within-year seasonal cycle repeated identically every year (indexed step % ndtperyear) — it cannot represent a multi-year (e.g. annual ICES) trajectory, and focal species have no biomass-forcing mechanism at all.</w:t>
      </w:r>
    </w:p>
    <w:p>
      <w:pPr>
        <w:pStyle w:val="ListBullet"/>
      </w:pPr>
      <w:r>
        <w:t>Per-year external forcing DOES exist for fishing: mortality.fishing.rate.byYear and mortality.fishing.catches.byYear feed an annual time series into the engine. This is the supported route to drive cod down its real historical decline.</w:t>
      </w:r>
    </w:p>
    <w:p>
      <w:pPr>
        <w:pStyle w:val="Heading1"/>
      </w:pPr>
      <w:r>
        <w:t>5  The fishing-forced redesign</w:t>
      </w:r>
    </w:p>
    <w:p>
      <w:r>
        <w:t>Building on the aggregate-cod 5/8 baseline (not the failed disaggregation):</w:t>
      </w:r>
    </w:p>
    <w:p>
      <w:pPr>
        <w:pStyle w:val="ListBullet"/>
      </w:pPr>
      <w:r>
        <w:t>Drive cod down its real ICES decline via per-year FISHING forcing (mortality.fishing.catches.byYear from the ICES cod catch history), keeping cod a live focal predator so the food web stays intact and the apex-predator-release trap is avoided.</w:t>
      </w:r>
    </w:p>
    <w:p>
      <w:pPr>
        <w:pStyle w:val="ListBullet"/>
      </w:pPr>
      <w:r>
        <w:t>Raise percid removal to realistic total levels — higher F representing recreational + unreported small-scale coastal catch (Section 3.2).</w:t>
      </w:r>
    </w:p>
    <w:p>
      <w:pPr>
        <w:pStyle w:val="ListBullet"/>
      </w:pPr>
      <w:r>
        <w:t>Calibrate seal/cormorant top-down control (biomass + ingestion rate) to absorb the forage fish that lower cod releases and to add the perch/young-pikeperch predation that is ~2× the fishery (Section 3.3).</w:t>
      </w:r>
    </w:p>
    <w:p>
      <w:r>
        <w:t>Success bar (honest, structural): cod near its real depressed trajectory; prey species no worse than the 5/8 baseline; percids improved toward their envelopes without destabilising the high-weight stocks.</w:t>
      </w:r>
    </w:p>
    <w:p>
      <w:pPr>
        <w:pStyle w:val="Heading1"/>
      </w:pPr>
      <w:r>
        <w:t>6  References</w:t>
      </w:r>
    </w:p>
    <w:p>
      <w:pPr>
        <w:pStyle w:val="Heading2"/>
      </w:pPr>
      <w:r>
        <w:t>6.1  Verified this cycle (scientific check)</w:t>
      </w:r>
    </w:p>
    <w:p>
      <w:pPr>
        <w:pStyle w:val="ListBullet"/>
      </w:pPr>
      <w:r>
        <w:t>Hansson, S., Bergström, U., Bonsdorff, E., Härkönen, T., Jepsen, N., Kautsky, L., Lundström, K., et al. (2018). Competition for the fish – fish extraction from the Baltic Sea by humans, aquatic mammals, and birds. ICES Journal of Marine Science, 75(3), 999–1008. https://doi.org/10.1093/icesjms/fsx207  [full text read]</w:t>
      </w:r>
    </w:p>
    <w:p>
      <w:pPr>
        <w:pStyle w:val="ListBullet"/>
      </w:pPr>
      <w:r>
        <w:t>Olsson, J. (2019). Past and current trends of coastal predatory fish in the Baltic Sea with a focus on perch, pike, and pikeperch. Fishes, 4(1), 7. https://doi.org/10.3390/fishes4010007  [identified via scite]</w:t>
      </w:r>
    </w:p>
    <w:p>
      <w:pPr>
        <w:pStyle w:val="ListBullet"/>
      </w:pPr>
      <w:r>
        <w:t>Heikinheimo, O., Rusanen, P., &amp; Korhonen, K. (2021). Cormorant predation mortality of perch (Perca fluviatilis) in coastal and archipelago areas, northern Baltic Sea. ICES Journal of Marine Science. https://doi.org/10.1093/icesjms/fsab258  [via scite]</w:t>
      </w:r>
    </w:p>
    <w:p>
      <w:pPr>
        <w:pStyle w:val="ListBullet"/>
      </w:pPr>
      <w:r>
        <w:t>Östman, Ö., Boström, M. K., Bergström, U., Andersson, J., &amp; Lunneryd, S.-G. (2013). Estimating competition between wildlife and humans – a case of cormorants and coastal fisheries in the Baltic Sea. PLoS ONE, 8(12), e83763. https://doi.org/10.1371/journal.pone.0083763  [via scite]</w:t>
      </w:r>
    </w:p>
    <w:p>
      <w:pPr>
        <w:pStyle w:val="ListBullet"/>
      </w:pPr>
      <w:r>
        <w:t>Baltic pikeperch (Sander lucioperca) stock status &amp; management reviews, 2013–2024: 'Pikeperch in decline: high mortality of three populations in the northern Baltic Sea' (https://doi.org/10.1007/s13280-013-0429-z); 'Status and perspectives for pikeperch stocks in the Baltic Sea region and central Europe' (https://doi.org/10.1101/2022.12.20.521162); 'Management of pikeperch in the coastal waters of the Baltic Sea'.  [search-snippet level; recreational-share statements not full-text verified]</w:t>
      </w:r>
    </w:p>
    <w:p>
      <w:pPr>
        <w:pStyle w:val="Heading2"/>
      </w:pPr>
      <w:r>
        <w:t>6.2  Model provenance references (existing configuration citation base)</w:t>
      </w:r>
    </w:p>
    <w:p>
      <w:pPr>
        <w:pStyle w:val="ListBullet"/>
      </w:pPr>
      <w:r>
        <w:t>Plikshs, M., Kalejs, M., &amp; Grauman, G. (1993). The influence of environmental conditions and spawning stock size on the year-class strength of the eastern Baltic cod. ICES CM 1993/J:22.  [reproductive-volume recruitment gate]</w:t>
      </w:r>
    </w:p>
    <w:p>
      <w:pPr>
        <w:pStyle w:val="ListBullet"/>
      </w:pPr>
      <w:r>
        <w:t>Svedäng, H., et al. (2024). Post-2015 eastern Baltic cod condition and growth decline. [cod growth-impairment avenue, model report §4.5]</w:t>
      </w:r>
    </w:p>
    <w:p>
      <w:pPr>
        <w:pStyle w:val="ListBullet"/>
      </w:pPr>
      <w:r>
        <w:t>Momigliano, P., et al. (2018). Cryptic speciation and reproductive isolation in Baltic flounder (Platichthys flesus / P. solemdali).  [flounder salinity split]</w:t>
      </w:r>
    </w:p>
    <w:p>
      <w:pPr>
        <w:pStyle w:val="ListBullet"/>
      </w:pPr>
      <w:r>
        <w:t>Gårdmark, A., et al. (2012). Grey seal predation on Baltic herring.  [herring M]</w:t>
      </w:r>
    </w:p>
    <w:p>
      <w:pPr>
        <w:pStyle w:val="ListBullet"/>
      </w:pPr>
      <w:r>
        <w:t>Lundström, K., et al. (2010). Grey seal diet in the Baltic Sea. NAMMCO Scientific Publications. https://doi.org/10.7557/3.2733</w:t>
      </w:r>
    </w:p>
    <w:p>
      <w:pPr>
        <w:pStyle w:val="ListBullet"/>
      </w:pPr>
      <w:r>
        <w:t>Galatius, A., et al. (2020). Grey seal (Halichoerus grypus) abundance and distribution. https://doi.org/10.2981/wlb.00711</w:t>
      </w:r>
    </w:p>
    <w:p>
      <w:pPr>
        <w:pStyle w:val="ListBullet"/>
      </w:pPr>
      <w:r>
        <w:t>Olsson, J., et al. (2019). Large-scale assessment of three-spined stickleback biomass in the Baltic Sea. ICES Journal of Marine Science. https://doi.org/10.1093/icesjms/fsz078</w:t>
      </w:r>
    </w:p>
    <w:p>
      <w:pPr>
        <w:pStyle w:val="ListBullet"/>
      </w:pPr>
      <w:r>
        <w:t>ICES stock assessments: cod.27.24-32 (eastern Baltic cod) and cod.27.22-24 (western Baltic cod), retrieved via the ICES data service; ICES Baltic Sea ecoregion fisheries overview.</w:t>
      </w:r>
    </w:p>
    <w:p>
      <w:pPr>
        <w:pStyle w:val="Heading2"/>
      </w:pPr>
      <w:r>
        <w:t>6.3  Companion documents (this repository)</w:t>
      </w:r>
    </w:p>
    <w:p>
      <w:pPr>
        <w:pStyle w:val="ListBullet"/>
      </w:pPr>
      <w:r>
        <w:t>docs/baltic_cod_ew_phase1_report_2026-07-25.md — full Phase 1 disaggregation report</w:t>
      </w:r>
    </w:p>
    <w:p>
      <w:pPr>
        <w:pStyle w:val="ListBullet"/>
      </w:pPr>
      <w:r>
        <w:t>docs/baltic_cod_ew_calibration_finding_2026-07-25.md — calibration finding note</w:t>
      </w:r>
    </w:p>
    <w:p>
      <w:pPr>
        <w:pStyle w:val="ListBullet"/>
      </w:pPr>
      <w:r>
        <w:t>docs/baltic_percid_overshoot_conclusion_2026-07-05.md — prior 8-lever percid ruling</w:t>
      </w:r>
    </w:p>
    <w:p>
      <w:pPr>
        <w:pStyle w:val="ListBullet"/>
      </w:pPr>
      <w:r>
        <w:t>docs/baltic_salinity_gradient_exploration_2026-07-24.md — salinity/stock-fragmentation</w:t>
      </w:r>
    </w:p>
    <w:p>
      <w:pPr>
        <w:pStyle w:val="ListBullet"/>
      </w:pPr>
      <w:r>
        <w:t>docs/baltic_model_report_2026-07-24.docx — model description + fit + improvement avenues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