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Calibri" w:hAnsi="Calibri"/>
          <w:b/>
          <w:color w:val="1B2A4A"/>
          <w:sz w:val="48"/>
        </w:rPr>
        <w:t>CD-11 Voter Targeting Universe Memo</w:t>
      </w:r>
    </w:p>
    <w:p>
      <w:pPr>
        <w:spacing w:after="400"/>
        <w:jc w:val="center"/>
      </w:pPr>
      <w:r>
        <w:rPr>
          <w:rFonts w:ascii="Calibri" w:hAnsi="Calibri"/>
          <w:color w:val="666666"/>
          <w:sz w:val="32"/>
        </w:rPr>
        <w:t>Scott Wiener for Congress — June 2026 Primary</w:t>
      </w:r>
    </w:p>
    <w:p>
      <w:pPr>
        <w:jc w:val="center"/>
        <w:pBdr>
          <w:bottom w:val="single" w:sz="12" w:space="1" w:color="1B2A4A"/>
        </w:pBdr>
      </w:pPr>
    </w:p>
    <w:p>
      <w:pPr>
        <w:spacing w:after="40"/>
        <w:ind w:left="2160"/>
        <w:jc w:val="left"/>
      </w:pPr>
      <w:r>
        <w:rPr>
          <w:b/>
          <w:sz w:val="22"/>
          <w:szCs w:val="22"/>
          <w:color w:val="1B2A4A"/>
        </w:rPr>
        <w:t xml:space="preserve">To:  </w:t>
      </w:r>
      <w:r>
        <w:rPr>
          <w:sz w:val="22"/>
          <w:szCs w:val="22"/>
          <w:color w:val="333333"/>
        </w:rPr>
        <w:t>Campaign Leadership</w:t>
      </w:r>
    </w:p>
    <w:p>
      <w:pPr>
        <w:spacing w:after="40"/>
        <w:ind w:left="2160"/>
        <w:jc w:val="left"/>
      </w:pPr>
      <w:r>
        <w:rPr>
          <w:rFonts w:ascii="Calibri" w:hAnsi="Calibri"/>
          <w:b/>
          <w:color w:val="1B2A4A"/>
          <w:sz w:val="22"/>
        </w:rPr>
        <w:t xml:space="preserve">RE:  </w:t>
      </w:r>
      <w:r>
        <w:rPr>
          <w:rFonts w:ascii="Calibri" w:hAnsi="Calibri"/>
          <w:color w:val="333333"/>
          <w:sz w:val="22"/>
        </w:rPr>
        <w:t>Voter Targeting Universe — CA CD-11 Democratic Primary</w:t>
      </w:r>
    </w:p>
    <w:p>
      <w:r>
        <w:br w:type="page"/>
      </w:r>
    </w:p>
    <w:p>
      <w:pPr>
        <w:pStyle w:val="Heading1"/>
      </w:pPr>
      <w:r>
        <w:rPr>
          <w:rFonts w:ascii="Calibri" w:hAnsi="Calibri"/>
          <w:color w:val="1B2A4A"/>
        </w:rPr>
        <w:t>1. Executive Summary</w:t>
      </w:r>
    </w:p>
    <w:p>
      <w:pPr>
        <w:spacing w:after="120" w:before="0"/>
      </w:pPr>
      <w:r>
        <w:rPr>
          <w:rFonts w:ascii="Calibri" w:hAnsi="Calibri"/>
          <w:b w:val="0"/>
          <w:i w:val="0"/>
          <w:color w:val="333333"/>
          <w:sz w:val="22"/>
        </w:rPr>
        <w:t>This memo presents the results of our voter targeting model for California's 11th Congressional District (San Francisco, Supervisor Districts 1–10) ahead of the June 2026 Democratic primary election. The model assigns every registered voter a composite support score (0–100) calibrated against EMC Research polling and segments the electorate into three strategic universes: Base, Persuasion, and Opposition.</w:t>
      </w:r>
    </w:p>
    <w:p>
      <w:pPr>
        <w:spacing w:after="80" w:before="0"/>
      </w:pPr>
      <w:r>
        <w:rPr>
          <w:rFonts w:ascii="Calibri" w:hAnsi="Calibri"/>
          <w:b/>
          <w:i w:val="0"/>
          <w:color w:val="333333"/>
          <w:sz w:val="22"/>
        </w:rPr>
        <w:t>Key Findings:</w:t>
      </w:r>
    </w:p>
    <w:p>
      <w:pPr>
        <w:pStyle w:val="ListBullet"/>
        <w:spacing w:after="60" w:before="20"/>
        <w:ind w:left="720"/>
      </w:pPr>
      <w:r>
        <w:rPr>
          <w:rFonts w:ascii="Calibri" w:hAnsi="Calibri"/>
          <w:b/>
          <w:color w:val="333333"/>
          <w:sz w:val="22"/>
        </w:rPr>
        <w:t xml:space="preserve">Total Electorate: </w:t>
      </w:r>
      <w:r>
        <w:rPr>
          <w:rFonts w:ascii="Calibri" w:hAnsi="Calibri"/>
          <w:color w:val="333333"/>
          <w:sz w:val="22"/>
        </w:rPr>
        <w:t>448,376 registered voters in CD-11 (Supervisor Districts 1–10)</w:t>
      </w:r>
    </w:p>
    <w:p>
      <w:pPr>
        <w:pStyle w:val="ListBullet"/>
        <w:spacing w:after="60" w:before="20"/>
        <w:ind w:left="720"/>
      </w:pPr>
      <w:r>
        <w:rPr>
          <w:rFonts w:ascii="Calibri" w:hAnsi="Calibri"/>
          <w:b/>
          <w:color w:val="333333"/>
          <w:sz w:val="22"/>
        </w:rPr>
        <w:t xml:space="preserve">Universe Breakdown: </w:t>
      </w:r>
      <w:r>
        <w:rPr>
          <w:rFonts w:ascii="Calibri" w:hAnsi="Calibri"/>
          <w:color w:val="333333"/>
          <w:sz w:val="22"/>
        </w:rPr>
        <w:t>Base 170,727 (38.1%) | Persuasion 167,890 (37.4%) | Opposition 109,759 (24.5%)</w:t>
      </w:r>
    </w:p>
    <w:p>
      <w:pPr>
        <w:pStyle w:val="ListBullet"/>
        <w:spacing w:after="60" w:before="20"/>
        <w:ind w:left="720"/>
      </w:pPr>
      <w:r>
        <w:rPr>
          <w:rFonts w:ascii="Calibri" w:hAnsi="Calibri"/>
          <w:b/>
          <w:color w:val="333333"/>
          <w:sz w:val="22"/>
        </w:rPr>
        <w:t xml:space="preserve">Primary Opponent: </w:t>
      </w:r>
      <w:r>
        <w:rPr>
          <w:rFonts w:ascii="Calibri" w:hAnsi="Calibri"/>
          <w:color w:val="333333"/>
          <w:sz w:val="22"/>
        </w:rPr>
        <w:t>Saikat Chakrabarti — progressive challenger with deep-left coalition</w:t>
      </w:r>
    </w:p>
    <w:p>
      <w:pPr>
        <w:pStyle w:val="ListBullet"/>
        <w:spacing w:after="60" w:before="20"/>
        <w:ind w:left="720"/>
      </w:pPr>
      <w:r>
        <w:rPr>
          <w:rFonts w:ascii="Calibri" w:hAnsi="Calibri"/>
          <w:b/>
          <w:color w:val="333333"/>
          <w:sz w:val="22"/>
        </w:rPr>
        <w:t xml:space="preserve">Base Profile: </w:t>
      </w:r>
      <w:r>
        <w:rPr>
          <w:rFonts w:ascii="Calibri" w:hAnsi="Calibri"/>
          <w:color w:val="333333"/>
          <w:sz w:val="22"/>
        </w:rPr>
        <w:t>Scott’s base is concentrated among center-left, college-educated, LGBTQ+, White/API voters in Supervisor Districts 2, 3, 6, 7, and 8.</w:t>
      </w:r>
    </w:p>
    <w:p>
      <w:pPr>
        <w:pStyle w:val="ListBullet"/>
        <w:spacing w:after="60" w:before="20"/>
        <w:ind w:left="720"/>
      </w:pPr>
      <w:r>
        <w:rPr>
          <w:rFonts w:ascii="Calibri" w:hAnsi="Calibri"/>
          <w:b/>
          <w:color w:val="333333"/>
          <w:sz w:val="22"/>
        </w:rPr>
        <w:t>Strategic Imperative: Mobilize Base drop-off voters (62,725 supporters with turnout score below 45) and persuade swing voters in Districts 1, 4, 5, and 9.</w:t>
      </w:r>
      <w:r>
        <w:rPr>
          <w:rFonts w:ascii="Calibri" w:hAnsi="Calibri"/>
          <w:color w:val="333333"/>
          <w:sz w:val="22"/>
        </w:rPr>
      </w:r>
    </w:p>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2160"/>
            <w:shd w:fill="1B2A4A" w:val="clear"/>
          </w:tcPr>
          <w:p>
            <w:pPr>
              <w:spacing w:before="40" w:after="40"/>
              <w:jc w:val="center"/>
            </w:pPr>
            <w:r/>
            <w:r>
              <w:rPr>
                <w:rFonts w:ascii="Calibri" w:hAnsi="Calibri"/>
                <w:b/>
                <w:color w:val="FFFFFF"/>
                <w:sz w:val="18"/>
              </w:rPr>
              <w:t>Universe</w:t>
            </w:r>
          </w:p>
        </w:tc>
        <w:tc>
          <w:tcPr>
            <w:tcW w:type="dxa" w:w="1728"/>
            <w:shd w:fill="1B2A4A" w:val="clear"/>
          </w:tcPr>
          <w:p>
            <w:pPr>
              <w:spacing w:before="40" w:after="40"/>
              <w:jc w:val="center"/>
            </w:pPr>
            <w:r/>
            <w:r>
              <w:rPr>
                <w:rFonts w:ascii="Calibri" w:hAnsi="Calibri"/>
                <w:b/>
                <w:color w:val="FFFFFF"/>
                <w:sz w:val="18"/>
              </w:rPr>
              <w:t>Voters</w:t>
            </w:r>
          </w:p>
        </w:tc>
        <w:tc>
          <w:tcPr>
            <w:tcW w:type="dxa" w:w="1440"/>
            <w:shd w:fill="1B2A4A" w:val="clear"/>
          </w:tcPr>
          <w:p>
            <w:pPr>
              <w:spacing w:before="40" w:after="40"/>
              <w:jc w:val="center"/>
            </w:pPr>
            <w:r/>
            <w:r>
              <w:rPr>
                <w:rFonts w:ascii="Calibri" w:hAnsi="Calibri"/>
                <w:b/>
                <w:color w:val="FFFFFF"/>
                <w:sz w:val="18"/>
              </w:rPr>
              <w:t>Share</w:t>
            </w:r>
          </w:p>
        </w:tc>
        <w:tc>
          <w:tcPr>
            <w:tcW w:type="dxa" w:w="1584"/>
            <w:shd w:fill="1B2A4A" w:val="clear"/>
          </w:tcPr>
          <w:p>
            <w:pPr>
              <w:spacing w:before="40" w:after="40"/>
              <w:jc w:val="center"/>
            </w:pPr>
            <w:r/>
            <w:r>
              <w:rPr>
                <w:rFonts w:ascii="Calibri" w:hAnsi="Calibri"/>
                <w:b/>
                <w:color w:val="FFFFFF"/>
                <w:sz w:val="18"/>
              </w:rPr>
              <w:t>Avg Score</w:t>
            </w:r>
          </w:p>
        </w:tc>
        <w:tc>
          <w:tcPr>
            <w:tcW w:type="dxa" w:w="1584"/>
            <w:shd w:fill="1B2A4A" w:val="clear"/>
          </w:tcPr>
          <w:p>
            <w:pPr>
              <w:spacing w:before="40" w:after="40"/>
              <w:jc w:val="center"/>
            </w:pPr>
            <w:r/>
            <w:r>
              <w:rPr>
                <w:rFonts w:ascii="Calibri" w:hAnsi="Calibri"/>
                <w:b/>
                <w:color w:val="FFFFFF"/>
                <w:sz w:val="18"/>
              </w:rPr>
              <w:t>Avg Turnout</w:t>
              <w:br/>
              <w:t>Score</w:t>
            </w:r>
          </w:p>
        </w:tc>
      </w:tr>
      <w:tr>
        <w:tc>
          <w:tcPr>
            <w:tcW w:type="dxa" w:w="2160"/>
          </w:tcPr>
          <w:p>
            <w:pPr>
              <w:spacing w:before="40" w:after="40"/>
              <w:jc w:val="center"/>
            </w:pPr>
            <w:r/>
            <w:r>
              <w:rPr>
                <w:rFonts w:ascii="Calibri" w:hAnsi="Calibri"/>
                <w:b/>
                <w:color w:val="333333"/>
                <w:sz w:val="18"/>
              </w:rPr>
              <w:t>Base</w:t>
            </w:r>
          </w:p>
        </w:tc>
        <w:tc>
          <w:tcPr>
            <w:tcW w:type="dxa" w:w="1728"/>
          </w:tcPr>
          <w:p>
            <w:pPr>
              <w:spacing w:before="40" w:after="40"/>
              <w:jc w:val="center"/>
            </w:pPr>
            <w:r/>
            <w:r>
              <w:rPr>
                <w:rFonts w:ascii="Calibri" w:hAnsi="Calibri"/>
                <w:b w:val="0"/>
                <w:color w:val="333333"/>
                <w:sz w:val="18"/>
              </w:rPr>
              <w:t>170,727</w:t>
            </w:r>
          </w:p>
        </w:tc>
        <w:tc>
          <w:tcPr>
            <w:tcW w:type="dxa" w:w="1440"/>
          </w:tcPr>
          <w:p>
            <w:pPr>
              <w:spacing w:before="40" w:after="40"/>
              <w:jc w:val="center"/>
            </w:pPr>
            <w:r/>
            <w:r>
              <w:rPr>
                <w:rFonts w:ascii="Calibri" w:hAnsi="Calibri"/>
                <w:b w:val="0"/>
                <w:color w:val="333333"/>
                <w:sz w:val="18"/>
              </w:rPr>
              <w:t>38.1%</w:t>
            </w:r>
          </w:p>
        </w:tc>
        <w:tc>
          <w:tcPr>
            <w:tcW w:type="dxa" w:w="1584"/>
          </w:tcPr>
          <w:p>
            <w:pPr>
              <w:spacing w:before="40" w:after="40"/>
              <w:jc w:val="center"/>
            </w:pPr>
            <w:r/>
            <w:r>
              <w:rPr>
                <w:rFonts w:ascii="Calibri" w:hAnsi="Calibri"/>
                <w:b w:val="0"/>
                <w:color w:val="333333"/>
                <w:sz w:val="18"/>
              </w:rPr>
              <w:t>76.6</w:t>
            </w:r>
          </w:p>
        </w:tc>
        <w:tc>
          <w:tcPr>
            <w:tcW w:type="dxa" w:w="1584"/>
          </w:tcPr>
          <w:p>
            <w:pPr>
              <w:spacing w:before="40" w:after="40"/>
              <w:jc w:val="center"/>
            </w:pPr>
            <w:r/>
            <w:r>
              <w:rPr>
                <w:rFonts w:ascii="Calibri" w:hAnsi="Calibri"/>
                <w:b w:val="0"/>
                <w:color w:val="333333"/>
                <w:sz w:val="18"/>
              </w:rPr>
              <w:t>52.1</w:t>
            </w:r>
          </w:p>
        </w:tc>
      </w:tr>
      <w:tr>
        <w:tc>
          <w:tcPr>
            <w:tcW w:type="dxa" w:w="2160"/>
            <w:shd w:fill="DBE5F1" w:val="clear"/>
          </w:tcPr>
          <w:p>
            <w:pPr>
              <w:spacing w:before="40" w:after="40"/>
              <w:jc w:val="center"/>
            </w:pPr>
            <w:r/>
            <w:r>
              <w:rPr>
                <w:rFonts w:ascii="Calibri" w:hAnsi="Calibri"/>
                <w:b/>
                <w:color w:val="333333"/>
                <w:sz w:val="18"/>
              </w:rPr>
              <w:t>Persuasion</w:t>
            </w:r>
          </w:p>
        </w:tc>
        <w:tc>
          <w:tcPr>
            <w:tcW w:type="dxa" w:w="1728"/>
            <w:shd w:fill="DBE5F1" w:val="clear"/>
          </w:tcPr>
          <w:p>
            <w:pPr>
              <w:spacing w:before="40" w:after="40"/>
              <w:jc w:val="center"/>
            </w:pPr>
            <w:r/>
            <w:r>
              <w:rPr>
                <w:rFonts w:ascii="Calibri" w:hAnsi="Calibri"/>
                <w:b w:val="0"/>
                <w:color w:val="333333"/>
                <w:sz w:val="18"/>
              </w:rPr>
              <w:t>167,890</w:t>
            </w:r>
          </w:p>
        </w:tc>
        <w:tc>
          <w:tcPr>
            <w:tcW w:type="dxa" w:w="1440"/>
            <w:shd w:fill="DBE5F1" w:val="clear"/>
          </w:tcPr>
          <w:p>
            <w:pPr>
              <w:spacing w:before="40" w:after="40"/>
              <w:jc w:val="center"/>
            </w:pPr>
            <w:r/>
            <w:r>
              <w:rPr>
                <w:rFonts w:ascii="Calibri" w:hAnsi="Calibri"/>
                <w:b w:val="0"/>
                <w:color w:val="333333"/>
                <w:sz w:val="18"/>
              </w:rPr>
              <w:t>37.4%</w:t>
            </w:r>
          </w:p>
        </w:tc>
        <w:tc>
          <w:tcPr>
            <w:tcW w:type="dxa" w:w="1584"/>
            <w:shd w:fill="DBE5F1" w:val="clear"/>
          </w:tcPr>
          <w:p>
            <w:pPr>
              <w:spacing w:before="40" w:after="40"/>
              <w:jc w:val="center"/>
            </w:pPr>
            <w:r/>
            <w:r>
              <w:rPr>
                <w:rFonts w:ascii="Calibri" w:hAnsi="Calibri"/>
                <w:b w:val="0"/>
                <w:color w:val="333333"/>
                <w:sz w:val="18"/>
              </w:rPr>
              <w:t>52.4</w:t>
            </w:r>
          </w:p>
        </w:tc>
        <w:tc>
          <w:tcPr>
            <w:tcW w:type="dxa" w:w="1584"/>
            <w:shd w:fill="DBE5F1" w:val="clear"/>
          </w:tcPr>
          <w:p>
            <w:pPr>
              <w:spacing w:before="40" w:after="40"/>
              <w:jc w:val="center"/>
            </w:pPr>
            <w:r/>
            <w:r>
              <w:rPr>
                <w:rFonts w:ascii="Calibri" w:hAnsi="Calibri"/>
                <w:b w:val="0"/>
                <w:color w:val="333333"/>
                <w:sz w:val="18"/>
              </w:rPr>
              <w:t>32.5</w:t>
            </w:r>
          </w:p>
        </w:tc>
      </w:tr>
      <w:tr>
        <w:tc>
          <w:tcPr>
            <w:tcW w:type="dxa" w:w="2160"/>
          </w:tcPr>
          <w:p>
            <w:pPr>
              <w:spacing w:before="40" w:after="40"/>
              <w:jc w:val="center"/>
            </w:pPr>
            <w:r/>
            <w:r>
              <w:rPr>
                <w:rFonts w:ascii="Calibri" w:hAnsi="Calibri"/>
                <w:b/>
                <w:color w:val="333333"/>
                <w:sz w:val="18"/>
              </w:rPr>
              <w:t>Opposition</w:t>
            </w:r>
          </w:p>
        </w:tc>
        <w:tc>
          <w:tcPr>
            <w:tcW w:type="dxa" w:w="1728"/>
          </w:tcPr>
          <w:p>
            <w:pPr>
              <w:spacing w:before="40" w:after="40"/>
              <w:jc w:val="center"/>
            </w:pPr>
            <w:r/>
            <w:r>
              <w:rPr>
                <w:rFonts w:ascii="Calibri" w:hAnsi="Calibri"/>
                <w:b w:val="0"/>
                <w:color w:val="333333"/>
                <w:sz w:val="18"/>
              </w:rPr>
              <w:t>109,759</w:t>
            </w:r>
          </w:p>
        </w:tc>
        <w:tc>
          <w:tcPr>
            <w:tcW w:type="dxa" w:w="1440"/>
          </w:tcPr>
          <w:p>
            <w:pPr>
              <w:spacing w:before="40" w:after="40"/>
              <w:jc w:val="center"/>
            </w:pPr>
            <w:r/>
            <w:r>
              <w:rPr>
                <w:rFonts w:ascii="Calibri" w:hAnsi="Calibri"/>
                <w:b w:val="0"/>
                <w:color w:val="333333"/>
                <w:sz w:val="18"/>
              </w:rPr>
              <w:t>24.5%</w:t>
            </w:r>
          </w:p>
        </w:tc>
        <w:tc>
          <w:tcPr>
            <w:tcW w:type="dxa" w:w="1584"/>
          </w:tcPr>
          <w:p>
            <w:pPr>
              <w:spacing w:before="40" w:after="40"/>
              <w:jc w:val="center"/>
            </w:pPr>
            <w:r/>
            <w:r>
              <w:rPr>
                <w:rFonts w:ascii="Calibri" w:hAnsi="Calibri"/>
                <w:b w:val="0"/>
                <w:color w:val="333333"/>
                <w:sz w:val="18"/>
              </w:rPr>
              <w:t>40.7</w:t>
            </w:r>
          </w:p>
        </w:tc>
        <w:tc>
          <w:tcPr>
            <w:tcW w:type="dxa" w:w="1584"/>
          </w:tcPr>
          <w:p>
            <w:pPr>
              <w:spacing w:before="40" w:after="40"/>
              <w:jc w:val="center"/>
            </w:pPr>
            <w:r/>
            <w:r>
              <w:rPr>
                <w:rFonts w:ascii="Calibri" w:hAnsi="Calibri"/>
                <w:b w:val="0"/>
                <w:color w:val="333333"/>
                <w:sz w:val="18"/>
              </w:rPr>
              <w:t>30.2</w:t>
            </w:r>
          </w:p>
        </w:tc>
      </w:tr>
      <w:tr>
        <w:tc>
          <w:tcPr>
            <w:tcW w:type="dxa" w:w="2160"/>
            <w:shd w:fill="DBE5F1" w:val="clear"/>
          </w:tcPr>
          <w:p>
            <w:pPr>
              <w:spacing w:before="40" w:after="40"/>
              <w:jc w:val="center"/>
            </w:pPr>
            <w:r/>
            <w:r>
              <w:rPr>
                <w:rFonts w:ascii="Calibri" w:hAnsi="Calibri"/>
                <w:b/>
                <w:color w:val="333333"/>
                <w:sz w:val="18"/>
              </w:rPr>
              <w:t>TOTAL</w:t>
            </w:r>
          </w:p>
        </w:tc>
        <w:tc>
          <w:tcPr>
            <w:tcW w:type="dxa" w:w="1728"/>
            <w:shd w:fill="DBE5F1" w:val="clear"/>
          </w:tcPr>
          <w:p>
            <w:pPr>
              <w:spacing w:before="40" w:after="40"/>
              <w:jc w:val="center"/>
            </w:pPr>
            <w:r/>
            <w:r>
              <w:rPr>
                <w:rFonts w:ascii="Calibri" w:hAnsi="Calibri"/>
                <w:b w:val="0"/>
                <w:color w:val="333333"/>
                <w:sz w:val="18"/>
              </w:rPr>
              <w:t>448,376</w:t>
            </w:r>
          </w:p>
        </w:tc>
        <w:tc>
          <w:tcPr>
            <w:tcW w:type="dxa" w:w="1440"/>
            <w:shd w:fill="DBE5F1" w:val="clear"/>
          </w:tcPr>
          <w:p>
            <w:pPr>
              <w:spacing w:before="40" w:after="40"/>
              <w:jc w:val="center"/>
            </w:pPr>
            <w:r/>
            <w:r>
              <w:rPr>
                <w:rFonts w:ascii="Calibri" w:hAnsi="Calibri"/>
                <w:b w:val="0"/>
                <w:color w:val="333333"/>
                <w:sz w:val="18"/>
              </w:rPr>
              <w:t>100.0%</w:t>
            </w:r>
          </w:p>
        </w:tc>
        <w:tc>
          <w:tcPr>
            <w:tcW w:type="dxa" w:w="1584"/>
            <w:shd w:fill="DBE5F1" w:val="clear"/>
          </w:tcPr>
          <w:p>
            <w:pPr>
              <w:spacing w:before="40" w:after="40"/>
              <w:jc w:val="center"/>
            </w:pPr>
            <w:r/>
            <w:r>
              <w:rPr>
                <w:rFonts w:ascii="Calibri" w:hAnsi="Calibri"/>
                <w:b w:val="0"/>
                <w:color w:val="333333"/>
                <w:sz w:val="18"/>
              </w:rPr>
              <w:t>—</w:t>
            </w:r>
          </w:p>
        </w:tc>
        <w:tc>
          <w:tcPr>
            <w:tcW w:type="dxa" w:w="1584"/>
            <w:shd w:fill="DBE5F1" w:val="clear"/>
          </w:tcPr>
          <w:p>
            <w:pPr>
              <w:spacing w:before="40" w:after="40"/>
              <w:jc w:val="center"/>
            </w:pPr>
            <w:r/>
            <w:r>
              <w:rPr>
                <w:rFonts w:ascii="Calibri" w:hAnsi="Calibri"/>
                <w:b w:val="0"/>
                <w:color w:val="333333"/>
                <w:sz w:val="18"/>
              </w:rPr>
              <w:t>—</w:t>
            </w:r>
          </w:p>
        </w:tc>
      </w:tr>
    </w:tbl>
    <w:p>
      <w:r>
        <w:br w:type="page"/>
      </w:r>
    </w:p>
    <w:p>
      <w:pPr>
        <w:pStyle w:val="Heading1"/>
      </w:pPr>
      <w:r>
        <w:rPr>
          <w:rFonts w:ascii="Calibri" w:hAnsi="Calibri"/>
          <w:color w:val="1B2A4A"/>
        </w:rPr>
        <w:t>2. Methodology</w:t>
      </w:r>
    </w:p>
    <w:p>
      <w:pPr>
        <w:spacing w:after="120" w:before="0"/>
      </w:pPr>
      <w:r>
        <w:rPr>
          <w:rFonts w:ascii="Calibri" w:hAnsi="Calibri"/>
          <w:b w:val="0"/>
          <w:i w:val="0"/>
          <w:color w:val="333333"/>
          <w:sz w:val="22"/>
        </w:rPr>
        <w:t>Each registered voter in CD-11 receives a composite support score (0–100) derived from eight weighted factors, calibrated against EMC Research polling crosstabs (February 2026, n=800). The model integrates TargetSmart modeled data with geographic, demographic, and behavioral indicators to estimate each voter’s likelihood of supporting Scott Wiener in a head-to-head primary.</w:t>
      </w:r>
    </w:p>
    <w:p>
      <w:pPr>
        <w:spacing w:before="200" w:after="80"/>
      </w:pPr>
      <w:r>
        <w:rPr>
          <w:rFonts w:ascii="Calibri" w:hAnsi="Calibri"/>
          <w:b/>
          <w:color w:val="1B2A4A"/>
          <w:sz w:val="24"/>
        </w:rPr>
        <w:t>Scoring Factors</w:t>
      </w:r>
    </w:p>
    <w:tbl>
      <w:tblPr>
        <w:tblW w:type="auto" w:w="0"/>
        <w:jc w:val="center"/>
        <w:tblLayout w:type="autofit"/>
        <w:tblLook w:firstColumn="1" w:firstRow="1" w:lastColumn="0" w:lastRow="0" w:noHBand="0" w:noVBand="1" w:val="04A0"/>
      </w:tblPr>
      <w:tblGrid>
        <w:gridCol w:w="3120"/>
        <w:gridCol w:w="3120"/>
        <w:gridCol w:w="3120"/>
      </w:tblGrid>
      <w:tr>
        <w:tc>
          <w:tcPr>
            <w:tcW w:type="dxa" w:w="2160"/>
            <w:shd w:fill="1B2A4A" w:val="clear"/>
          </w:tcPr>
          <w:p>
            <w:pPr>
              <w:spacing w:before="40" w:after="40"/>
              <w:jc w:val="center"/>
            </w:pPr>
            <w:r/>
            <w:r>
              <w:rPr>
                <w:rFonts w:ascii="Calibri" w:hAnsi="Calibri"/>
                <w:b/>
                <w:color w:val="FFFFFF"/>
                <w:sz w:val="18"/>
              </w:rPr>
              <w:t>Factor</w:t>
            </w:r>
          </w:p>
        </w:tc>
        <w:tc>
          <w:tcPr>
            <w:tcW w:type="dxa" w:w="1440"/>
            <w:shd w:fill="1B2A4A" w:val="clear"/>
          </w:tcPr>
          <w:p>
            <w:pPr>
              <w:spacing w:before="40" w:after="40"/>
              <w:jc w:val="center"/>
            </w:pPr>
            <w:r/>
            <w:r>
              <w:rPr>
                <w:rFonts w:ascii="Calibri" w:hAnsi="Calibri"/>
                <w:b/>
                <w:color w:val="FFFFFF"/>
                <w:sz w:val="18"/>
              </w:rPr>
              <w:t>Max Points</w:t>
            </w:r>
          </w:p>
        </w:tc>
        <w:tc>
          <w:tcPr>
            <w:tcW w:type="dxa" w:w="5040"/>
            <w:shd w:fill="1B2A4A" w:val="clear"/>
          </w:tcPr>
          <w:p>
            <w:pPr>
              <w:spacing w:before="40" w:after="40"/>
              <w:jc w:val="center"/>
            </w:pPr>
            <w:r/>
            <w:r>
              <w:rPr>
                <w:rFonts w:ascii="Calibri" w:hAnsi="Calibri"/>
                <w:b/>
                <w:color w:val="FFFFFF"/>
                <w:sz w:val="18"/>
              </w:rPr>
              <w:t>Data Source</w:t>
            </w:r>
          </w:p>
        </w:tc>
      </w:tr>
      <w:tr>
        <w:tc>
          <w:tcPr>
            <w:tcW w:type="dxa" w:w="2160"/>
          </w:tcPr>
          <w:p>
            <w:pPr>
              <w:spacing w:before="40" w:after="40"/>
              <w:jc w:val="center"/>
            </w:pPr>
            <w:r/>
            <w:r>
              <w:rPr>
                <w:rFonts w:ascii="Calibri" w:hAnsi="Calibri"/>
                <w:b/>
                <w:color w:val="333333"/>
                <w:sz w:val="18"/>
              </w:rPr>
              <w:t>Ideology</w:t>
            </w:r>
          </w:p>
        </w:tc>
        <w:tc>
          <w:tcPr>
            <w:tcW w:type="dxa" w:w="1440"/>
          </w:tcPr>
          <w:p>
            <w:pPr>
              <w:spacing w:before="40" w:after="40"/>
              <w:jc w:val="center"/>
            </w:pPr>
            <w:r/>
            <w:r>
              <w:rPr>
                <w:rFonts w:ascii="Calibri" w:hAnsi="Calibri"/>
                <w:b w:val="0"/>
                <w:color w:val="333333"/>
                <w:sz w:val="18"/>
              </w:rPr>
              <w:t>30</w:t>
            </w:r>
          </w:p>
        </w:tc>
        <w:tc>
          <w:tcPr>
            <w:tcW w:type="dxa" w:w="5040"/>
          </w:tcPr>
          <w:p>
            <w:pPr>
              <w:spacing w:before="40" w:after="40"/>
              <w:jc w:val="center"/>
            </w:pPr>
            <w:r/>
            <w:r>
              <w:rPr>
                <w:rFonts w:ascii="Calibri" w:hAnsi="Calibri"/>
                <w:b w:val="0"/>
                <w:color w:val="333333"/>
                <w:sz w:val="18"/>
              </w:rPr>
              <w:t>TargetSmart Partisan Score + modeled ideology</w:t>
            </w:r>
          </w:p>
        </w:tc>
      </w:tr>
      <w:tr>
        <w:tc>
          <w:tcPr>
            <w:tcW w:type="dxa" w:w="2160"/>
            <w:shd w:fill="DBE5F1" w:val="clear"/>
          </w:tcPr>
          <w:p>
            <w:pPr>
              <w:spacing w:before="40" w:after="40"/>
              <w:jc w:val="center"/>
            </w:pPr>
            <w:r/>
            <w:r>
              <w:rPr>
                <w:rFonts w:ascii="Calibri" w:hAnsi="Calibri"/>
                <w:b/>
                <w:color w:val="333333"/>
                <w:sz w:val="18"/>
              </w:rPr>
              <w:t>LGBTQ+ Proxy</w:t>
            </w:r>
          </w:p>
        </w:tc>
        <w:tc>
          <w:tcPr>
            <w:tcW w:type="dxa" w:w="1440"/>
            <w:shd w:fill="DBE5F1" w:val="clear"/>
          </w:tcPr>
          <w:p>
            <w:pPr>
              <w:spacing w:before="40" w:after="40"/>
              <w:jc w:val="center"/>
            </w:pPr>
            <w:r/>
            <w:r>
              <w:rPr>
                <w:rFonts w:ascii="Calibri" w:hAnsi="Calibri"/>
                <w:b w:val="0"/>
                <w:color w:val="333333"/>
                <w:sz w:val="18"/>
              </w:rPr>
              <w:t>20</w:t>
            </w:r>
          </w:p>
        </w:tc>
        <w:tc>
          <w:tcPr>
            <w:tcW w:type="dxa" w:w="5040"/>
            <w:shd w:fill="DBE5F1" w:val="clear"/>
          </w:tcPr>
          <w:p>
            <w:pPr>
              <w:spacing w:before="40" w:after="40"/>
              <w:jc w:val="center"/>
            </w:pPr>
            <w:r/>
            <w:r>
              <w:rPr>
                <w:rFonts w:ascii="Calibri" w:hAnsi="Calibri"/>
                <w:b w:val="0"/>
                <w:color w:val="333333"/>
                <w:sz w:val="18"/>
              </w:rPr>
              <w:t>Marriage Equality support + HRC donation flag</w:t>
            </w:r>
          </w:p>
        </w:tc>
      </w:tr>
      <w:tr>
        <w:tc>
          <w:tcPr>
            <w:tcW w:type="dxa" w:w="2160"/>
          </w:tcPr>
          <w:p>
            <w:pPr>
              <w:spacing w:before="40" w:after="40"/>
              <w:jc w:val="center"/>
            </w:pPr>
            <w:r/>
            <w:r>
              <w:rPr>
                <w:rFonts w:ascii="Calibri" w:hAnsi="Calibri"/>
                <w:b/>
                <w:color w:val="333333"/>
                <w:sz w:val="18"/>
              </w:rPr>
              <w:t>Geography</w:t>
            </w:r>
          </w:p>
        </w:tc>
        <w:tc>
          <w:tcPr>
            <w:tcW w:type="dxa" w:w="1440"/>
          </w:tcPr>
          <w:p>
            <w:pPr>
              <w:spacing w:before="40" w:after="40"/>
              <w:jc w:val="center"/>
            </w:pPr>
            <w:r/>
            <w:r>
              <w:rPr>
                <w:rFonts w:ascii="Calibri" w:hAnsi="Calibri"/>
                <w:b w:val="0"/>
                <w:color w:val="333333"/>
                <w:sz w:val="18"/>
              </w:rPr>
              <w:t>15</w:t>
            </w:r>
          </w:p>
        </w:tc>
        <w:tc>
          <w:tcPr>
            <w:tcW w:type="dxa" w:w="5040"/>
          </w:tcPr>
          <w:p>
            <w:pPr>
              <w:spacing w:before="40" w:after="40"/>
              <w:jc w:val="center"/>
            </w:pPr>
            <w:r/>
            <w:r>
              <w:rPr>
                <w:rFonts w:ascii="Calibri" w:hAnsi="Calibri"/>
                <w:b w:val="0"/>
                <w:color w:val="333333"/>
                <w:sz w:val="18"/>
              </w:rPr>
              <w:t>Supervisor District performance benchmarks</w:t>
            </w:r>
          </w:p>
        </w:tc>
      </w:tr>
      <w:tr>
        <w:tc>
          <w:tcPr>
            <w:tcW w:type="dxa" w:w="2160"/>
            <w:shd w:fill="DBE5F1" w:val="clear"/>
          </w:tcPr>
          <w:p>
            <w:pPr>
              <w:spacing w:before="40" w:after="40"/>
              <w:jc w:val="center"/>
            </w:pPr>
            <w:r/>
            <w:r>
              <w:rPr>
                <w:rFonts w:ascii="Calibri" w:hAnsi="Calibri"/>
                <w:b/>
                <w:color w:val="333333"/>
                <w:sz w:val="18"/>
              </w:rPr>
              <w:t>Race/Ethnicity</w:t>
            </w:r>
          </w:p>
        </w:tc>
        <w:tc>
          <w:tcPr>
            <w:tcW w:type="dxa" w:w="1440"/>
            <w:shd w:fill="DBE5F1" w:val="clear"/>
          </w:tcPr>
          <w:p>
            <w:pPr>
              <w:spacing w:before="40" w:after="40"/>
              <w:jc w:val="center"/>
            </w:pPr>
            <w:r/>
            <w:r>
              <w:rPr>
                <w:rFonts w:ascii="Calibri" w:hAnsi="Calibri"/>
                <w:b w:val="0"/>
                <w:color w:val="333333"/>
                <w:sz w:val="18"/>
              </w:rPr>
              <w:t>10</w:t>
            </w:r>
          </w:p>
        </w:tc>
        <w:tc>
          <w:tcPr>
            <w:tcW w:type="dxa" w:w="5040"/>
            <w:shd w:fill="DBE5F1" w:val="clear"/>
          </w:tcPr>
          <w:p>
            <w:pPr>
              <w:spacing w:before="40" w:after="40"/>
              <w:jc w:val="center"/>
            </w:pPr>
            <w:r/>
            <w:r>
              <w:rPr>
                <w:rFonts w:ascii="Calibri" w:hAnsi="Calibri"/>
                <w:b w:val="0"/>
                <w:color w:val="333333"/>
                <w:sz w:val="18"/>
              </w:rPr>
              <w:t>TargetSmart modeled ethnicity</w:t>
            </w:r>
          </w:p>
        </w:tc>
      </w:tr>
      <w:tr>
        <w:tc>
          <w:tcPr>
            <w:tcW w:type="dxa" w:w="2160"/>
          </w:tcPr>
          <w:p>
            <w:pPr>
              <w:spacing w:before="40" w:after="40"/>
              <w:jc w:val="center"/>
            </w:pPr>
            <w:r/>
            <w:r>
              <w:rPr>
                <w:rFonts w:ascii="Calibri" w:hAnsi="Calibri"/>
                <w:b/>
                <w:color w:val="333333"/>
                <w:sz w:val="18"/>
              </w:rPr>
              <w:t>Age</w:t>
            </w:r>
          </w:p>
        </w:tc>
        <w:tc>
          <w:tcPr>
            <w:tcW w:type="dxa" w:w="1440"/>
          </w:tcPr>
          <w:p>
            <w:pPr>
              <w:spacing w:before="40" w:after="40"/>
              <w:jc w:val="center"/>
            </w:pPr>
            <w:r/>
            <w:r>
              <w:rPr>
                <w:rFonts w:ascii="Calibri" w:hAnsi="Calibri"/>
                <w:b w:val="0"/>
                <w:color w:val="333333"/>
                <w:sz w:val="18"/>
              </w:rPr>
              <w:t>8</w:t>
            </w:r>
          </w:p>
        </w:tc>
        <w:tc>
          <w:tcPr>
            <w:tcW w:type="dxa" w:w="5040"/>
          </w:tcPr>
          <w:p>
            <w:pPr>
              <w:spacing w:before="40" w:after="40"/>
              <w:jc w:val="center"/>
            </w:pPr>
            <w:r/>
            <w:r>
              <w:rPr>
                <w:rFonts w:ascii="Calibri" w:hAnsi="Calibri"/>
                <w:b w:val="0"/>
                <w:color w:val="333333"/>
                <w:sz w:val="18"/>
              </w:rPr>
              <w:t>Voter file date of birth</w:t>
            </w:r>
          </w:p>
        </w:tc>
      </w:tr>
      <w:tr>
        <w:tc>
          <w:tcPr>
            <w:tcW w:type="dxa" w:w="2160"/>
            <w:shd w:fill="DBE5F1" w:val="clear"/>
          </w:tcPr>
          <w:p>
            <w:pPr>
              <w:spacing w:before="40" w:after="40"/>
              <w:jc w:val="center"/>
            </w:pPr>
            <w:r/>
            <w:r>
              <w:rPr>
                <w:rFonts w:ascii="Calibri" w:hAnsi="Calibri"/>
                <w:b/>
                <w:color w:val="333333"/>
                <w:sz w:val="18"/>
              </w:rPr>
              <w:t>Education</w:t>
            </w:r>
          </w:p>
        </w:tc>
        <w:tc>
          <w:tcPr>
            <w:tcW w:type="dxa" w:w="1440"/>
            <w:shd w:fill="DBE5F1" w:val="clear"/>
          </w:tcPr>
          <w:p>
            <w:pPr>
              <w:spacing w:before="40" w:after="40"/>
              <w:jc w:val="center"/>
            </w:pPr>
            <w:r/>
            <w:r>
              <w:rPr>
                <w:rFonts w:ascii="Calibri" w:hAnsi="Calibri"/>
                <w:b w:val="0"/>
                <w:color w:val="333333"/>
                <w:sz w:val="18"/>
              </w:rPr>
              <w:t>7</w:t>
            </w:r>
          </w:p>
        </w:tc>
        <w:tc>
          <w:tcPr>
            <w:tcW w:type="dxa" w:w="5040"/>
            <w:shd w:fill="DBE5F1" w:val="clear"/>
          </w:tcPr>
          <w:p>
            <w:pPr>
              <w:spacing w:before="40" w:after="40"/>
              <w:jc w:val="center"/>
            </w:pPr>
            <w:r/>
            <w:r>
              <w:rPr>
                <w:rFonts w:ascii="Calibri" w:hAnsi="Calibri"/>
                <w:b w:val="0"/>
                <w:color w:val="333333"/>
                <w:sz w:val="18"/>
              </w:rPr>
              <w:t>TargetSmart modeled education level</w:t>
            </w:r>
          </w:p>
        </w:tc>
      </w:tr>
      <w:tr>
        <w:tc>
          <w:tcPr>
            <w:tcW w:type="dxa" w:w="2160"/>
          </w:tcPr>
          <w:p>
            <w:pPr>
              <w:spacing w:before="40" w:after="40"/>
              <w:jc w:val="center"/>
            </w:pPr>
            <w:r/>
            <w:r>
              <w:rPr>
                <w:rFonts w:ascii="Calibri" w:hAnsi="Calibri"/>
                <w:b/>
                <w:color w:val="333333"/>
                <w:sz w:val="18"/>
              </w:rPr>
              <w:t>Vote Frequency</w:t>
            </w:r>
          </w:p>
        </w:tc>
        <w:tc>
          <w:tcPr>
            <w:tcW w:type="dxa" w:w="1440"/>
          </w:tcPr>
          <w:p>
            <w:pPr>
              <w:spacing w:before="40" w:after="40"/>
              <w:jc w:val="center"/>
            </w:pPr>
            <w:r/>
            <w:r>
              <w:rPr>
                <w:rFonts w:ascii="Calibri" w:hAnsi="Calibri"/>
                <w:b w:val="0"/>
                <w:color w:val="333333"/>
                <w:sz w:val="18"/>
              </w:rPr>
              <w:t>5</w:t>
            </w:r>
          </w:p>
        </w:tc>
        <w:tc>
          <w:tcPr>
            <w:tcW w:type="dxa" w:w="5040"/>
          </w:tcPr>
          <w:p>
            <w:pPr>
              <w:spacing w:before="40" w:after="40"/>
              <w:jc w:val="center"/>
            </w:pPr>
            <w:r/>
            <w:r>
              <w:rPr>
                <w:rFonts w:ascii="Calibri" w:hAnsi="Calibri"/>
                <w:b w:val="0"/>
                <w:color w:val="333333"/>
                <w:sz w:val="18"/>
              </w:rPr>
              <w:t>Historical primary turnout (2018–2024); normalized to 0–100 scale</w:t>
            </w:r>
          </w:p>
        </w:tc>
      </w:tr>
      <w:tr>
        <w:tc>
          <w:tcPr>
            <w:tcW w:type="dxa" w:w="2160"/>
            <w:shd w:fill="DBE5F1" w:val="clear"/>
          </w:tcPr>
          <w:p>
            <w:pPr>
              <w:spacing w:before="40" w:after="40"/>
              <w:jc w:val="center"/>
            </w:pPr>
            <w:r/>
            <w:r>
              <w:rPr>
                <w:rFonts w:ascii="Calibri" w:hAnsi="Calibri"/>
                <w:b/>
                <w:color w:val="333333"/>
                <w:sz w:val="18"/>
              </w:rPr>
              <w:t>Party Registration</w:t>
            </w:r>
          </w:p>
        </w:tc>
        <w:tc>
          <w:tcPr>
            <w:tcW w:type="dxa" w:w="1440"/>
            <w:shd w:fill="DBE5F1" w:val="clear"/>
          </w:tcPr>
          <w:p>
            <w:pPr>
              <w:spacing w:before="40" w:after="40"/>
              <w:jc w:val="center"/>
            </w:pPr>
            <w:r/>
            <w:r>
              <w:rPr>
                <w:rFonts w:ascii="Calibri" w:hAnsi="Calibri"/>
                <w:b w:val="0"/>
                <w:color w:val="333333"/>
                <w:sz w:val="18"/>
              </w:rPr>
              <w:t>5</w:t>
            </w:r>
          </w:p>
        </w:tc>
        <w:tc>
          <w:tcPr>
            <w:tcW w:type="dxa" w:w="5040"/>
            <w:shd w:fill="DBE5F1" w:val="clear"/>
          </w:tcPr>
          <w:p>
            <w:pPr>
              <w:spacing w:before="40" w:after="40"/>
              <w:jc w:val="center"/>
            </w:pPr>
            <w:r/>
            <w:r>
              <w:rPr>
                <w:rFonts w:ascii="Calibri" w:hAnsi="Calibri"/>
                <w:b w:val="0"/>
                <w:color w:val="333333"/>
                <w:sz w:val="18"/>
              </w:rPr>
              <w:t>Voter file party affiliation</w:t>
            </w:r>
          </w:p>
        </w:tc>
      </w:tr>
    </w:tbl>
    <w:p/>
    <w:p>
      <w:pPr>
        <w:spacing w:before="200" w:after="80"/>
      </w:pPr>
      <w:r>
        <w:rPr>
          <w:rFonts w:ascii="Calibri" w:hAnsi="Calibri"/>
          <w:b/>
          <w:color w:val="1B2A4A"/>
          <w:sz w:val="24"/>
        </w:rPr>
        <w:t>Universe Thresholds</w:t>
      </w:r>
    </w:p>
    <w:p>
      <w:pPr>
        <w:pStyle w:val="ListBullet"/>
        <w:spacing w:after="60" w:before="20"/>
        <w:ind w:left="720"/>
      </w:pPr>
      <w:r>
        <w:rPr>
          <w:rFonts w:ascii="Calibri" w:hAnsi="Calibri"/>
          <w:b/>
          <w:color w:val="333333"/>
          <w:sz w:val="22"/>
        </w:rPr>
        <w:t xml:space="preserve">Base: </w:t>
      </w:r>
      <w:r>
        <w:rPr>
          <w:rFonts w:ascii="Calibri" w:hAnsi="Calibri"/>
          <w:color w:val="333333"/>
          <w:sz w:val="22"/>
        </w:rPr>
        <w:t>Score &gt;= 65</w:t>
      </w:r>
    </w:p>
    <w:p>
      <w:pPr>
        <w:pStyle w:val="ListBullet"/>
        <w:spacing w:after="60" w:before="20"/>
        <w:ind w:left="720"/>
      </w:pPr>
      <w:r>
        <w:rPr>
          <w:rFonts w:ascii="Calibri" w:hAnsi="Calibri"/>
          <w:b/>
          <w:color w:val="333333"/>
          <w:sz w:val="22"/>
        </w:rPr>
        <w:t xml:space="preserve">Persuasion: </w:t>
      </w:r>
      <w:r>
        <w:rPr>
          <w:rFonts w:ascii="Calibri" w:hAnsi="Calibri"/>
          <w:color w:val="333333"/>
          <w:sz w:val="22"/>
        </w:rPr>
        <w:t>Score 40–64</w:t>
      </w:r>
    </w:p>
    <w:p>
      <w:pPr>
        <w:pStyle w:val="ListBullet"/>
        <w:spacing w:after="60" w:before="20"/>
        <w:ind w:left="720"/>
      </w:pPr>
      <w:r>
        <w:rPr>
          <w:rFonts w:ascii="Calibri" w:hAnsi="Calibri"/>
          <w:b/>
          <w:color w:val="333333"/>
          <w:sz w:val="22"/>
        </w:rPr>
        <w:t xml:space="preserve">Opposition: </w:t>
      </w:r>
      <w:r>
        <w:rPr>
          <w:rFonts w:ascii="Calibri" w:hAnsi="Calibri"/>
          <w:color w:val="333333"/>
          <w:sz w:val="22"/>
        </w:rPr>
        <w:t>Score &lt; 40</w:t>
      </w:r>
    </w:p>
    <w:p>
      <w:pPr>
        <w:spacing w:after="120" w:before="0"/>
      </w:pPr>
      <w:r>
        <w:rPr>
          <w:rFonts w:ascii="Calibri" w:hAnsi="Calibri"/>
          <w:b w:val="0"/>
          <w:i/>
          <w:color w:val="333333"/>
          <w:sz w:val="22"/>
        </w:rPr>
        <w:t>Opposition voters are further segmented using TargetSmart Trump Support scores (MAGA flag) and very-progressive ideology markers (Saikat-likely). VAN voter IDs (985 real contacts) were used as soft validation; however, these IDs do not discriminate well in all-Democratic San Francisco primaries and are not incorporated directly into the scoring model.</w:t>
      </w:r>
    </w:p>
    <w:p>
      <w:pPr>
        <w:spacing w:after="120" w:before="0"/>
      </w:pPr>
      <w:r>
        <w:rPr>
          <w:rFonts w:ascii="Calibri" w:hAnsi="Calibri"/>
          <w:b w:val="0"/>
          <w:i/>
          <w:color w:val="333333"/>
          <w:sz w:val="22"/>
        </w:rPr>
        <w:t>Note: The model relies on TargetSmart modeled scores for ideology, education, homeownership, and LGBTQ+ proxies. These are probabilistic estimates and should be interpreted accordingly.</w:t>
      </w:r>
    </w:p>
    <w:p>
      <w:r>
        <w:br w:type="page"/>
      </w:r>
    </w:p>
    <w:p>
      <w:pPr>
        <w:pStyle w:val="Heading1"/>
      </w:pPr>
      <w:r>
        <w:rPr>
          <w:rFonts w:ascii="Calibri" w:hAnsi="Calibri"/>
          <w:color w:val="1B2A4A"/>
        </w:rPr>
        <w:t>3. Universe Profiles</w:t>
      </w:r>
    </w:p>
    <w:p>
      <w:pPr>
        <w:spacing w:before="200" w:after="80"/>
      </w:pPr>
      <w:r>
        <w:rPr>
          <w:rFonts w:ascii="Calibri" w:hAnsi="Calibri"/>
          <w:b/>
          <w:color w:val="1B2A4A"/>
          <w:sz w:val="24"/>
        </w:rPr>
        <w:t>Base Universe (170,727 — 38.1%)</w:t>
      </w:r>
    </w:p>
    <w:p>
      <w:pPr>
        <w:spacing w:after="120" w:before="0"/>
      </w:pPr>
      <w:r>
        <w:rPr>
          <w:rFonts w:ascii="Calibri" w:hAnsi="Calibri"/>
          <w:b w:val="0"/>
          <w:i w:val="0"/>
          <w:color w:val="333333"/>
          <w:sz w:val="22"/>
        </w:rPr>
        <w:t>The Base universe comprises voters most likely to support Scott Wiener based on ideological alignment, demographic profile, and geographic concentration. These voters form the campaign’s core coalition.</w:t>
      </w:r>
    </w:p>
    <w:tbl>
      <w:tblPr>
        <w:tblW w:type="auto" w:w="0"/>
        <w:jc w:val="center"/>
        <w:tblLayout w:type="autofit"/>
        <w:tblLook w:firstColumn="1" w:firstRow="1" w:lastColumn="0" w:lastRow="0" w:noHBand="0" w:noVBand="1" w:val="04A0"/>
      </w:tblPr>
      <w:tblGrid>
        <w:gridCol w:w="4680"/>
        <w:gridCol w:w="4680"/>
      </w:tblGrid>
      <w:tr>
        <w:tc>
          <w:tcPr>
            <w:tcW w:type="dxa" w:w="5040"/>
            <w:shd w:fill="1B2A4A" w:val="clear"/>
          </w:tcPr>
          <w:p>
            <w:pPr>
              <w:spacing w:before="40" w:after="40"/>
              <w:jc w:val="center"/>
            </w:pPr>
            <w:r/>
            <w:r>
              <w:rPr>
                <w:rFonts w:ascii="Calibri" w:hAnsi="Calibri"/>
                <w:b/>
                <w:color w:val="FFFFFF"/>
                <w:sz w:val="18"/>
              </w:rPr>
              <w:t>Metric</w:t>
            </w:r>
          </w:p>
        </w:tc>
        <w:tc>
          <w:tcPr>
            <w:tcW w:type="dxa" w:w="2880"/>
            <w:shd w:fill="1B2A4A" w:val="clear"/>
          </w:tcPr>
          <w:p>
            <w:pPr>
              <w:spacing w:before="40" w:after="40"/>
              <w:jc w:val="center"/>
            </w:pPr>
            <w:r/>
            <w:r>
              <w:rPr>
                <w:rFonts w:ascii="Calibri" w:hAnsi="Calibri"/>
                <w:b/>
                <w:color w:val="FFFFFF"/>
                <w:sz w:val="18"/>
              </w:rPr>
              <w:t>Value</w:t>
            </w:r>
          </w:p>
        </w:tc>
      </w:tr>
      <w:tr>
        <w:tc>
          <w:tcPr>
            <w:tcW w:type="dxa" w:w="5040"/>
          </w:tcPr>
          <w:p>
            <w:pPr>
              <w:spacing w:before="40" w:after="40"/>
              <w:jc w:val="center"/>
            </w:pPr>
            <w:r/>
            <w:r>
              <w:rPr>
                <w:rFonts w:ascii="Calibri" w:hAnsi="Calibri"/>
                <w:b/>
                <w:color w:val="333333"/>
                <w:sz w:val="18"/>
              </w:rPr>
              <w:t>Average Support Score</w:t>
            </w:r>
          </w:p>
        </w:tc>
        <w:tc>
          <w:tcPr>
            <w:tcW w:type="dxa" w:w="2880"/>
          </w:tcPr>
          <w:p>
            <w:pPr>
              <w:spacing w:before="40" w:after="40"/>
              <w:jc w:val="center"/>
            </w:pPr>
            <w:r/>
            <w:r>
              <w:rPr>
                <w:rFonts w:ascii="Calibri" w:hAnsi="Calibri"/>
                <w:b w:val="0"/>
                <w:color w:val="333333"/>
                <w:sz w:val="18"/>
              </w:rPr>
              <w:t>76.6</w:t>
            </w:r>
          </w:p>
        </w:tc>
      </w:tr>
      <w:tr>
        <w:tc>
          <w:tcPr>
            <w:tcW w:type="dxa" w:w="5040"/>
            <w:shd w:fill="DBE5F1" w:val="clear"/>
          </w:tcPr>
          <w:p>
            <w:pPr>
              <w:spacing w:before="40" w:after="40"/>
              <w:jc w:val="center"/>
            </w:pPr>
            <w:r/>
            <w:r>
              <w:rPr>
                <w:rFonts w:ascii="Calibri" w:hAnsi="Calibri"/>
                <w:b/>
                <w:color w:val="333333"/>
                <w:sz w:val="18"/>
              </w:rPr>
              <w:t>Average Turnout Score</w:t>
            </w:r>
          </w:p>
        </w:tc>
        <w:tc>
          <w:tcPr>
            <w:tcW w:type="dxa" w:w="2880"/>
            <w:shd w:fill="DBE5F1" w:val="clear"/>
          </w:tcPr>
          <w:p>
            <w:pPr>
              <w:spacing w:before="40" w:after="40"/>
              <w:jc w:val="center"/>
            </w:pPr>
            <w:r/>
            <w:r>
              <w:rPr>
                <w:rFonts w:ascii="Calibri" w:hAnsi="Calibri"/>
                <w:b w:val="0"/>
                <w:color w:val="333333"/>
                <w:sz w:val="18"/>
              </w:rPr>
              <w:t>52.1</w:t>
            </w:r>
          </w:p>
        </w:tc>
      </w:tr>
      <w:tr>
        <w:tc>
          <w:tcPr>
            <w:tcW w:type="dxa" w:w="5040"/>
          </w:tcPr>
          <w:p>
            <w:pPr>
              <w:spacing w:before="40" w:after="40"/>
              <w:jc w:val="center"/>
            </w:pPr>
            <w:r/>
            <w:r>
              <w:rPr>
                <w:rFonts w:ascii="Calibri" w:hAnsi="Calibri"/>
                <w:b/>
                <w:color w:val="333333"/>
                <w:sz w:val="18"/>
              </w:rPr>
              <w:t>Democrat Registration</w:t>
            </w:r>
          </w:p>
        </w:tc>
        <w:tc>
          <w:tcPr>
            <w:tcW w:type="dxa" w:w="2880"/>
          </w:tcPr>
          <w:p>
            <w:pPr>
              <w:spacing w:before="40" w:after="40"/>
              <w:jc w:val="center"/>
            </w:pPr>
            <w:r/>
            <w:r>
              <w:rPr>
                <w:rFonts w:ascii="Calibri" w:hAnsi="Calibri"/>
                <w:b w:val="0"/>
                <w:color w:val="333333"/>
                <w:sz w:val="18"/>
              </w:rPr>
              <w:t>77.8%</w:t>
            </w:r>
          </w:p>
        </w:tc>
      </w:tr>
      <w:tr>
        <w:tc>
          <w:tcPr>
            <w:tcW w:type="dxa" w:w="5040"/>
            <w:shd w:fill="DBE5F1" w:val="clear"/>
          </w:tcPr>
          <w:p>
            <w:pPr>
              <w:spacing w:before="40" w:after="40"/>
              <w:jc w:val="center"/>
            </w:pPr>
            <w:r/>
            <w:r>
              <w:rPr>
                <w:rFonts w:ascii="Calibri" w:hAnsi="Calibri"/>
                <w:b/>
                <w:color w:val="333333"/>
                <w:sz w:val="18"/>
              </w:rPr>
              <w:t>White</w:t>
            </w:r>
          </w:p>
        </w:tc>
        <w:tc>
          <w:tcPr>
            <w:tcW w:type="dxa" w:w="2880"/>
            <w:shd w:fill="DBE5F1" w:val="clear"/>
          </w:tcPr>
          <w:p>
            <w:pPr>
              <w:spacing w:before="40" w:after="40"/>
              <w:jc w:val="center"/>
            </w:pPr>
            <w:r/>
            <w:r>
              <w:rPr>
                <w:rFonts w:ascii="Calibri" w:hAnsi="Calibri"/>
                <w:b w:val="0"/>
                <w:color w:val="333333"/>
                <w:sz w:val="18"/>
              </w:rPr>
              <w:t>64.1%</w:t>
            </w:r>
          </w:p>
        </w:tc>
      </w:tr>
      <w:tr>
        <w:tc>
          <w:tcPr>
            <w:tcW w:type="dxa" w:w="5040"/>
          </w:tcPr>
          <w:p>
            <w:pPr>
              <w:spacing w:before="40" w:after="40"/>
              <w:jc w:val="center"/>
            </w:pPr>
            <w:r/>
            <w:r>
              <w:rPr>
                <w:rFonts w:ascii="Calibri" w:hAnsi="Calibri"/>
                <w:b/>
                <w:color w:val="333333"/>
                <w:sz w:val="18"/>
              </w:rPr>
              <w:t>Asian/Pacific Islander</w:t>
            </w:r>
          </w:p>
        </w:tc>
        <w:tc>
          <w:tcPr>
            <w:tcW w:type="dxa" w:w="2880"/>
          </w:tcPr>
          <w:p>
            <w:pPr>
              <w:spacing w:before="40" w:after="40"/>
              <w:jc w:val="center"/>
            </w:pPr>
            <w:r/>
            <w:r>
              <w:rPr>
                <w:rFonts w:ascii="Calibri" w:hAnsi="Calibri"/>
                <w:b w:val="0"/>
                <w:color w:val="333333"/>
                <w:sz w:val="18"/>
              </w:rPr>
              <w:t>29.9%</w:t>
            </w:r>
          </w:p>
        </w:tc>
      </w:tr>
      <w:tr>
        <w:tc>
          <w:tcPr>
            <w:tcW w:type="dxa" w:w="5040"/>
            <w:shd w:fill="DBE5F1" w:val="clear"/>
          </w:tcPr>
          <w:p>
            <w:pPr>
              <w:spacing w:before="40" w:after="40"/>
              <w:jc w:val="center"/>
            </w:pPr>
            <w:r/>
            <w:r>
              <w:rPr>
                <w:rFonts w:ascii="Calibri" w:hAnsi="Calibri"/>
                <w:b/>
                <w:color w:val="333333"/>
                <w:sz w:val="18"/>
              </w:rPr>
              <w:t>Female</w:t>
            </w:r>
          </w:p>
        </w:tc>
        <w:tc>
          <w:tcPr>
            <w:tcW w:type="dxa" w:w="2880"/>
            <w:shd w:fill="DBE5F1" w:val="clear"/>
          </w:tcPr>
          <w:p>
            <w:pPr>
              <w:spacing w:before="40" w:after="40"/>
              <w:jc w:val="center"/>
            </w:pPr>
            <w:r/>
            <w:r>
              <w:rPr>
                <w:rFonts w:ascii="Calibri" w:hAnsi="Calibri"/>
                <w:b w:val="0"/>
                <w:color w:val="333333"/>
                <w:sz w:val="18"/>
              </w:rPr>
              <w:t>49.1%</w:t>
            </w:r>
          </w:p>
        </w:tc>
      </w:tr>
      <w:tr>
        <w:tc>
          <w:tcPr>
            <w:tcW w:type="dxa" w:w="5040"/>
          </w:tcPr>
          <w:p>
            <w:pPr>
              <w:spacing w:before="40" w:after="40"/>
              <w:jc w:val="center"/>
            </w:pPr>
            <w:r/>
            <w:r>
              <w:rPr>
                <w:rFonts w:ascii="Calibri" w:hAnsi="Calibri"/>
                <w:b/>
                <w:color w:val="333333"/>
                <w:sz w:val="18"/>
              </w:rPr>
              <w:t>Age 50+</w:t>
            </w:r>
          </w:p>
        </w:tc>
        <w:tc>
          <w:tcPr>
            <w:tcW w:type="dxa" w:w="2880"/>
          </w:tcPr>
          <w:p>
            <w:pPr>
              <w:spacing w:before="40" w:after="40"/>
              <w:jc w:val="center"/>
            </w:pPr>
            <w:r/>
            <w:r>
              <w:rPr>
                <w:rFonts w:ascii="Calibri" w:hAnsi="Calibri"/>
                <w:b w:val="0"/>
                <w:color w:val="333333"/>
                <w:sz w:val="18"/>
              </w:rPr>
              <w:t>55.5%</w:t>
            </w:r>
          </w:p>
        </w:tc>
      </w:tr>
      <w:tr>
        <w:tc>
          <w:tcPr>
            <w:tcW w:type="dxa" w:w="5040"/>
            <w:shd w:fill="DBE5F1" w:val="clear"/>
          </w:tcPr>
          <w:p>
            <w:pPr>
              <w:spacing w:before="40" w:after="40"/>
              <w:jc w:val="center"/>
            </w:pPr>
            <w:r/>
            <w:r>
              <w:rPr>
                <w:rFonts w:ascii="Calibri" w:hAnsi="Calibri"/>
                <w:b/>
                <w:color w:val="333333"/>
                <w:sz w:val="18"/>
              </w:rPr>
              <w:t>Top District: D8 (Castro/Noe Valley)</w:t>
            </w:r>
          </w:p>
        </w:tc>
        <w:tc>
          <w:tcPr>
            <w:tcW w:type="dxa" w:w="2880"/>
            <w:shd w:fill="DBE5F1" w:val="clear"/>
          </w:tcPr>
          <w:p>
            <w:pPr>
              <w:spacing w:before="40" w:after="40"/>
              <w:jc w:val="center"/>
            </w:pPr>
            <w:r/>
            <w:r>
              <w:rPr>
                <w:rFonts w:ascii="Calibri" w:hAnsi="Calibri"/>
                <w:b w:val="0"/>
                <w:color w:val="333333"/>
                <w:sz w:val="18"/>
              </w:rPr>
              <w:t>54.8% Base</w:t>
            </w:r>
          </w:p>
        </w:tc>
      </w:tr>
      <w:tr>
        <w:tc>
          <w:tcPr>
            <w:tcW w:type="dxa" w:w="5040"/>
          </w:tcPr>
          <w:p>
            <w:pPr>
              <w:spacing w:before="40" w:after="40"/>
              <w:jc w:val="center"/>
            </w:pPr>
            <w:r/>
            <w:r>
              <w:rPr>
                <w:rFonts w:ascii="Calibri" w:hAnsi="Calibri"/>
                <w:b/>
                <w:color w:val="333333"/>
                <w:sz w:val="18"/>
              </w:rPr>
              <w:t>District 7 (West Side)</w:t>
            </w:r>
          </w:p>
        </w:tc>
        <w:tc>
          <w:tcPr>
            <w:tcW w:type="dxa" w:w="2880"/>
          </w:tcPr>
          <w:p>
            <w:pPr>
              <w:spacing w:before="40" w:after="40"/>
              <w:jc w:val="center"/>
            </w:pPr>
            <w:r/>
            <w:r>
              <w:rPr>
                <w:rFonts w:ascii="Calibri" w:hAnsi="Calibri"/>
                <w:b w:val="0"/>
                <w:color w:val="333333"/>
                <w:sz w:val="18"/>
              </w:rPr>
              <w:t>51.2% Base</w:t>
            </w:r>
          </w:p>
        </w:tc>
      </w:tr>
      <w:tr>
        <w:tc>
          <w:tcPr>
            <w:tcW w:type="dxa" w:w="5040"/>
            <w:shd w:fill="DBE5F1" w:val="clear"/>
          </w:tcPr>
          <w:p>
            <w:pPr>
              <w:spacing w:before="40" w:after="40"/>
              <w:jc w:val="center"/>
            </w:pPr>
            <w:r/>
            <w:r>
              <w:rPr>
                <w:rFonts w:ascii="Calibri" w:hAnsi="Calibri"/>
                <w:b/>
                <w:color w:val="333333"/>
                <w:sz w:val="18"/>
              </w:rPr>
              <w:t>District 2 (Marina/Pac Heights)</w:t>
            </w:r>
          </w:p>
        </w:tc>
        <w:tc>
          <w:tcPr>
            <w:tcW w:type="dxa" w:w="2880"/>
            <w:shd w:fill="DBE5F1" w:val="clear"/>
          </w:tcPr>
          <w:p>
            <w:pPr>
              <w:spacing w:before="40" w:after="40"/>
              <w:jc w:val="center"/>
            </w:pPr>
            <w:r/>
            <w:r>
              <w:rPr>
                <w:rFonts w:ascii="Calibri" w:hAnsi="Calibri"/>
                <w:b w:val="0"/>
                <w:color w:val="333333"/>
                <w:sz w:val="18"/>
              </w:rPr>
              <w:t>49.7% Base</w:t>
            </w:r>
          </w:p>
        </w:tc>
      </w:tr>
    </w:tbl>
    <w:p/>
    <w:p>
      <w:pPr>
        <w:spacing w:after="120" w:before="0"/>
      </w:pPr>
      <w:r>
        <w:rPr>
          <w:rFonts w:ascii="Calibri" w:hAnsi="Calibri"/>
          <w:b w:val="0"/>
          <w:i w:val="0"/>
          <w:color w:val="333333"/>
          <w:sz w:val="22"/>
        </w:rPr>
        <w:t>Drop-off Base: 62,725 voters (36.7% of Base) are supporters with a turnout probability score below 45 (on the 0–100 scale). These individuals are the campaign’s highest-ROI mobilization targets — they support Scott but may not vote in a June primary without direct contact.</w:t>
      </w:r>
    </w:p>
    <w:p/>
    <w:p>
      <w:pPr>
        <w:spacing w:before="200" w:after="80"/>
      </w:pPr>
      <w:r>
        <w:rPr>
          <w:rFonts w:ascii="Calibri" w:hAnsi="Calibri"/>
          <w:b/>
          <w:color w:val="1B2A4A"/>
          <w:sz w:val="24"/>
        </w:rPr>
        <w:t>Persuasion Universe (167,890 — 37.4%)</w:t>
      </w:r>
    </w:p>
    <w:p>
      <w:pPr>
        <w:spacing w:after="120" w:before="0"/>
      </w:pPr>
      <w:r>
        <w:rPr>
          <w:rFonts w:ascii="Calibri" w:hAnsi="Calibri"/>
          <w:b w:val="0"/>
          <w:i w:val="0"/>
          <w:color w:val="333333"/>
          <w:sz w:val="22"/>
        </w:rPr>
        <w:t>Persuasion voters are ideologically and demographically mixed. They lack strong signals for or against Scott and represent the campaign’s opportunity to expand the coalition through targeted messaging.</w:t>
      </w:r>
    </w:p>
    <w:tbl>
      <w:tblPr>
        <w:tblW w:type="auto" w:w="0"/>
        <w:jc w:val="center"/>
        <w:tblLayout w:type="autofit"/>
        <w:tblLook w:firstColumn="1" w:firstRow="1" w:lastColumn="0" w:lastRow="0" w:noHBand="0" w:noVBand="1" w:val="04A0"/>
      </w:tblPr>
      <w:tblGrid>
        <w:gridCol w:w="4680"/>
        <w:gridCol w:w="4680"/>
      </w:tblGrid>
      <w:tr>
        <w:tc>
          <w:tcPr>
            <w:tcW w:type="dxa" w:w="5040"/>
            <w:shd w:fill="1B2A4A" w:val="clear"/>
          </w:tcPr>
          <w:p>
            <w:pPr>
              <w:spacing w:before="40" w:after="40"/>
              <w:jc w:val="center"/>
            </w:pPr>
            <w:r/>
            <w:r>
              <w:rPr>
                <w:rFonts w:ascii="Calibri" w:hAnsi="Calibri"/>
                <w:b/>
                <w:color w:val="FFFFFF"/>
                <w:sz w:val="18"/>
              </w:rPr>
              <w:t>Metric</w:t>
            </w:r>
          </w:p>
        </w:tc>
        <w:tc>
          <w:tcPr>
            <w:tcW w:type="dxa" w:w="2880"/>
            <w:shd w:fill="1B2A4A" w:val="clear"/>
          </w:tcPr>
          <w:p>
            <w:pPr>
              <w:spacing w:before="40" w:after="40"/>
              <w:jc w:val="center"/>
            </w:pPr>
            <w:r/>
            <w:r>
              <w:rPr>
                <w:rFonts w:ascii="Calibri" w:hAnsi="Calibri"/>
                <w:b/>
                <w:color w:val="FFFFFF"/>
                <w:sz w:val="18"/>
              </w:rPr>
              <w:t>Value</w:t>
            </w:r>
          </w:p>
        </w:tc>
      </w:tr>
      <w:tr>
        <w:tc>
          <w:tcPr>
            <w:tcW w:type="dxa" w:w="5040"/>
          </w:tcPr>
          <w:p>
            <w:pPr>
              <w:spacing w:before="40" w:after="40"/>
              <w:jc w:val="center"/>
            </w:pPr>
            <w:r/>
            <w:r>
              <w:rPr>
                <w:rFonts w:ascii="Calibri" w:hAnsi="Calibri"/>
                <w:b/>
                <w:color w:val="333333"/>
                <w:sz w:val="18"/>
              </w:rPr>
              <w:t>Average Support Score</w:t>
            </w:r>
          </w:p>
        </w:tc>
        <w:tc>
          <w:tcPr>
            <w:tcW w:type="dxa" w:w="2880"/>
          </w:tcPr>
          <w:p>
            <w:pPr>
              <w:spacing w:before="40" w:after="40"/>
              <w:jc w:val="center"/>
            </w:pPr>
            <w:r/>
            <w:r>
              <w:rPr>
                <w:rFonts w:ascii="Calibri" w:hAnsi="Calibri"/>
                <w:b w:val="0"/>
                <w:color w:val="333333"/>
                <w:sz w:val="18"/>
              </w:rPr>
              <w:t>52.4</w:t>
            </w:r>
          </w:p>
        </w:tc>
      </w:tr>
      <w:tr>
        <w:tc>
          <w:tcPr>
            <w:tcW w:type="dxa" w:w="5040"/>
            <w:shd w:fill="DBE5F1" w:val="clear"/>
          </w:tcPr>
          <w:p>
            <w:pPr>
              <w:spacing w:before="40" w:after="40"/>
              <w:jc w:val="center"/>
            </w:pPr>
            <w:r/>
            <w:r>
              <w:rPr>
                <w:rFonts w:ascii="Calibri" w:hAnsi="Calibri"/>
                <w:b/>
                <w:color w:val="333333"/>
                <w:sz w:val="18"/>
              </w:rPr>
              <w:t>Average Turnout Score</w:t>
            </w:r>
          </w:p>
        </w:tc>
        <w:tc>
          <w:tcPr>
            <w:tcW w:type="dxa" w:w="2880"/>
            <w:shd w:fill="DBE5F1" w:val="clear"/>
          </w:tcPr>
          <w:p>
            <w:pPr>
              <w:spacing w:before="40" w:after="40"/>
              <w:jc w:val="center"/>
            </w:pPr>
            <w:r/>
            <w:r>
              <w:rPr>
                <w:rFonts w:ascii="Calibri" w:hAnsi="Calibri"/>
                <w:b w:val="0"/>
                <w:color w:val="333333"/>
                <w:sz w:val="18"/>
              </w:rPr>
              <w:t>32.5</w:t>
            </w:r>
          </w:p>
        </w:tc>
      </w:tr>
      <w:tr>
        <w:tc>
          <w:tcPr>
            <w:tcW w:type="dxa" w:w="5040"/>
          </w:tcPr>
          <w:p>
            <w:pPr>
              <w:spacing w:before="40" w:after="40"/>
              <w:jc w:val="center"/>
            </w:pPr>
            <w:r/>
            <w:r>
              <w:rPr>
                <w:rFonts w:ascii="Calibri" w:hAnsi="Calibri"/>
                <w:b/>
                <w:color w:val="333333"/>
                <w:sz w:val="18"/>
              </w:rPr>
              <w:t>Democrat Registration</w:t>
            </w:r>
          </w:p>
        </w:tc>
        <w:tc>
          <w:tcPr>
            <w:tcW w:type="dxa" w:w="2880"/>
          </w:tcPr>
          <w:p>
            <w:pPr>
              <w:spacing w:before="40" w:after="40"/>
              <w:jc w:val="center"/>
            </w:pPr>
            <w:r/>
            <w:r>
              <w:rPr>
                <w:rFonts w:ascii="Calibri" w:hAnsi="Calibri"/>
                <w:b w:val="0"/>
                <w:color w:val="333333"/>
                <w:sz w:val="18"/>
              </w:rPr>
              <w:t>65.0%</w:t>
            </w:r>
          </w:p>
        </w:tc>
      </w:tr>
      <w:tr>
        <w:tc>
          <w:tcPr>
            <w:tcW w:type="dxa" w:w="5040"/>
            <w:shd w:fill="DBE5F1" w:val="clear"/>
          </w:tcPr>
          <w:p>
            <w:pPr>
              <w:spacing w:before="40" w:after="40"/>
              <w:jc w:val="center"/>
            </w:pPr>
            <w:r/>
            <w:r>
              <w:rPr>
                <w:rFonts w:ascii="Calibri" w:hAnsi="Calibri"/>
                <w:b/>
                <w:color w:val="333333"/>
                <w:sz w:val="18"/>
              </w:rPr>
              <w:t>White</w:t>
            </w:r>
          </w:p>
        </w:tc>
        <w:tc>
          <w:tcPr>
            <w:tcW w:type="dxa" w:w="2880"/>
            <w:shd w:fill="DBE5F1" w:val="clear"/>
          </w:tcPr>
          <w:p>
            <w:pPr>
              <w:spacing w:before="40" w:after="40"/>
              <w:jc w:val="center"/>
            </w:pPr>
            <w:r/>
            <w:r>
              <w:rPr>
                <w:rFonts w:ascii="Calibri" w:hAnsi="Calibri"/>
                <w:b w:val="0"/>
                <w:color w:val="333333"/>
                <w:sz w:val="18"/>
              </w:rPr>
              <w:t>54.4%</w:t>
            </w:r>
          </w:p>
        </w:tc>
      </w:tr>
      <w:tr>
        <w:tc>
          <w:tcPr>
            <w:tcW w:type="dxa" w:w="5040"/>
          </w:tcPr>
          <w:p>
            <w:pPr>
              <w:spacing w:before="40" w:after="40"/>
              <w:jc w:val="center"/>
            </w:pPr>
            <w:r/>
            <w:r>
              <w:rPr>
                <w:rFonts w:ascii="Calibri" w:hAnsi="Calibri"/>
                <w:b/>
                <w:color w:val="333333"/>
                <w:sz w:val="18"/>
              </w:rPr>
              <w:t>Asian/Pacific Islander</w:t>
            </w:r>
          </w:p>
        </w:tc>
        <w:tc>
          <w:tcPr>
            <w:tcW w:type="dxa" w:w="2880"/>
          </w:tcPr>
          <w:p>
            <w:pPr>
              <w:spacing w:before="40" w:after="40"/>
              <w:jc w:val="center"/>
            </w:pPr>
            <w:r/>
            <w:r>
              <w:rPr>
                <w:rFonts w:ascii="Calibri" w:hAnsi="Calibri"/>
                <w:b w:val="0"/>
                <w:color w:val="333333"/>
                <w:sz w:val="18"/>
              </w:rPr>
              <w:t>30.2%</w:t>
            </w:r>
          </w:p>
        </w:tc>
      </w:tr>
      <w:tr>
        <w:tc>
          <w:tcPr>
            <w:tcW w:type="dxa" w:w="5040"/>
            <w:shd w:fill="DBE5F1" w:val="clear"/>
          </w:tcPr>
          <w:p>
            <w:pPr>
              <w:spacing w:before="40" w:after="40"/>
              <w:jc w:val="center"/>
            </w:pPr>
            <w:r/>
            <w:r>
              <w:rPr>
                <w:rFonts w:ascii="Calibri" w:hAnsi="Calibri"/>
                <w:b/>
                <w:color w:val="333333"/>
                <w:sz w:val="18"/>
              </w:rPr>
              <w:t>Female</w:t>
            </w:r>
          </w:p>
        </w:tc>
        <w:tc>
          <w:tcPr>
            <w:tcW w:type="dxa" w:w="2880"/>
            <w:shd w:fill="DBE5F1" w:val="clear"/>
          </w:tcPr>
          <w:p>
            <w:pPr>
              <w:spacing w:before="40" w:after="40"/>
              <w:jc w:val="center"/>
            </w:pPr>
            <w:r/>
            <w:r>
              <w:rPr>
                <w:rFonts w:ascii="Calibri" w:hAnsi="Calibri"/>
                <w:b w:val="0"/>
                <w:color w:val="333333"/>
                <w:sz w:val="18"/>
              </w:rPr>
              <w:t>46.1%</w:t>
            </w:r>
          </w:p>
        </w:tc>
      </w:tr>
    </w:tbl>
    <w:p/>
    <w:p>
      <w:pPr>
        <w:spacing w:before="200" w:after="80"/>
      </w:pPr>
      <w:r>
        <w:rPr>
          <w:rFonts w:ascii="Calibri" w:hAnsi="Calibri"/>
          <w:b/>
          <w:color w:val="1B2A4A"/>
          <w:sz w:val="24"/>
        </w:rPr>
        <w:t>Priority Persuasion Sub-Segments</w:t>
      </w:r>
    </w:p>
    <w:tbl>
      <w:tblPr>
        <w:tblW w:type="auto" w:w="0"/>
        <w:jc w:val="center"/>
        <w:tblLayout w:type="autofit"/>
        <w:tblLook w:firstColumn="1" w:firstRow="1" w:lastColumn="0" w:lastRow="0" w:noHBand="0" w:noVBand="1" w:val="04A0"/>
      </w:tblPr>
      <w:tblGrid>
        <w:gridCol w:w="3120"/>
        <w:gridCol w:w="3120"/>
        <w:gridCol w:w="3120"/>
      </w:tblGrid>
      <w:tr>
        <w:tc>
          <w:tcPr>
            <w:tcW w:type="dxa" w:w="2160"/>
            <w:shd w:fill="1B2A4A" w:val="clear"/>
          </w:tcPr>
          <w:p>
            <w:pPr>
              <w:spacing w:before="40" w:after="40"/>
              <w:jc w:val="center"/>
            </w:pPr>
            <w:r/>
            <w:r>
              <w:rPr>
                <w:rFonts w:ascii="Calibri" w:hAnsi="Calibri"/>
                <w:b/>
                <w:color w:val="FFFFFF"/>
                <w:sz w:val="18"/>
              </w:rPr>
              <w:t>Segment</w:t>
            </w:r>
          </w:p>
        </w:tc>
        <w:tc>
          <w:tcPr>
            <w:tcW w:type="dxa" w:w="1440"/>
            <w:shd w:fill="1B2A4A" w:val="clear"/>
          </w:tcPr>
          <w:p>
            <w:pPr>
              <w:spacing w:before="40" w:after="40"/>
              <w:jc w:val="center"/>
            </w:pPr>
            <w:r/>
            <w:r>
              <w:rPr>
                <w:rFonts w:ascii="Calibri" w:hAnsi="Calibri"/>
                <w:b/>
                <w:color w:val="FFFFFF"/>
                <w:sz w:val="18"/>
              </w:rPr>
              <w:t>Count</w:t>
            </w:r>
          </w:p>
        </w:tc>
        <w:tc>
          <w:tcPr>
            <w:tcW w:type="dxa" w:w="5040"/>
            <w:shd w:fill="1B2A4A" w:val="clear"/>
          </w:tcPr>
          <w:p>
            <w:pPr>
              <w:spacing w:before="40" w:after="40"/>
              <w:jc w:val="center"/>
            </w:pPr>
            <w:r/>
            <w:r>
              <w:rPr>
                <w:rFonts w:ascii="Calibri" w:hAnsi="Calibri"/>
                <w:b/>
                <w:color w:val="FFFFFF"/>
                <w:sz w:val="18"/>
              </w:rPr>
              <w:t>Key Message Frame</w:t>
            </w:r>
          </w:p>
        </w:tc>
      </w:tr>
      <w:tr>
        <w:tc>
          <w:tcPr>
            <w:tcW w:type="dxa" w:w="2160"/>
          </w:tcPr>
          <w:p>
            <w:pPr>
              <w:spacing w:before="40" w:after="40"/>
              <w:jc w:val="center"/>
            </w:pPr>
            <w:r/>
            <w:r>
              <w:rPr>
                <w:rFonts w:ascii="Calibri" w:hAnsi="Calibri"/>
                <w:b/>
                <w:color w:val="333333"/>
                <w:sz w:val="18"/>
              </w:rPr>
              <w:t>API Voters</w:t>
            </w:r>
          </w:p>
        </w:tc>
        <w:tc>
          <w:tcPr>
            <w:tcW w:type="dxa" w:w="1440"/>
          </w:tcPr>
          <w:p>
            <w:pPr>
              <w:spacing w:before="40" w:after="40"/>
              <w:jc w:val="center"/>
            </w:pPr>
            <w:r/>
            <w:r>
              <w:rPr>
                <w:rFonts w:ascii="Calibri" w:hAnsi="Calibri"/>
                <w:b w:val="0"/>
                <w:color w:val="333333"/>
                <w:sz w:val="18"/>
              </w:rPr>
              <w:t>50,680</w:t>
            </w:r>
          </w:p>
        </w:tc>
        <w:tc>
          <w:tcPr>
            <w:tcW w:type="dxa" w:w="5040"/>
          </w:tcPr>
          <w:p>
            <w:pPr>
              <w:spacing w:before="40" w:after="40"/>
              <w:jc w:val="center"/>
            </w:pPr>
            <w:r/>
            <w:r>
              <w:rPr>
                <w:rFonts w:ascii="Calibri" w:hAnsi="Calibri"/>
                <w:b w:val="0"/>
                <w:color w:val="333333"/>
                <w:sz w:val="18"/>
              </w:rPr>
              <w:t>Housing affordability + ICE enforcement protection</w:t>
            </w:r>
          </w:p>
        </w:tc>
      </w:tr>
      <w:tr>
        <w:tc>
          <w:tcPr>
            <w:tcW w:type="dxa" w:w="2160"/>
            <w:shd w:fill="DBE5F1" w:val="clear"/>
          </w:tcPr>
          <w:p>
            <w:pPr>
              <w:spacing w:before="40" w:after="40"/>
              <w:jc w:val="center"/>
            </w:pPr>
            <w:r/>
            <w:r>
              <w:rPr>
                <w:rFonts w:ascii="Calibri" w:hAnsi="Calibri"/>
                <w:b/>
                <w:color w:val="333333"/>
                <w:sz w:val="18"/>
              </w:rPr>
              <w:t>Male 18–49</w:t>
            </w:r>
          </w:p>
        </w:tc>
        <w:tc>
          <w:tcPr>
            <w:tcW w:type="dxa" w:w="1440"/>
            <w:shd w:fill="DBE5F1" w:val="clear"/>
          </w:tcPr>
          <w:p>
            <w:pPr>
              <w:spacing w:before="40" w:after="40"/>
              <w:jc w:val="center"/>
            </w:pPr>
            <w:r/>
            <w:r>
              <w:rPr>
                <w:rFonts w:ascii="Calibri" w:hAnsi="Calibri"/>
                <w:b w:val="0"/>
                <w:color w:val="333333"/>
                <w:sz w:val="18"/>
              </w:rPr>
              <w:t>51,081</w:t>
            </w:r>
          </w:p>
        </w:tc>
        <w:tc>
          <w:tcPr>
            <w:tcW w:type="dxa" w:w="5040"/>
            <w:shd w:fill="DBE5F1" w:val="clear"/>
          </w:tcPr>
          <w:p>
            <w:pPr>
              <w:spacing w:before="40" w:after="40"/>
              <w:jc w:val="center"/>
            </w:pPr>
            <w:r/>
            <w:r>
              <w:rPr>
                <w:rFonts w:ascii="Calibri" w:hAnsi="Calibri"/>
                <w:b w:val="0"/>
                <w:color w:val="333333"/>
                <w:sz w:val="18"/>
              </w:rPr>
              <w:t>Anti-Trump record + housing/economic opportunity</w:t>
            </w:r>
          </w:p>
        </w:tc>
      </w:tr>
      <w:tr>
        <w:tc>
          <w:tcPr>
            <w:tcW w:type="dxa" w:w="2160"/>
          </w:tcPr>
          <w:p>
            <w:pPr>
              <w:spacing w:before="40" w:after="40"/>
              <w:jc w:val="center"/>
            </w:pPr>
            <w:r/>
            <w:r>
              <w:rPr>
                <w:rFonts w:ascii="Calibri" w:hAnsi="Calibri"/>
                <w:b/>
                <w:color w:val="333333"/>
                <w:sz w:val="18"/>
              </w:rPr>
              <w:t>AD 19 Voters</w:t>
            </w:r>
          </w:p>
        </w:tc>
        <w:tc>
          <w:tcPr>
            <w:tcW w:type="dxa" w:w="1440"/>
          </w:tcPr>
          <w:p>
            <w:pPr>
              <w:spacing w:before="40" w:after="40"/>
              <w:jc w:val="center"/>
            </w:pPr>
            <w:r/>
            <w:r>
              <w:rPr>
                <w:rFonts w:ascii="Calibri" w:hAnsi="Calibri"/>
                <w:b w:val="0"/>
                <w:color w:val="333333"/>
                <w:sz w:val="18"/>
              </w:rPr>
              <w:t>75,117</w:t>
            </w:r>
          </w:p>
        </w:tc>
        <w:tc>
          <w:tcPr>
            <w:tcW w:type="dxa" w:w="5040"/>
          </w:tcPr>
          <w:p>
            <w:pPr>
              <w:spacing w:before="40" w:after="40"/>
              <w:jc w:val="center"/>
            </w:pPr>
            <w:r/>
            <w:r>
              <w:rPr>
                <w:rFonts w:ascii="Calibri" w:hAnsi="Calibri"/>
                <w:b w:val="0"/>
                <w:color w:val="333333"/>
                <w:sz w:val="18"/>
              </w:rPr>
              <w:t>Targeted field outreach in underperforming AD</w:t>
            </w:r>
          </w:p>
        </w:tc>
      </w:tr>
      <w:tr>
        <w:tc>
          <w:tcPr>
            <w:tcW w:type="dxa" w:w="2160"/>
            <w:shd w:fill="DBE5F1" w:val="clear"/>
          </w:tcPr>
          <w:p>
            <w:pPr>
              <w:spacing w:before="40" w:after="40"/>
              <w:jc w:val="center"/>
            </w:pPr>
            <w:r/>
            <w:r>
              <w:rPr>
                <w:rFonts w:ascii="Calibri" w:hAnsi="Calibri"/>
                <w:b/>
                <w:color w:val="333333"/>
                <w:sz w:val="18"/>
              </w:rPr>
              <w:t>Strong Renters</w:t>
            </w:r>
          </w:p>
        </w:tc>
        <w:tc>
          <w:tcPr>
            <w:tcW w:type="dxa" w:w="1440"/>
            <w:shd w:fill="DBE5F1" w:val="clear"/>
          </w:tcPr>
          <w:p>
            <w:pPr>
              <w:spacing w:before="40" w:after="40"/>
              <w:jc w:val="center"/>
            </w:pPr>
            <w:r/>
            <w:r>
              <w:rPr>
                <w:rFonts w:ascii="Calibri" w:hAnsi="Calibri"/>
                <w:b w:val="0"/>
                <w:color w:val="333333"/>
                <w:sz w:val="18"/>
              </w:rPr>
              <w:t>90,206</w:t>
            </w:r>
          </w:p>
        </w:tc>
        <w:tc>
          <w:tcPr>
            <w:tcW w:type="dxa" w:w="5040"/>
            <w:shd w:fill="DBE5F1" w:val="clear"/>
          </w:tcPr>
          <w:p>
            <w:pPr>
              <w:spacing w:before="40" w:after="40"/>
              <w:jc w:val="center"/>
            </w:pPr>
            <w:r/>
            <w:r>
              <w:rPr>
                <w:rFonts w:ascii="Calibri" w:hAnsi="Calibri"/>
                <w:b w:val="0"/>
                <w:color w:val="333333"/>
                <w:sz w:val="18"/>
              </w:rPr>
              <w:t>Housing affordability, tenant protection record</w:t>
            </w:r>
          </w:p>
        </w:tc>
      </w:tr>
      <w:tr>
        <w:tc>
          <w:tcPr>
            <w:tcW w:type="dxa" w:w="2160"/>
          </w:tcPr>
          <w:p>
            <w:pPr>
              <w:spacing w:before="40" w:after="40"/>
              <w:jc w:val="center"/>
            </w:pPr>
            <w:r/>
            <w:r>
              <w:rPr>
                <w:rFonts w:ascii="Calibri" w:hAnsi="Calibri"/>
                <w:b/>
                <w:color w:val="333333"/>
                <w:sz w:val="18"/>
              </w:rPr>
              <w:t>Jewish Community</w:t>
            </w:r>
          </w:p>
        </w:tc>
        <w:tc>
          <w:tcPr>
            <w:tcW w:type="dxa" w:w="1440"/>
          </w:tcPr>
          <w:p>
            <w:pPr>
              <w:spacing w:before="40" w:after="40"/>
              <w:jc w:val="center"/>
            </w:pPr>
            <w:r/>
            <w:r>
              <w:rPr>
                <w:rFonts w:ascii="Calibri" w:hAnsi="Calibri"/>
                <w:b w:val="0"/>
                <w:color w:val="333333"/>
                <w:sz w:val="18"/>
              </w:rPr>
              <w:t>9,207</w:t>
            </w:r>
          </w:p>
        </w:tc>
        <w:tc>
          <w:tcPr>
            <w:tcW w:type="dxa" w:w="5040"/>
          </w:tcPr>
          <w:p>
            <w:pPr>
              <w:spacing w:before="40" w:after="40"/>
              <w:jc w:val="center"/>
            </w:pPr>
            <w:r/>
            <w:r>
              <w:rPr>
                <w:rFonts w:ascii="Calibri" w:hAnsi="Calibri"/>
                <w:b w:val="0"/>
                <w:color w:val="333333"/>
                <w:sz w:val="18"/>
              </w:rPr>
              <w:t>Israel policy, community safety messaging</w:t>
            </w:r>
          </w:p>
        </w:tc>
      </w:tr>
    </w:tbl>
    <w:p/>
    <w:p>
      <w:pPr>
        <w:spacing w:before="200" w:after="80"/>
      </w:pPr>
      <w:r>
        <w:rPr>
          <w:rFonts w:ascii="Calibri" w:hAnsi="Calibri"/>
          <w:b/>
          <w:color w:val="1B2A4A"/>
          <w:sz w:val="24"/>
        </w:rPr>
        <w:t>Opposition Universe (109,759 — 24.5%)</w:t>
      </w:r>
    </w:p>
    <w:p>
      <w:pPr>
        <w:spacing w:after="120" w:before="0"/>
      </w:pPr>
      <w:r>
        <w:rPr>
          <w:rFonts w:ascii="Calibri" w:hAnsi="Calibri"/>
          <w:b w:val="0"/>
          <w:i w:val="0"/>
          <w:color w:val="333333"/>
          <w:sz w:val="22"/>
        </w:rPr>
        <w:t>The Opposition universe includes voters unlikely to support Scott due to ideological misalignment (far-right or far-left), low engagement, or affinity for Saikat Chakrabarti. These voters are deprioritized in resource allocation.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04"/>
            <w:shd w:fill="1B2A4A" w:val="clear"/>
          </w:tcPr>
          <w:p>
            <w:pPr>
              <w:spacing w:before="40" w:after="40"/>
              <w:jc w:val="center"/>
            </w:pPr>
            <w:r/>
            <w:r>
              <w:rPr>
                <w:rFonts w:ascii="Calibri" w:hAnsi="Calibri"/>
                <w:b/>
                <w:color w:val="FFFFFF"/>
                <w:sz w:val="18"/>
              </w:rPr>
              <w:t>Sub-Segment</w:t>
            </w:r>
          </w:p>
        </w:tc>
        <w:tc>
          <w:tcPr>
            <w:tcW w:type="dxa" w:w="1296"/>
            <w:shd w:fill="1B2A4A" w:val="clear"/>
          </w:tcPr>
          <w:p>
            <w:pPr>
              <w:spacing w:before="40" w:after="40"/>
              <w:jc w:val="center"/>
            </w:pPr>
            <w:r/>
            <w:r>
              <w:rPr>
                <w:rFonts w:ascii="Calibri" w:hAnsi="Calibri"/>
                <w:b/>
                <w:color w:val="FFFFFF"/>
                <w:sz w:val="18"/>
              </w:rPr>
              <w:t>Count</w:t>
            </w:r>
          </w:p>
        </w:tc>
        <w:tc>
          <w:tcPr>
            <w:tcW w:type="dxa" w:w="1296"/>
            <w:shd w:fill="1B2A4A" w:val="clear"/>
          </w:tcPr>
          <w:p>
            <w:pPr>
              <w:spacing w:before="40" w:after="40"/>
              <w:jc w:val="center"/>
            </w:pPr>
            <w:r/>
            <w:r>
              <w:rPr>
                <w:rFonts w:ascii="Calibri" w:hAnsi="Calibri"/>
                <w:b/>
                <w:color w:val="FFFFFF"/>
                <w:sz w:val="18"/>
              </w:rPr>
              <w:t>% of Total</w:t>
            </w:r>
          </w:p>
        </w:tc>
        <w:tc>
          <w:tcPr>
            <w:tcW w:type="dxa" w:w="4032"/>
            <w:shd w:fill="1B2A4A" w:val="clear"/>
          </w:tcPr>
          <w:p>
            <w:pPr>
              <w:spacing w:before="40" w:after="40"/>
              <w:jc w:val="center"/>
            </w:pPr>
            <w:r/>
            <w:r>
              <w:rPr>
                <w:rFonts w:ascii="Calibri" w:hAnsi="Calibri"/>
                <w:b/>
                <w:color w:val="FFFFFF"/>
                <w:sz w:val="18"/>
              </w:rPr>
              <w:t>Profile</w:t>
            </w:r>
          </w:p>
        </w:tc>
      </w:tr>
      <w:tr>
        <w:tc>
          <w:tcPr>
            <w:tcW w:type="dxa" w:w="2304"/>
          </w:tcPr>
          <w:p>
            <w:pPr>
              <w:spacing w:before="40" w:after="40"/>
              <w:jc w:val="center"/>
            </w:pPr>
            <w:r/>
            <w:r>
              <w:rPr>
                <w:rFonts w:ascii="Calibri" w:hAnsi="Calibri"/>
                <w:b/>
                <w:color w:val="333333"/>
                <w:sz w:val="18"/>
              </w:rPr>
              <w:t>MAGA / Trump-aligned</w:t>
            </w:r>
          </w:p>
        </w:tc>
        <w:tc>
          <w:tcPr>
            <w:tcW w:type="dxa" w:w="1296"/>
          </w:tcPr>
          <w:p>
            <w:pPr>
              <w:spacing w:before="40" w:after="40"/>
              <w:jc w:val="center"/>
            </w:pPr>
            <w:r/>
            <w:r>
              <w:rPr>
                <w:rFonts w:ascii="Calibri" w:hAnsi="Calibri"/>
                <w:b w:val="0"/>
                <w:color w:val="333333"/>
                <w:sz w:val="18"/>
              </w:rPr>
              <w:t>37,231</w:t>
            </w:r>
          </w:p>
        </w:tc>
        <w:tc>
          <w:tcPr>
            <w:tcW w:type="dxa" w:w="1296"/>
          </w:tcPr>
          <w:p>
            <w:pPr>
              <w:spacing w:before="40" w:after="40"/>
              <w:jc w:val="center"/>
            </w:pPr>
            <w:r/>
            <w:r>
              <w:rPr>
                <w:rFonts w:ascii="Calibri" w:hAnsi="Calibri"/>
                <w:b w:val="0"/>
                <w:color w:val="333333"/>
                <w:sz w:val="18"/>
              </w:rPr>
              <w:t>8.3%</w:t>
            </w:r>
          </w:p>
        </w:tc>
        <w:tc>
          <w:tcPr>
            <w:tcW w:type="dxa" w:w="4032"/>
          </w:tcPr>
          <w:p>
            <w:pPr>
              <w:spacing w:before="40" w:after="40"/>
              <w:jc w:val="center"/>
            </w:pPr>
            <w:r/>
            <w:r>
              <w:rPr>
                <w:rFonts w:ascii="Calibri" w:hAnsi="Calibri"/>
                <w:b w:val="0"/>
                <w:color w:val="333333"/>
                <w:sz w:val="18"/>
              </w:rPr>
              <w:t>High Trump Support score; unlikely Dem primary voters</w:t>
            </w:r>
          </w:p>
        </w:tc>
      </w:tr>
      <w:tr>
        <w:tc>
          <w:tcPr>
            <w:tcW w:type="dxa" w:w="2304"/>
            <w:shd w:fill="DBE5F1" w:val="clear"/>
          </w:tcPr>
          <w:p>
            <w:pPr>
              <w:spacing w:before="40" w:after="40"/>
              <w:jc w:val="center"/>
            </w:pPr>
            <w:r/>
            <w:r>
              <w:rPr>
                <w:rFonts w:ascii="Calibri" w:hAnsi="Calibri"/>
                <w:b/>
                <w:color w:val="333333"/>
                <w:sz w:val="18"/>
              </w:rPr>
              <w:t>Saikat-likely</w:t>
            </w:r>
          </w:p>
        </w:tc>
        <w:tc>
          <w:tcPr>
            <w:tcW w:type="dxa" w:w="1296"/>
            <w:shd w:fill="DBE5F1" w:val="clear"/>
          </w:tcPr>
          <w:p>
            <w:pPr>
              <w:spacing w:before="40" w:after="40"/>
              <w:jc w:val="center"/>
            </w:pPr>
            <w:r/>
            <w:r>
              <w:rPr>
                <w:rFonts w:ascii="Calibri" w:hAnsi="Calibri"/>
                <w:b w:val="0"/>
                <w:color w:val="333333"/>
                <w:sz w:val="18"/>
              </w:rPr>
              <w:t>9,714</w:t>
            </w:r>
          </w:p>
        </w:tc>
        <w:tc>
          <w:tcPr>
            <w:tcW w:type="dxa" w:w="1296"/>
            <w:shd w:fill="DBE5F1" w:val="clear"/>
          </w:tcPr>
          <w:p>
            <w:pPr>
              <w:spacing w:before="40" w:after="40"/>
              <w:jc w:val="center"/>
            </w:pPr>
            <w:r/>
            <w:r>
              <w:rPr>
                <w:rFonts w:ascii="Calibri" w:hAnsi="Calibri"/>
                <w:b w:val="0"/>
                <w:color w:val="333333"/>
                <w:sz w:val="18"/>
              </w:rPr>
              <w:t>2.2%</w:t>
            </w:r>
          </w:p>
        </w:tc>
        <w:tc>
          <w:tcPr>
            <w:tcW w:type="dxa" w:w="4032"/>
            <w:shd w:fill="DBE5F1" w:val="clear"/>
          </w:tcPr>
          <w:p>
            <w:pPr>
              <w:spacing w:before="40" w:after="40"/>
              <w:jc w:val="center"/>
            </w:pPr>
            <w:r/>
            <w:r>
              <w:rPr>
                <w:rFonts w:ascii="Calibri" w:hAnsi="Calibri"/>
                <w:b w:val="0"/>
                <w:color w:val="333333"/>
                <w:sz w:val="18"/>
              </w:rPr>
              <w:t>Very progressive; aligned with Chakrabarti coalition</w:t>
            </w:r>
          </w:p>
        </w:tc>
      </w:tr>
      <w:tr>
        <w:tc>
          <w:tcPr>
            <w:tcW w:type="dxa" w:w="2304"/>
          </w:tcPr>
          <w:p>
            <w:pPr>
              <w:spacing w:before="40" w:after="40"/>
              <w:jc w:val="center"/>
            </w:pPr>
            <w:r/>
            <w:r>
              <w:rPr>
                <w:rFonts w:ascii="Calibri" w:hAnsi="Calibri"/>
                <w:b/>
                <w:color w:val="333333"/>
                <w:sz w:val="18"/>
              </w:rPr>
              <w:t>Conservative</w:t>
            </w:r>
          </w:p>
        </w:tc>
        <w:tc>
          <w:tcPr>
            <w:tcW w:type="dxa" w:w="1296"/>
          </w:tcPr>
          <w:p>
            <w:pPr>
              <w:spacing w:before="40" w:after="40"/>
              <w:jc w:val="center"/>
            </w:pPr>
            <w:r/>
            <w:r>
              <w:rPr>
                <w:rFonts w:ascii="Calibri" w:hAnsi="Calibri"/>
                <w:b w:val="0"/>
                <w:color w:val="333333"/>
                <w:sz w:val="18"/>
              </w:rPr>
              <w:t>3,994</w:t>
            </w:r>
          </w:p>
        </w:tc>
        <w:tc>
          <w:tcPr>
            <w:tcW w:type="dxa" w:w="1296"/>
          </w:tcPr>
          <w:p>
            <w:pPr>
              <w:spacing w:before="40" w:after="40"/>
              <w:jc w:val="center"/>
            </w:pPr>
            <w:r/>
            <w:r>
              <w:rPr>
                <w:rFonts w:ascii="Calibri" w:hAnsi="Calibri"/>
                <w:b w:val="0"/>
                <w:color w:val="333333"/>
                <w:sz w:val="18"/>
              </w:rPr>
              <w:t>0.9%</w:t>
            </w:r>
          </w:p>
        </w:tc>
        <w:tc>
          <w:tcPr>
            <w:tcW w:type="dxa" w:w="4032"/>
          </w:tcPr>
          <w:p>
            <w:pPr>
              <w:spacing w:before="40" w:after="40"/>
              <w:jc w:val="center"/>
            </w:pPr>
            <w:r/>
            <w:r>
              <w:rPr>
                <w:rFonts w:ascii="Calibri" w:hAnsi="Calibri"/>
                <w:b w:val="0"/>
                <w:color w:val="333333"/>
                <w:sz w:val="18"/>
              </w:rPr>
              <w:t>Non-MAGA right; low Dem primary engagement</w:t>
            </w:r>
          </w:p>
        </w:tc>
      </w:tr>
      <w:tr>
        <w:tc>
          <w:tcPr>
            <w:tcW w:type="dxa" w:w="2304"/>
            <w:shd w:fill="DBE5F1" w:val="clear"/>
          </w:tcPr>
          <w:p>
            <w:pPr>
              <w:spacing w:before="40" w:after="40"/>
              <w:jc w:val="center"/>
            </w:pPr>
            <w:r/>
            <w:r>
              <w:rPr>
                <w:rFonts w:ascii="Calibri" w:hAnsi="Calibri"/>
                <w:b/>
                <w:color w:val="333333"/>
                <w:sz w:val="18"/>
              </w:rPr>
              <w:t>Low-score Residual</w:t>
            </w:r>
          </w:p>
        </w:tc>
        <w:tc>
          <w:tcPr>
            <w:tcW w:type="dxa" w:w="1296"/>
            <w:shd w:fill="DBE5F1" w:val="clear"/>
          </w:tcPr>
          <w:p>
            <w:pPr>
              <w:spacing w:before="40" w:after="40"/>
              <w:jc w:val="center"/>
            </w:pPr>
            <w:r/>
            <w:r>
              <w:rPr>
                <w:rFonts w:ascii="Calibri" w:hAnsi="Calibri"/>
                <w:b w:val="0"/>
                <w:color w:val="333333"/>
                <w:sz w:val="18"/>
              </w:rPr>
              <w:t>58,820</w:t>
            </w:r>
          </w:p>
        </w:tc>
        <w:tc>
          <w:tcPr>
            <w:tcW w:type="dxa" w:w="1296"/>
            <w:shd w:fill="DBE5F1" w:val="clear"/>
          </w:tcPr>
          <w:p>
            <w:pPr>
              <w:spacing w:before="40" w:after="40"/>
              <w:jc w:val="center"/>
            </w:pPr>
            <w:r/>
            <w:r>
              <w:rPr>
                <w:rFonts w:ascii="Calibri" w:hAnsi="Calibri"/>
                <w:b w:val="0"/>
                <w:color w:val="333333"/>
                <w:sz w:val="18"/>
              </w:rPr>
              <w:t>13.1%</w:t>
            </w:r>
          </w:p>
        </w:tc>
        <w:tc>
          <w:tcPr>
            <w:tcW w:type="dxa" w:w="4032"/>
            <w:shd w:fill="DBE5F1" w:val="clear"/>
          </w:tcPr>
          <w:p>
            <w:pPr>
              <w:spacing w:before="40" w:after="40"/>
              <w:jc w:val="center"/>
            </w:pPr>
            <w:r/>
            <w:r>
              <w:rPr>
                <w:rFonts w:ascii="Calibri" w:hAnsi="Calibri"/>
                <w:b w:val="0"/>
                <w:color w:val="333333"/>
                <w:sz w:val="18"/>
              </w:rPr>
              <w:t>Weak signals across all factors; low engagement</w:t>
            </w:r>
          </w:p>
        </w:tc>
      </w:tr>
    </w:tbl>
    <w:p/>
    <w:p>
      <w:pPr>
        <w:spacing w:after="120" w:before="0"/>
      </w:pPr>
      <w:r>
        <w:rPr>
          <w:rFonts w:ascii="Calibri" w:hAnsi="Calibri"/>
          <w:b w:val="0"/>
          <w:i/>
          <w:color w:val="333333"/>
          <w:sz w:val="22"/>
        </w:rPr>
        <w:t>Opposition demographics: 38.9% Democrat, 26.7% Republican, 44.6% White, 41.9% age 18–34. The relatively high share of young voters reflects low-engagement registrants who score poorly across multiple factors.</w:t>
      </w:r>
    </w:p>
    <w:p>
      <w:r>
        <w:br w:type="page"/>
      </w:r>
    </w:p>
    <w:p>
      <w:pPr>
        <w:pStyle w:val="Heading1"/>
      </w:pPr>
      <w:r>
        <w:rPr>
          <w:rFonts w:ascii="Calibri" w:hAnsi="Calibri"/>
          <w:color w:val="1B2A4A"/>
        </w:rPr>
        <w:t>4. Geographic Analysis</w:t>
      </w:r>
    </w:p>
    <w:p>
      <w:pPr>
        <w:spacing w:after="120" w:before="0"/>
      </w:pPr>
      <w:r>
        <w:rPr>
          <w:rFonts w:ascii="Calibri" w:hAnsi="Calibri"/>
          <w:b w:val="0"/>
          <w:i w:val="0"/>
          <w:color w:val="333333"/>
          <w:sz w:val="22"/>
        </w:rPr>
        <w:t>The table below presents the targeting breakdown by San Francisco Supervisor District. Districts are ordered by Base share (descending) to highlight the campaign’s geographic strengths and vulnerabilities.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720"/>
            <w:shd w:fill="1B2A4A" w:val="clear"/>
          </w:tcPr>
          <w:p>
            <w:pPr>
              <w:spacing w:before="40" w:after="40"/>
              <w:jc w:val="center"/>
            </w:pPr>
            <w:r/>
            <w:r>
              <w:rPr>
                <w:rFonts w:ascii="Calibri" w:hAnsi="Calibri"/>
                <w:b/>
                <w:color w:val="FFFFFF"/>
                <w:sz w:val="18"/>
              </w:rPr>
              <w:t>District</w:t>
            </w:r>
          </w:p>
        </w:tc>
        <w:tc>
          <w:tcPr>
            <w:tcW w:type="dxa" w:w="2448"/>
            <w:shd w:fill="1B2A4A" w:val="clear"/>
          </w:tcPr>
          <w:p>
            <w:pPr>
              <w:spacing w:before="40" w:after="40"/>
              <w:jc w:val="center"/>
            </w:pPr>
            <w:r/>
            <w:r>
              <w:rPr>
                <w:rFonts w:ascii="Calibri" w:hAnsi="Calibri"/>
                <w:b/>
                <w:color w:val="FFFFFF"/>
                <w:sz w:val="18"/>
              </w:rPr>
              <w:t>Description</w:t>
            </w:r>
          </w:p>
        </w:tc>
        <w:tc>
          <w:tcPr>
            <w:tcW w:type="dxa" w:w="1152"/>
            <w:shd w:fill="1B2A4A" w:val="clear"/>
          </w:tcPr>
          <w:p>
            <w:pPr>
              <w:spacing w:before="40" w:after="40"/>
              <w:jc w:val="center"/>
            </w:pPr>
            <w:r/>
            <w:r>
              <w:rPr>
                <w:rFonts w:ascii="Calibri" w:hAnsi="Calibri"/>
                <w:b/>
                <w:color w:val="FFFFFF"/>
                <w:sz w:val="18"/>
              </w:rPr>
              <w:t>Total</w:t>
              <w:br/>
              <w:t>Voters</w:t>
            </w:r>
          </w:p>
        </w:tc>
        <w:tc>
          <w:tcPr>
            <w:tcW w:type="dxa" w:w="1152"/>
            <w:shd w:fill="1B2A4A" w:val="clear"/>
          </w:tcPr>
          <w:p>
            <w:pPr>
              <w:spacing w:before="40" w:after="40"/>
              <w:jc w:val="center"/>
            </w:pPr>
            <w:r/>
            <w:r>
              <w:rPr>
                <w:rFonts w:ascii="Calibri" w:hAnsi="Calibri"/>
                <w:b/>
                <w:color w:val="FFFFFF"/>
                <w:sz w:val="18"/>
              </w:rPr>
              <w:t>Base</w:t>
              <w:br/>
              <w:t>Count</w:t>
            </w:r>
          </w:p>
        </w:tc>
        <w:tc>
          <w:tcPr>
            <w:tcW w:type="dxa" w:w="1008"/>
            <w:shd w:fill="1B2A4A" w:val="clear"/>
          </w:tcPr>
          <w:p>
            <w:pPr>
              <w:spacing w:before="40" w:after="40"/>
              <w:jc w:val="center"/>
            </w:pPr>
            <w:r/>
            <w:r>
              <w:rPr>
                <w:rFonts w:ascii="Calibri" w:hAnsi="Calibri"/>
                <w:b/>
                <w:color w:val="FFFFFF"/>
                <w:sz w:val="18"/>
              </w:rPr>
              <w:t>Base %</w:t>
            </w:r>
          </w:p>
        </w:tc>
        <w:tc>
          <w:tcPr>
            <w:tcW w:type="dxa" w:w="1296"/>
            <w:shd w:fill="1B2A4A" w:val="clear"/>
          </w:tcPr>
          <w:p>
            <w:pPr>
              <w:spacing w:before="40" w:after="40"/>
              <w:jc w:val="center"/>
            </w:pPr>
            <w:r/>
            <w:r>
              <w:rPr>
                <w:rFonts w:ascii="Calibri" w:hAnsi="Calibri"/>
                <w:b/>
                <w:color w:val="FFFFFF"/>
                <w:sz w:val="18"/>
              </w:rPr>
              <w:t>Persuasion %</w:t>
            </w:r>
          </w:p>
        </w:tc>
        <w:tc>
          <w:tcPr>
            <w:tcW w:type="dxa" w:w="1296"/>
            <w:shd w:fill="1B2A4A" w:val="clear"/>
          </w:tcPr>
          <w:p>
            <w:pPr>
              <w:spacing w:before="40" w:after="40"/>
              <w:jc w:val="center"/>
            </w:pPr>
            <w:r/>
            <w:r>
              <w:rPr>
                <w:rFonts w:ascii="Calibri" w:hAnsi="Calibri"/>
                <w:b/>
                <w:color w:val="FFFFFF"/>
                <w:sz w:val="18"/>
              </w:rPr>
              <w:t>Opposition %</w:t>
            </w:r>
          </w:p>
        </w:tc>
      </w:tr>
      <w:tr>
        <w:tc>
          <w:tcPr>
            <w:tcW w:type="dxa" w:w="720"/>
          </w:tcPr>
          <w:p>
            <w:pPr>
              <w:spacing w:before="40" w:after="40"/>
              <w:jc w:val="center"/>
            </w:pPr>
            <w:r/>
            <w:r>
              <w:rPr>
                <w:rFonts w:ascii="Calibri" w:hAnsi="Calibri"/>
                <w:b/>
                <w:color w:val="333333"/>
                <w:sz w:val="18"/>
              </w:rPr>
              <w:t>D8</w:t>
            </w:r>
          </w:p>
        </w:tc>
        <w:tc>
          <w:tcPr>
            <w:tcW w:type="dxa" w:w="2448"/>
          </w:tcPr>
          <w:p>
            <w:pPr>
              <w:spacing w:before="40" w:after="40"/>
              <w:jc w:val="center"/>
            </w:pPr>
            <w:r/>
            <w:r>
              <w:rPr>
                <w:rFonts w:ascii="Calibri" w:hAnsi="Calibri"/>
                <w:b w:val="0"/>
                <w:color w:val="333333"/>
                <w:sz w:val="18"/>
              </w:rPr>
              <w:t>Castro / Noe Valley</w:t>
            </w:r>
          </w:p>
        </w:tc>
        <w:tc>
          <w:tcPr>
            <w:tcW w:type="dxa" w:w="1152"/>
          </w:tcPr>
          <w:p>
            <w:pPr>
              <w:spacing w:before="40" w:after="40"/>
              <w:jc w:val="center"/>
            </w:pPr>
            <w:r/>
            <w:r>
              <w:rPr>
                <w:rFonts w:ascii="Calibri" w:hAnsi="Calibri"/>
                <w:b w:val="0"/>
                <w:color w:val="333333"/>
                <w:sz w:val="18"/>
              </w:rPr>
              <w:t>35,210</w:t>
            </w:r>
          </w:p>
        </w:tc>
        <w:tc>
          <w:tcPr>
            <w:tcW w:type="dxa" w:w="1152"/>
          </w:tcPr>
          <w:p>
            <w:pPr>
              <w:spacing w:before="40" w:after="40"/>
              <w:jc w:val="center"/>
            </w:pPr>
            <w:r/>
            <w:r>
              <w:rPr>
                <w:rFonts w:ascii="Calibri" w:hAnsi="Calibri"/>
                <w:b w:val="0"/>
                <w:color w:val="333333"/>
                <w:sz w:val="18"/>
              </w:rPr>
              <w:t>19,295</w:t>
            </w:r>
          </w:p>
        </w:tc>
        <w:tc>
          <w:tcPr>
            <w:tcW w:type="dxa" w:w="1008"/>
          </w:tcPr>
          <w:p>
            <w:pPr>
              <w:spacing w:before="40" w:after="40"/>
              <w:jc w:val="center"/>
            </w:pPr>
            <w:r/>
            <w:r>
              <w:rPr>
                <w:rFonts w:ascii="Calibri" w:hAnsi="Calibri"/>
                <w:b w:val="0"/>
                <w:color w:val="333333"/>
                <w:sz w:val="18"/>
              </w:rPr>
              <w:t>54.8%</w:t>
            </w:r>
          </w:p>
        </w:tc>
        <w:tc>
          <w:tcPr>
            <w:tcW w:type="dxa" w:w="1296"/>
          </w:tcPr>
          <w:p>
            <w:pPr>
              <w:spacing w:before="40" w:after="40"/>
              <w:jc w:val="center"/>
            </w:pPr>
            <w:r/>
            <w:r>
              <w:rPr>
                <w:rFonts w:ascii="Calibri" w:hAnsi="Calibri"/>
                <w:b w:val="0"/>
                <w:color w:val="333333"/>
                <w:sz w:val="18"/>
              </w:rPr>
              <w:t>30.7%</w:t>
            </w:r>
          </w:p>
        </w:tc>
        <w:tc>
          <w:tcPr>
            <w:tcW w:type="dxa" w:w="1296"/>
          </w:tcPr>
          <w:p>
            <w:pPr>
              <w:spacing w:before="40" w:after="40"/>
              <w:jc w:val="center"/>
            </w:pPr>
            <w:r/>
            <w:r>
              <w:rPr>
                <w:rFonts w:ascii="Calibri" w:hAnsi="Calibri"/>
                <w:b w:val="0"/>
                <w:color w:val="333333"/>
                <w:sz w:val="18"/>
              </w:rPr>
              <w:t>14.5%</w:t>
            </w:r>
          </w:p>
        </w:tc>
      </w:tr>
      <w:tr>
        <w:tc>
          <w:tcPr>
            <w:tcW w:type="dxa" w:w="720"/>
            <w:shd w:fill="DBE5F1" w:val="clear"/>
          </w:tcPr>
          <w:p>
            <w:pPr>
              <w:spacing w:before="40" w:after="40"/>
              <w:jc w:val="center"/>
            </w:pPr>
            <w:r/>
            <w:r>
              <w:rPr>
                <w:rFonts w:ascii="Calibri" w:hAnsi="Calibri"/>
                <w:b/>
                <w:color w:val="333333"/>
                <w:sz w:val="18"/>
              </w:rPr>
              <w:t>D7</w:t>
            </w:r>
          </w:p>
        </w:tc>
        <w:tc>
          <w:tcPr>
            <w:tcW w:type="dxa" w:w="2448"/>
            <w:shd w:fill="DBE5F1" w:val="clear"/>
          </w:tcPr>
          <w:p>
            <w:pPr>
              <w:spacing w:before="40" w:after="40"/>
              <w:jc w:val="center"/>
            </w:pPr>
            <w:r/>
            <w:r>
              <w:rPr>
                <w:rFonts w:ascii="Calibri" w:hAnsi="Calibri"/>
                <w:b w:val="0"/>
                <w:color w:val="333333"/>
                <w:sz w:val="18"/>
              </w:rPr>
              <w:t>West Side / Twin Peaks</w:t>
            </w:r>
          </w:p>
        </w:tc>
        <w:tc>
          <w:tcPr>
            <w:tcW w:type="dxa" w:w="1152"/>
            <w:shd w:fill="DBE5F1" w:val="clear"/>
          </w:tcPr>
          <w:p>
            <w:pPr>
              <w:spacing w:before="40" w:after="40"/>
              <w:jc w:val="center"/>
            </w:pPr>
            <w:r/>
            <w:r>
              <w:rPr>
                <w:rFonts w:ascii="Calibri" w:hAnsi="Calibri"/>
                <w:b w:val="0"/>
                <w:color w:val="333333"/>
                <w:sz w:val="18"/>
              </w:rPr>
              <w:t>48,620</w:t>
            </w:r>
          </w:p>
        </w:tc>
        <w:tc>
          <w:tcPr>
            <w:tcW w:type="dxa" w:w="1152"/>
            <w:shd w:fill="DBE5F1" w:val="clear"/>
          </w:tcPr>
          <w:p>
            <w:pPr>
              <w:spacing w:before="40" w:after="40"/>
              <w:jc w:val="center"/>
            </w:pPr>
            <w:r/>
            <w:r>
              <w:rPr>
                <w:rFonts w:ascii="Calibri" w:hAnsi="Calibri"/>
                <w:b w:val="0"/>
                <w:color w:val="333333"/>
                <w:sz w:val="18"/>
              </w:rPr>
              <w:t>24,893</w:t>
            </w:r>
          </w:p>
        </w:tc>
        <w:tc>
          <w:tcPr>
            <w:tcW w:type="dxa" w:w="1008"/>
            <w:shd w:fill="DBE5F1" w:val="clear"/>
          </w:tcPr>
          <w:p>
            <w:pPr>
              <w:spacing w:before="40" w:after="40"/>
              <w:jc w:val="center"/>
            </w:pPr>
            <w:r/>
            <w:r>
              <w:rPr>
                <w:rFonts w:ascii="Calibri" w:hAnsi="Calibri"/>
                <w:b w:val="0"/>
                <w:color w:val="333333"/>
                <w:sz w:val="18"/>
              </w:rPr>
              <w:t>51.2%</w:t>
            </w:r>
          </w:p>
        </w:tc>
        <w:tc>
          <w:tcPr>
            <w:tcW w:type="dxa" w:w="1296"/>
            <w:shd w:fill="DBE5F1" w:val="clear"/>
          </w:tcPr>
          <w:p>
            <w:pPr>
              <w:spacing w:before="40" w:after="40"/>
              <w:jc w:val="center"/>
            </w:pPr>
            <w:r/>
            <w:r>
              <w:rPr>
                <w:rFonts w:ascii="Calibri" w:hAnsi="Calibri"/>
                <w:b w:val="0"/>
                <w:color w:val="333333"/>
                <w:sz w:val="18"/>
              </w:rPr>
              <w:t>32.4%</w:t>
            </w:r>
          </w:p>
        </w:tc>
        <w:tc>
          <w:tcPr>
            <w:tcW w:type="dxa" w:w="1296"/>
            <w:shd w:fill="DBE5F1" w:val="clear"/>
          </w:tcPr>
          <w:p>
            <w:pPr>
              <w:spacing w:before="40" w:after="40"/>
              <w:jc w:val="center"/>
            </w:pPr>
            <w:r/>
            <w:r>
              <w:rPr>
                <w:rFonts w:ascii="Calibri" w:hAnsi="Calibri"/>
                <w:b w:val="0"/>
                <w:color w:val="333333"/>
                <w:sz w:val="18"/>
              </w:rPr>
              <w:t>16.4%</w:t>
            </w:r>
          </w:p>
        </w:tc>
      </w:tr>
      <w:tr>
        <w:tc>
          <w:tcPr>
            <w:tcW w:type="dxa" w:w="720"/>
          </w:tcPr>
          <w:p>
            <w:pPr>
              <w:spacing w:before="40" w:after="40"/>
              <w:jc w:val="center"/>
            </w:pPr>
            <w:r/>
            <w:r>
              <w:rPr>
                <w:rFonts w:ascii="Calibri" w:hAnsi="Calibri"/>
                <w:b/>
                <w:color w:val="333333"/>
                <w:sz w:val="18"/>
              </w:rPr>
              <w:t>D2</w:t>
            </w:r>
          </w:p>
        </w:tc>
        <w:tc>
          <w:tcPr>
            <w:tcW w:type="dxa" w:w="2448"/>
          </w:tcPr>
          <w:p>
            <w:pPr>
              <w:spacing w:before="40" w:after="40"/>
              <w:jc w:val="center"/>
            </w:pPr>
            <w:r/>
            <w:r>
              <w:rPr>
                <w:rFonts w:ascii="Calibri" w:hAnsi="Calibri"/>
                <w:b w:val="0"/>
                <w:color w:val="333333"/>
                <w:sz w:val="18"/>
              </w:rPr>
              <w:t>Marina / Pacific Heights</w:t>
            </w:r>
          </w:p>
        </w:tc>
        <w:tc>
          <w:tcPr>
            <w:tcW w:type="dxa" w:w="1152"/>
          </w:tcPr>
          <w:p>
            <w:pPr>
              <w:spacing w:before="40" w:after="40"/>
              <w:jc w:val="center"/>
            </w:pPr>
            <w:r/>
            <w:r>
              <w:rPr>
                <w:rFonts w:ascii="Calibri" w:hAnsi="Calibri"/>
                <w:b w:val="0"/>
                <w:color w:val="333333"/>
                <w:sz w:val="18"/>
              </w:rPr>
              <w:t>42,380</w:t>
            </w:r>
          </w:p>
        </w:tc>
        <w:tc>
          <w:tcPr>
            <w:tcW w:type="dxa" w:w="1152"/>
          </w:tcPr>
          <w:p>
            <w:pPr>
              <w:spacing w:before="40" w:after="40"/>
              <w:jc w:val="center"/>
            </w:pPr>
            <w:r/>
            <w:r>
              <w:rPr>
                <w:rFonts w:ascii="Calibri" w:hAnsi="Calibri"/>
                <w:b w:val="0"/>
                <w:color w:val="333333"/>
                <w:sz w:val="18"/>
              </w:rPr>
              <w:t>21,063</w:t>
            </w:r>
          </w:p>
        </w:tc>
        <w:tc>
          <w:tcPr>
            <w:tcW w:type="dxa" w:w="1008"/>
          </w:tcPr>
          <w:p>
            <w:pPr>
              <w:spacing w:before="40" w:after="40"/>
              <w:jc w:val="center"/>
            </w:pPr>
            <w:r/>
            <w:r>
              <w:rPr>
                <w:rFonts w:ascii="Calibri" w:hAnsi="Calibri"/>
                <w:b w:val="0"/>
                <w:color w:val="333333"/>
                <w:sz w:val="18"/>
              </w:rPr>
              <w:t>49.7%</w:t>
            </w:r>
          </w:p>
        </w:tc>
        <w:tc>
          <w:tcPr>
            <w:tcW w:type="dxa" w:w="1296"/>
          </w:tcPr>
          <w:p>
            <w:pPr>
              <w:spacing w:before="40" w:after="40"/>
              <w:jc w:val="center"/>
            </w:pPr>
            <w:r/>
            <w:r>
              <w:rPr>
                <w:rFonts w:ascii="Calibri" w:hAnsi="Calibri"/>
                <w:b w:val="0"/>
                <w:color w:val="333333"/>
                <w:sz w:val="18"/>
              </w:rPr>
              <w:t>33.1%</w:t>
            </w:r>
          </w:p>
        </w:tc>
        <w:tc>
          <w:tcPr>
            <w:tcW w:type="dxa" w:w="1296"/>
          </w:tcPr>
          <w:p>
            <w:pPr>
              <w:spacing w:before="40" w:after="40"/>
              <w:jc w:val="center"/>
            </w:pPr>
            <w:r/>
            <w:r>
              <w:rPr>
                <w:rFonts w:ascii="Calibri" w:hAnsi="Calibri"/>
                <w:b w:val="0"/>
                <w:color w:val="333333"/>
                <w:sz w:val="18"/>
              </w:rPr>
              <w:t>17.2%</w:t>
            </w:r>
          </w:p>
        </w:tc>
      </w:tr>
      <w:tr>
        <w:tc>
          <w:tcPr>
            <w:tcW w:type="dxa" w:w="720"/>
            <w:shd w:fill="DBE5F1" w:val="clear"/>
          </w:tcPr>
          <w:p>
            <w:pPr>
              <w:spacing w:before="40" w:after="40"/>
              <w:jc w:val="center"/>
            </w:pPr>
            <w:r/>
            <w:r>
              <w:rPr>
                <w:rFonts w:ascii="Calibri" w:hAnsi="Calibri"/>
                <w:b/>
                <w:color w:val="333333"/>
                <w:sz w:val="18"/>
              </w:rPr>
              <w:t>D3</w:t>
            </w:r>
          </w:p>
        </w:tc>
        <w:tc>
          <w:tcPr>
            <w:tcW w:type="dxa" w:w="2448"/>
            <w:shd w:fill="DBE5F1" w:val="clear"/>
          </w:tcPr>
          <w:p>
            <w:pPr>
              <w:spacing w:before="40" w:after="40"/>
              <w:jc w:val="center"/>
            </w:pPr>
            <w:r/>
            <w:r>
              <w:rPr>
                <w:rFonts w:ascii="Calibri" w:hAnsi="Calibri"/>
                <w:b w:val="0"/>
                <w:color w:val="333333"/>
                <w:sz w:val="18"/>
              </w:rPr>
              <w:t>North Beach / Chinatown</w:t>
            </w:r>
          </w:p>
        </w:tc>
        <w:tc>
          <w:tcPr>
            <w:tcW w:type="dxa" w:w="1152"/>
            <w:shd w:fill="DBE5F1" w:val="clear"/>
          </w:tcPr>
          <w:p>
            <w:pPr>
              <w:spacing w:before="40" w:after="40"/>
              <w:jc w:val="center"/>
            </w:pPr>
            <w:r/>
            <w:r>
              <w:rPr>
                <w:rFonts w:ascii="Calibri" w:hAnsi="Calibri"/>
                <w:b w:val="0"/>
                <w:color w:val="333333"/>
                <w:sz w:val="18"/>
              </w:rPr>
              <w:t>39,750</w:t>
            </w:r>
          </w:p>
        </w:tc>
        <w:tc>
          <w:tcPr>
            <w:tcW w:type="dxa" w:w="1152"/>
            <w:shd w:fill="DBE5F1" w:val="clear"/>
          </w:tcPr>
          <w:p>
            <w:pPr>
              <w:spacing w:before="40" w:after="40"/>
              <w:jc w:val="center"/>
            </w:pPr>
            <w:r/>
            <w:r>
              <w:rPr>
                <w:rFonts w:ascii="Calibri" w:hAnsi="Calibri"/>
                <w:b w:val="0"/>
                <w:color w:val="333333"/>
                <w:sz w:val="18"/>
              </w:rPr>
              <w:t>18,643</w:t>
            </w:r>
          </w:p>
        </w:tc>
        <w:tc>
          <w:tcPr>
            <w:tcW w:type="dxa" w:w="1008"/>
            <w:shd w:fill="DBE5F1" w:val="clear"/>
          </w:tcPr>
          <w:p>
            <w:pPr>
              <w:spacing w:before="40" w:after="40"/>
              <w:jc w:val="center"/>
            </w:pPr>
            <w:r/>
            <w:r>
              <w:rPr>
                <w:rFonts w:ascii="Calibri" w:hAnsi="Calibri"/>
                <w:b w:val="0"/>
                <w:color w:val="333333"/>
                <w:sz w:val="18"/>
              </w:rPr>
              <w:t>46.9%</w:t>
            </w:r>
          </w:p>
        </w:tc>
        <w:tc>
          <w:tcPr>
            <w:tcW w:type="dxa" w:w="1296"/>
            <w:shd w:fill="DBE5F1" w:val="clear"/>
          </w:tcPr>
          <w:p>
            <w:pPr>
              <w:spacing w:before="40" w:after="40"/>
              <w:jc w:val="center"/>
            </w:pPr>
            <w:r/>
            <w:r>
              <w:rPr>
                <w:rFonts w:ascii="Calibri" w:hAnsi="Calibri"/>
                <w:b w:val="0"/>
                <w:color w:val="333333"/>
                <w:sz w:val="18"/>
              </w:rPr>
              <w:t>34.2%</w:t>
            </w:r>
          </w:p>
        </w:tc>
        <w:tc>
          <w:tcPr>
            <w:tcW w:type="dxa" w:w="1296"/>
            <w:shd w:fill="DBE5F1" w:val="clear"/>
          </w:tcPr>
          <w:p>
            <w:pPr>
              <w:spacing w:before="40" w:after="40"/>
              <w:jc w:val="center"/>
            </w:pPr>
            <w:r/>
            <w:r>
              <w:rPr>
                <w:rFonts w:ascii="Calibri" w:hAnsi="Calibri"/>
                <w:b w:val="0"/>
                <w:color w:val="333333"/>
                <w:sz w:val="18"/>
              </w:rPr>
              <w:t>18.9%</w:t>
            </w:r>
          </w:p>
        </w:tc>
      </w:tr>
      <w:tr>
        <w:tc>
          <w:tcPr>
            <w:tcW w:type="dxa" w:w="720"/>
          </w:tcPr>
          <w:p>
            <w:pPr>
              <w:spacing w:before="40" w:after="40"/>
              <w:jc w:val="center"/>
            </w:pPr>
            <w:r/>
            <w:r>
              <w:rPr>
                <w:rFonts w:ascii="Calibri" w:hAnsi="Calibri"/>
                <w:b/>
                <w:color w:val="333333"/>
                <w:sz w:val="18"/>
              </w:rPr>
              <w:t>D6</w:t>
            </w:r>
          </w:p>
        </w:tc>
        <w:tc>
          <w:tcPr>
            <w:tcW w:type="dxa" w:w="2448"/>
          </w:tcPr>
          <w:p>
            <w:pPr>
              <w:spacing w:before="40" w:after="40"/>
              <w:jc w:val="center"/>
            </w:pPr>
            <w:r/>
            <w:r>
              <w:rPr>
                <w:rFonts w:ascii="Calibri" w:hAnsi="Calibri"/>
                <w:b w:val="0"/>
                <w:color w:val="333333"/>
                <w:sz w:val="18"/>
              </w:rPr>
              <w:t>SoMa / Tenderloin</w:t>
            </w:r>
          </w:p>
        </w:tc>
        <w:tc>
          <w:tcPr>
            <w:tcW w:type="dxa" w:w="1152"/>
          </w:tcPr>
          <w:p>
            <w:pPr>
              <w:spacing w:before="40" w:after="40"/>
              <w:jc w:val="center"/>
            </w:pPr>
            <w:r/>
            <w:r>
              <w:rPr>
                <w:rFonts w:ascii="Calibri" w:hAnsi="Calibri"/>
                <w:b w:val="0"/>
                <w:color w:val="333333"/>
                <w:sz w:val="18"/>
              </w:rPr>
              <w:t>51,890</w:t>
            </w:r>
          </w:p>
        </w:tc>
        <w:tc>
          <w:tcPr>
            <w:tcW w:type="dxa" w:w="1152"/>
          </w:tcPr>
          <w:p>
            <w:pPr>
              <w:spacing w:before="40" w:after="40"/>
              <w:jc w:val="center"/>
            </w:pPr>
            <w:r/>
            <w:r>
              <w:rPr>
                <w:rFonts w:ascii="Calibri" w:hAnsi="Calibri"/>
                <w:b w:val="0"/>
                <w:color w:val="333333"/>
                <w:sz w:val="18"/>
              </w:rPr>
              <w:t>22,572</w:t>
            </w:r>
          </w:p>
        </w:tc>
        <w:tc>
          <w:tcPr>
            <w:tcW w:type="dxa" w:w="1008"/>
          </w:tcPr>
          <w:p>
            <w:pPr>
              <w:spacing w:before="40" w:after="40"/>
              <w:jc w:val="center"/>
            </w:pPr>
            <w:r/>
            <w:r>
              <w:rPr>
                <w:rFonts w:ascii="Calibri" w:hAnsi="Calibri"/>
                <w:b w:val="0"/>
                <w:color w:val="333333"/>
                <w:sz w:val="18"/>
              </w:rPr>
              <w:t>43.5%</w:t>
            </w:r>
          </w:p>
        </w:tc>
        <w:tc>
          <w:tcPr>
            <w:tcW w:type="dxa" w:w="1296"/>
          </w:tcPr>
          <w:p>
            <w:pPr>
              <w:spacing w:before="40" w:after="40"/>
              <w:jc w:val="center"/>
            </w:pPr>
            <w:r/>
            <w:r>
              <w:rPr>
                <w:rFonts w:ascii="Calibri" w:hAnsi="Calibri"/>
                <w:b w:val="0"/>
                <w:color w:val="333333"/>
                <w:sz w:val="18"/>
              </w:rPr>
              <w:t>35.8%</w:t>
            </w:r>
          </w:p>
        </w:tc>
        <w:tc>
          <w:tcPr>
            <w:tcW w:type="dxa" w:w="1296"/>
          </w:tcPr>
          <w:p>
            <w:pPr>
              <w:spacing w:before="40" w:after="40"/>
              <w:jc w:val="center"/>
            </w:pPr>
            <w:r/>
            <w:r>
              <w:rPr>
                <w:rFonts w:ascii="Calibri" w:hAnsi="Calibri"/>
                <w:b w:val="0"/>
                <w:color w:val="333333"/>
                <w:sz w:val="18"/>
              </w:rPr>
              <w:t>20.7%</w:t>
            </w:r>
          </w:p>
        </w:tc>
      </w:tr>
      <w:tr>
        <w:tc>
          <w:tcPr>
            <w:tcW w:type="dxa" w:w="720"/>
            <w:shd w:fill="DBE5F1" w:val="clear"/>
          </w:tcPr>
          <w:p>
            <w:pPr>
              <w:spacing w:before="40" w:after="40"/>
              <w:jc w:val="center"/>
            </w:pPr>
            <w:r/>
            <w:r>
              <w:rPr>
                <w:rFonts w:ascii="Calibri" w:hAnsi="Calibri"/>
                <w:b/>
                <w:color w:val="333333"/>
                <w:sz w:val="18"/>
              </w:rPr>
              <w:t>D9</w:t>
            </w:r>
          </w:p>
        </w:tc>
        <w:tc>
          <w:tcPr>
            <w:tcW w:type="dxa" w:w="2448"/>
            <w:shd w:fill="DBE5F1" w:val="clear"/>
          </w:tcPr>
          <w:p>
            <w:pPr>
              <w:spacing w:before="40" w:after="40"/>
              <w:jc w:val="center"/>
            </w:pPr>
            <w:r/>
            <w:r>
              <w:rPr>
                <w:rFonts w:ascii="Calibri" w:hAnsi="Calibri"/>
                <w:b w:val="0"/>
                <w:color w:val="333333"/>
                <w:sz w:val="18"/>
              </w:rPr>
              <w:t>Mission / Bernal Heights</w:t>
            </w:r>
          </w:p>
        </w:tc>
        <w:tc>
          <w:tcPr>
            <w:tcW w:type="dxa" w:w="1152"/>
            <w:shd w:fill="DBE5F1" w:val="clear"/>
          </w:tcPr>
          <w:p>
            <w:pPr>
              <w:spacing w:before="40" w:after="40"/>
              <w:jc w:val="center"/>
            </w:pPr>
            <w:r/>
            <w:r>
              <w:rPr>
                <w:rFonts w:ascii="Calibri" w:hAnsi="Calibri"/>
                <w:b w:val="0"/>
                <w:color w:val="333333"/>
                <w:sz w:val="18"/>
              </w:rPr>
              <w:t>46,310</w:t>
            </w:r>
          </w:p>
        </w:tc>
        <w:tc>
          <w:tcPr>
            <w:tcW w:type="dxa" w:w="1152"/>
            <w:shd w:fill="DBE5F1" w:val="clear"/>
          </w:tcPr>
          <w:p>
            <w:pPr>
              <w:spacing w:before="40" w:after="40"/>
              <w:jc w:val="center"/>
            </w:pPr>
            <w:r/>
            <w:r>
              <w:rPr>
                <w:rFonts w:ascii="Calibri" w:hAnsi="Calibri"/>
                <w:b w:val="0"/>
                <w:color w:val="333333"/>
                <w:sz w:val="18"/>
              </w:rPr>
              <w:t>16,396</w:t>
            </w:r>
          </w:p>
        </w:tc>
        <w:tc>
          <w:tcPr>
            <w:tcW w:type="dxa" w:w="1008"/>
            <w:shd w:fill="DBE5F1" w:val="clear"/>
          </w:tcPr>
          <w:p>
            <w:pPr>
              <w:spacing w:before="40" w:after="40"/>
              <w:jc w:val="center"/>
            </w:pPr>
            <w:r/>
            <w:r>
              <w:rPr>
                <w:rFonts w:ascii="Calibri" w:hAnsi="Calibri"/>
                <w:b w:val="0"/>
                <w:color w:val="333333"/>
                <w:sz w:val="18"/>
              </w:rPr>
              <w:t>35.4%</w:t>
            </w:r>
          </w:p>
        </w:tc>
        <w:tc>
          <w:tcPr>
            <w:tcW w:type="dxa" w:w="1296"/>
            <w:shd w:fill="DBE5F1" w:val="clear"/>
          </w:tcPr>
          <w:p>
            <w:pPr>
              <w:spacing w:before="40" w:after="40"/>
              <w:jc w:val="center"/>
            </w:pPr>
            <w:r/>
            <w:r>
              <w:rPr>
                <w:rFonts w:ascii="Calibri" w:hAnsi="Calibri"/>
                <w:b w:val="0"/>
                <w:color w:val="333333"/>
                <w:sz w:val="18"/>
              </w:rPr>
              <w:t>38.9%</w:t>
            </w:r>
          </w:p>
        </w:tc>
        <w:tc>
          <w:tcPr>
            <w:tcW w:type="dxa" w:w="1296"/>
            <w:shd w:fill="DBE5F1" w:val="clear"/>
          </w:tcPr>
          <w:p>
            <w:pPr>
              <w:spacing w:before="40" w:after="40"/>
              <w:jc w:val="center"/>
            </w:pPr>
            <w:r/>
            <w:r>
              <w:rPr>
                <w:rFonts w:ascii="Calibri" w:hAnsi="Calibri"/>
                <w:b w:val="0"/>
                <w:color w:val="333333"/>
                <w:sz w:val="18"/>
              </w:rPr>
              <w:t>25.7%</w:t>
            </w:r>
          </w:p>
        </w:tc>
      </w:tr>
      <w:tr>
        <w:tc>
          <w:tcPr>
            <w:tcW w:type="dxa" w:w="720"/>
          </w:tcPr>
          <w:p>
            <w:pPr>
              <w:spacing w:before="40" w:after="40"/>
              <w:jc w:val="center"/>
            </w:pPr>
            <w:r/>
            <w:r>
              <w:rPr>
                <w:rFonts w:ascii="Calibri" w:hAnsi="Calibri"/>
                <w:b/>
                <w:color w:val="333333"/>
                <w:sz w:val="18"/>
              </w:rPr>
              <w:t>D1</w:t>
            </w:r>
          </w:p>
        </w:tc>
        <w:tc>
          <w:tcPr>
            <w:tcW w:type="dxa" w:w="2448"/>
          </w:tcPr>
          <w:p>
            <w:pPr>
              <w:spacing w:before="40" w:after="40"/>
              <w:jc w:val="center"/>
            </w:pPr>
            <w:r/>
            <w:r>
              <w:rPr>
                <w:rFonts w:ascii="Calibri" w:hAnsi="Calibri"/>
                <w:b w:val="0"/>
                <w:color w:val="333333"/>
                <w:sz w:val="18"/>
              </w:rPr>
              <w:t>Richmond</w:t>
            </w:r>
          </w:p>
        </w:tc>
        <w:tc>
          <w:tcPr>
            <w:tcW w:type="dxa" w:w="1152"/>
          </w:tcPr>
          <w:p>
            <w:pPr>
              <w:spacing w:before="40" w:after="40"/>
              <w:jc w:val="center"/>
            </w:pPr>
            <w:r/>
            <w:r>
              <w:rPr>
                <w:rFonts w:ascii="Calibri" w:hAnsi="Calibri"/>
                <w:b w:val="0"/>
                <w:color w:val="333333"/>
                <w:sz w:val="18"/>
              </w:rPr>
              <w:t>44,520</w:t>
            </w:r>
          </w:p>
        </w:tc>
        <w:tc>
          <w:tcPr>
            <w:tcW w:type="dxa" w:w="1152"/>
          </w:tcPr>
          <w:p>
            <w:pPr>
              <w:spacing w:before="40" w:after="40"/>
              <w:jc w:val="center"/>
            </w:pPr>
            <w:r/>
            <w:r>
              <w:rPr>
                <w:rFonts w:ascii="Calibri" w:hAnsi="Calibri"/>
                <w:b w:val="0"/>
                <w:color w:val="333333"/>
                <w:sz w:val="18"/>
              </w:rPr>
              <w:t>14,693</w:t>
            </w:r>
          </w:p>
        </w:tc>
        <w:tc>
          <w:tcPr>
            <w:tcW w:type="dxa" w:w="1008"/>
          </w:tcPr>
          <w:p>
            <w:pPr>
              <w:spacing w:before="40" w:after="40"/>
              <w:jc w:val="center"/>
            </w:pPr>
            <w:r/>
            <w:r>
              <w:rPr>
                <w:rFonts w:ascii="Calibri" w:hAnsi="Calibri"/>
                <w:b w:val="0"/>
                <w:color w:val="333333"/>
                <w:sz w:val="18"/>
              </w:rPr>
              <w:t>33.0%</w:t>
            </w:r>
          </w:p>
        </w:tc>
        <w:tc>
          <w:tcPr>
            <w:tcW w:type="dxa" w:w="1296"/>
          </w:tcPr>
          <w:p>
            <w:pPr>
              <w:spacing w:before="40" w:after="40"/>
              <w:jc w:val="center"/>
            </w:pPr>
            <w:r/>
            <w:r>
              <w:rPr>
                <w:rFonts w:ascii="Calibri" w:hAnsi="Calibri"/>
                <w:b w:val="0"/>
                <w:color w:val="333333"/>
                <w:sz w:val="18"/>
              </w:rPr>
              <w:t>41.2%</w:t>
            </w:r>
          </w:p>
        </w:tc>
        <w:tc>
          <w:tcPr>
            <w:tcW w:type="dxa" w:w="1296"/>
          </w:tcPr>
          <w:p>
            <w:pPr>
              <w:spacing w:before="40" w:after="40"/>
              <w:jc w:val="center"/>
            </w:pPr>
            <w:r/>
            <w:r>
              <w:rPr>
                <w:rFonts w:ascii="Calibri" w:hAnsi="Calibri"/>
                <w:b w:val="0"/>
                <w:color w:val="333333"/>
                <w:sz w:val="18"/>
              </w:rPr>
              <w:t>25.8%</w:t>
            </w:r>
          </w:p>
        </w:tc>
      </w:tr>
      <w:tr>
        <w:tc>
          <w:tcPr>
            <w:tcW w:type="dxa" w:w="720"/>
            <w:shd w:fill="DBE5F1" w:val="clear"/>
          </w:tcPr>
          <w:p>
            <w:pPr>
              <w:spacing w:before="40" w:after="40"/>
              <w:jc w:val="center"/>
            </w:pPr>
            <w:r/>
            <w:r>
              <w:rPr>
                <w:rFonts w:ascii="Calibri" w:hAnsi="Calibri"/>
                <w:b/>
                <w:color w:val="333333"/>
                <w:sz w:val="18"/>
              </w:rPr>
              <w:t>D4</w:t>
            </w:r>
          </w:p>
        </w:tc>
        <w:tc>
          <w:tcPr>
            <w:tcW w:type="dxa" w:w="2448"/>
            <w:shd w:fill="DBE5F1" w:val="clear"/>
          </w:tcPr>
          <w:p>
            <w:pPr>
              <w:spacing w:before="40" w:after="40"/>
              <w:jc w:val="center"/>
            </w:pPr>
            <w:r/>
            <w:r>
              <w:rPr>
                <w:rFonts w:ascii="Calibri" w:hAnsi="Calibri"/>
                <w:b w:val="0"/>
                <w:color w:val="333333"/>
                <w:sz w:val="18"/>
              </w:rPr>
              <w:t>Sunset / Parkside</w:t>
            </w:r>
          </w:p>
        </w:tc>
        <w:tc>
          <w:tcPr>
            <w:tcW w:type="dxa" w:w="1152"/>
            <w:shd w:fill="DBE5F1" w:val="clear"/>
          </w:tcPr>
          <w:p>
            <w:pPr>
              <w:spacing w:before="40" w:after="40"/>
              <w:jc w:val="center"/>
            </w:pPr>
            <w:r/>
            <w:r>
              <w:rPr>
                <w:rFonts w:ascii="Calibri" w:hAnsi="Calibri"/>
                <w:b w:val="0"/>
                <w:color w:val="333333"/>
                <w:sz w:val="18"/>
              </w:rPr>
              <w:t>43,870</w:t>
            </w:r>
          </w:p>
        </w:tc>
        <w:tc>
          <w:tcPr>
            <w:tcW w:type="dxa" w:w="1152"/>
            <w:shd w:fill="DBE5F1" w:val="clear"/>
          </w:tcPr>
          <w:p>
            <w:pPr>
              <w:spacing w:before="40" w:after="40"/>
              <w:jc w:val="center"/>
            </w:pPr>
            <w:r/>
            <w:r>
              <w:rPr>
                <w:rFonts w:ascii="Calibri" w:hAnsi="Calibri"/>
                <w:b w:val="0"/>
                <w:color w:val="333333"/>
                <w:sz w:val="18"/>
              </w:rPr>
              <w:t>11,318</w:t>
            </w:r>
          </w:p>
        </w:tc>
        <w:tc>
          <w:tcPr>
            <w:tcW w:type="dxa" w:w="1008"/>
            <w:shd w:fill="DBE5F1" w:val="clear"/>
          </w:tcPr>
          <w:p>
            <w:pPr>
              <w:spacing w:before="40" w:after="40"/>
              <w:jc w:val="center"/>
            </w:pPr>
            <w:r/>
            <w:r>
              <w:rPr>
                <w:rFonts w:ascii="Calibri" w:hAnsi="Calibri"/>
                <w:b w:val="0"/>
                <w:color w:val="333333"/>
                <w:sz w:val="18"/>
              </w:rPr>
              <w:t>25.8%</w:t>
            </w:r>
          </w:p>
        </w:tc>
        <w:tc>
          <w:tcPr>
            <w:tcW w:type="dxa" w:w="1296"/>
            <w:shd w:fill="DBE5F1" w:val="clear"/>
          </w:tcPr>
          <w:p>
            <w:pPr>
              <w:spacing w:before="40" w:after="40"/>
              <w:jc w:val="center"/>
            </w:pPr>
            <w:r/>
            <w:r>
              <w:rPr>
                <w:rFonts w:ascii="Calibri" w:hAnsi="Calibri"/>
                <w:b w:val="0"/>
                <w:color w:val="333333"/>
                <w:sz w:val="18"/>
              </w:rPr>
              <w:t>44.6%</w:t>
            </w:r>
          </w:p>
        </w:tc>
        <w:tc>
          <w:tcPr>
            <w:tcW w:type="dxa" w:w="1296"/>
            <w:shd w:fill="DBE5F1" w:val="clear"/>
          </w:tcPr>
          <w:p>
            <w:pPr>
              <w:spacing w:before="40" w:after="40"/>
              <w:jc w:val="center"/>
            </w:pPr>
            <w:r/>
            <w:r>
              <w:rPr>
                <w:rFonts w:ascii="Calibri" w:hAnsi="Calibri"/>
                <w:b w:val="0"/>
                <w:color w:val="333333"/>
                <w:sz w:val="18"/>
              </w:rPr>
              <w:t>29.6%</w:t>
            </w:r>
          </w:p>
        </w:tc>
      </w:tr>
      <w:tr>
        <w:tc>
          <w:tcPr>
            <w:tcW w:type="dxa" w:w="720"/>
          </w:tcPr>
          <w:p>
            <w:pPr>
              <w:spacing w:before="40" w:after="40"/>
              <w:jc w:val="center"/>
            </w:pPr>
            <w:r/>
            <w:r>
              <w:rPr>
                <w:rFonts w:ascii="Calibri" w:hAnsi="Calibri"/>
                <w:b/>
                <w:color w:val="333333"/>
                <w:sz w:val="18"/>
              </w:rPr>
              <w:t>D5</w:t>
            </w:r>
          </w:p>
        </w:tc>
        <w:tc>
          <w:tcPr>
            <w:tcW w:type="dxa" w:w="2448"/>
          </w:tcPr>
          <w:p>
            <w:pPr>
              <w:spacing w:before="40" w:after="40"/>
              <w:jc w:val="center"/>
            </w:pPr>
            <w:r/>
            <w:r>
              <w:rPr>
                <w:rFonts w:ascii="Calibri" w:hAnsi="Calibri"/>
                <w:b w:val="0"/>
                <w:color w:val="333333"/>
                <w:sz w:val="18"/>
              </w:rPr>
              <w:t>Haight / Western Addition</w:t>
            </w:r>
          </w:p>
        </w:tc>
        <w:tc>
          <w:tcPr>
            <w:tcW w:type="dxa" w:w="1152"/>
          </w:tcPr>
          <w:p>
            <w:pPr>
              <w:spacing w:before="40" w:after="40"/>
              <w:jc w:val="center"/>
            </w:pPr>
            <w:r/>
            <w:r>
              <w:rPr>
                <w:rFonts w:ascii="Calibri" w:hAnsi="Calibri"/>
                <w:b w:val="0"/>
                <w:color w:val="333333"/>
                <w:sz w:val="18"/>
              </w:rPr>
              <w:t>46,780</w:t>
            </w:r>
          </w:p>
        </w:tc>
        <w:tc>
          <w:tcPr>
            <w:tcW w:type="dxa" w:w="1152"/>
          </w:tcPr>
          <w:p>
            <w:pPr>
              <w:spacing w:before="40" w:after="40"/>
              <w:jc w:val="center"/>
            </w:pPr>
            <w:r/>
            <w:r>
              <w:rPr>
                <w:rFonts w:ascii="Calibri" w:hAnsi="Calibri"/>
                <w:b w:val="0"/>
                <w:color w:val="333333"/>
                <w:sz w:val="18"/>
              </w:rPr>
              <w:t>11,742</w:t>
            </w:r>
          </w:p>
        </w:tc>
        <w:tc>
          <w:tcPr>
            <w:tcW w:type="dxa" w:w="1008"/>
          </w:tcPr>
          <w:p>
            <w:pPr>
              <w:spacing w:before="40" w:after="40"/>
              <w:jc w:val="center"/>
            </w:pPr>
            <w:r/>
            <w:r>
              <w:rPr>
                <w:rFonts w:ascii="Calibri" w:hAnsi="Calibri"/>
                <w:b w:val="0"/>
                <w:color w:val="333333"/>
                <w:sz w:val="18"/>
              </w:rPr>
              <w:t>25.1%</w:t>
            </w:r>
          </w:p>
        </w:tc>
        <w:tc>
          <w:tcPr>
            <w:tcW w:type="dxa" w:w="1296"/>
          </w:tcPr>
          <w:p>
            <w:pPr>
              <w:spacing w:before="40" w:after="40"/>
              <w:jc w:val="center"/>
            </w:pPr>
            <w:r/>
            <w:r>
              <w:rPr>
                <w:rFonts w:ascii="Calibri" w:hAnsi="Calibri"/>
                <w:b w:val="0"/>
                <w:color w:val="333333"/>
                <w:sz w:val="18"/>
              </w:rPr>
              <w:t>40.9%</w:t>
            </w:r>
          </w:p>
        </w:tc>
        <w:tc>
          <w:tcPr>
            <w:tcW w:type="dxa" w:w="1296"/>
          </w:tcPr>
          <w:p>
            <w:pPr>
              <w:spacing w:before="40" w:after="40"/>
              <w:jc w:val="center"/>
            </w:pPr>
            <w:r/>
            <w:r>
              <w:rPr>
                <w:rFonts w:ascii="Calibri" w:hAnsi="Calibri"/>
                <w:b w:val="0"/>
                <w:color w:val="333333"/>
                <w:sz w:val="18"/>
              </w:rPr>
              <w:t>34.0%</w:t>
            </w:r>
          </w:p>
        </w:tc>
      </w:tr>
      <w:tr>
        <w:tc>
          <w:tcPr>
            <w:tcW w:type="dxa" w:w="720"/>
            <w:shd w:fill="DBE5F1" w:val="clear"/>
          </w:tcPr>
          <w:p>
            <w:pPr>
              <w:spacing w:before="40" w:after="40"/>
              <w:jc w:val="center"/>
            </w:pPr>
            <w:r/>
            <w:r>
              <w:rPr>
                <w:rFonts w:ascii="Calibri" w:hAnsi="Calibri"/>
                <w:b/>
                <w:color w:val="333333"/>
                <w:sz w:val="18"/>
              </w:rPr>
              <w:t>D10</w:t>
            </w:r>
          </w:p>
        </w:tc>
        <w:tc>
          <w:tcPr>
            <w:tcW w:type="dxa" w:w="2448"/>
            <w:shd w:fill="DBE5F1" w:val="clear"/>
          </w:tcPr>
          <w:p>
            <w:pPr>
              <w:spacing w:before="40" w:after="40"/>
              <w:jc w:val="center"/>
            </w:pPr>
            <w:r/>
            <w:r>
              <w:rPr>
                <w:rFonts w:ascii="Calibri" w:hAnsi="Calibri"/>
                <w:b w:val="0"/>
                <w:color w:val="333333"/>
                <w:sz w:val="18"/>
              </w:rPr>
              <w:t>Bayview / Potrero Hill</w:t>
            </w:r>
          </w:p>
        </w:tc>
        <w:tc>
          <w:tcPr>
            <w:tcW w:type="dxa" w:w="1152"/>
            <w:shd w:fill="DBE5F1" w:val="clear"/>
          </w:tcPr>
          <w:p>
            <w:pPr>
              <w:spacing w:before="40" w:after="40"/>
              <w:jc w:val="center"/>
            </w:pPr>
            <w:r/>
            <w:r>
              <w:rPr>
                <w:rFonts w:ascii="Calibri" w:hAnsi="Calibri"/>
                <w:b w:val="0"/>
                <w:color w:val="333333"/>
                <w:sz w:val="18"/>
              </w:rPr>
              <w:t>49,046</w:t>
            </w:r>
          </w:p>
        </w:tc>
        <w:tc>
          <w:tcPr>
            <w:tcW w:type="dxa" w:w="1152"/>
            <w:shd w:fill="DBE5F1" w:val="clear"/>
          </w:tcPr>
          <w:p>
            <w:pPr>
              <w:spacing w:before="40" w:after="40"/>
              <w:jc w:val="center"/>
            </w:pPr>
            <w:r/>
            <w:r>
              <w:rPr>
                <w:rFonts w:ascii="Calibri" w:hAnsi="Calibri"/>
                <w:b w:val="0"/>
                <w:color w:val="333333"/>
                <w:sz w:val="18"/>
              </w:rPr>
              <w:t>9,112</w:t>
            </w:r>
          </w:p>
        </w:tc>
        <w:tc>
          <w:tcPr>
            <w:tcW w:type="dxa" w:w="1008"/>
            <w:shd w:fill="DBE5F1" w:val="clear"/>
          </w:tcPr>
          <w:p>
            <w:pPr>
              <w:spacing w:before="40" w:after="40"/>
              <w:jc w:val="center"/>
            </w:pPr>
            <w:r/>
            <w:r>
              <w:rPr>
                <w:rFonts w:ascii="Calibri" w:hAnsi="Calibri"/>
                <w:b w:val="0"/>
                <w:color w:val="333333"/>
                <w:sz w:val="18"/>
              </w:rPr>
              <w:t>18.6%</w:t>
            </w:r>
          </w:p>
        </w:tc>
        <w:tc>
          <w:tcPr>
            <w:tcW w:type="dxa" w:w="1296"/>
            <w:shd w:fill="DBE5F1" w:val="clear"/>
          </w:tcPr>
          <w:p>
            <w:pPr>
              <w:spacing w:before="40" w:after="40"/>
              <w:jc w:val="center"/>
            </w:pPr>
            <w:r/>
            <w:r>
              <w:rPr>
                <w:rFonts w:ascii="Calibri" w:hAnsi="Calibri"/>
                <w:b w:val="0"/>
                <w:color w:val="333333"/>
                <w:sz w:val="18"/>
              </w:rPr>
              <w:t>40.1%</w:t>
            </w:r>
          </w:p>
        </w:tc>
        <w:tc>
          <w:tcPr>
            <w:tcW w:type="dxa" w:w="1296"/>
            <w:shd w:fill="DBE5F1" w:val="clear"/>
          </w:tcPr>
          <w:p>
            <w:pPr>
              <w:spacing w:before="40" w:after="40"/>
              <w:jc w:val="center"/>
            </w:pPr>
            <w:r/>
            <w:r>
              <w:rPr>
                <w:rFonts w:ascii="Calibri" w:hAnsi="Calibri"/>
                <w:b w:val="0"/>
                <w:color w:val="333333"/>
                <w:sz w:val="18"/>
              </w:rPr>
              <w:t>41.3%</w:t>
            </w:r>
          </w:p>
        </w:tc>
      </w:tr>
    </w:tbl>
    <w:p/>
    <w:p>
      <w:pPr>
        <w:spacing w:before="200" w:after="80"/>
      </w:pPr>
      <w:r>
        <w:rPr>
          <w:rFonts w:ascii="Calibri" w:hAnsi="Calibri"/>
          <w:b/>
          <w:color w:val="1B2A4A"/>
          <w:sz w:val="24"/>
        </w:rPr>
        <w:t>Key Geographic Takeaways</w:t>
      </w:r>
    </w:p>
    <w:p>
      <w:pPr>
        <w:pStyle w:val="ListBullet"/>
        <w:spacing w:after="60" w:before="20"/>
        <w:ind w:left="720"/>
      </w:pPr>
      <w:r>
        <w:rPr>
          <w:rFonts w:ascii="Calibri" w:hAnsi="Calibri"/>
          <w:b/>
          <w:color w:val="333333"/>
          <w:sz w:val="22"/>
        </w:rPr>
        <w:t xml:space="preserve">Stronghold: </w:t>
      </w:r>
      <w:r>
        <w:rPr>
          <w:rFonts w:ascii="Calibri" w:hAnsi="Calibri"/>
          <w:color w:val="333333"/>
          <w:sz w:val="22"/>
        </w:rPr>
        <w:t>District 8 (Castro/Noe Valley) is Scott’s strongest district at 54.8% Base — LGBTQ+ concentration, long-standing constituent relationships.</w:t>
      </w:r>
    </w:p>
    <w:p>
      <w:pPr>
        <w:pStyle w:val="ListBullet"/>
        <w:spacing w:after="60" w:before="20"/>
        <w:ind w:left="720"/>
      </w:pPr>
      <w:r>
        <w:rPr>
          <w:rFonts w:ascii="Calibri" w:hAnsi="Calibri"/>
          <w:b/>
          <w:color w:val="333333"/>
          <w:sz w:val="22"/>
        </w:rPr>
        <w:t xml:space="preserve">Core Base: </w:t>
      </w:r>
      <w:r>
        <w:rPr>
          <w:rFonts w:ascii="Calibri" w:hAnsi="Calibri"/>
          <w:color w:val="333333"/>
          <w:sz w:val="22"/>
        </w:rPr>
        <w:t>Districts 7 and 2 round out the top tier with roughly half of all voters in the Base universe.</w:t>
      </w:r>
    </w:p>
    <w:p>
      <w:pPr>
        <w:pStyle w:val="ListBullet"/>
        <w:spacing w:after="60" w:before="20"/>
        <w:ind w:left="720"/>
      </w:pPr>
      <w:r>
        <w:rPr>
          <w:rFonts w:ascii="Calibri" w:hAnsi="Calibri"/>
          <w:b/>
          <w:color w:val="333333"/>
          <w:sz w:val="22"/>
        </w:rPr>
        <w:t xml:space="preserve">Competitive Progressive: </w:t>
      </w:r>
      <w:r>
        <w:rPr>
          <w:rFonts w:ascii="Calibri" w:hAnsi="Calibri"/>
          <w:color w:val="333333"/>
          <w:sz w:val="22"/>
        </w:rPr>
        <w:t>District 5 (Haight/Western Addition) is the progressive stronghold most favorable to Saikat Chakrabarti. Only 25.1% Base with 34.0% Opposition — the campaign should contest moderate progressives here but not over-invest.</w:t>
      </w:r>
    </w:p>
    <w:p>
      <w:pPr>
        <w:pStyle w:val="ListBullet"/>
        <w:spacing w:after="60" w:before="20"/>
        <w:ind w:left="720"/>
      </w:pPr>
      <w:r>
        <w:rPr>
          <w:rFonts w:ascii="Calibri" w:hAnsi="Calibri"/>
          <w:b/>
          <w:color w:val="333333"/>
          <w:sz w:val="22"/>
        </w:rPr>
        <w:t xml:space="preserve">Persuasion Opportunity: </w:t>
      </w:r>
      <w:r>
        <w:rPr>
          <w:rFonts w:ascii="Calibri" w:hAnsi="Calibri"/>
          <w:color w:val="333333"/>
          <w:sz w:val="22"/>
        </w:rPr>
        <w:t>District 4 (Sunset) is heavily API with the highest Persuasion share (44.6%). Culturally tailored messaging could yield significant gains.</w:t>
      </w:r>
    </w:p>
    <w:p>
      <w:pPr>
        <w:pStyle w:val="ListBullet"/>
        <w:spacing w:after="60" w:before="20"/>
        <w:ind w:left="720"/>
      </w:pPr>
      <w:r>
        <w:rPr>
          <w:rFonts w:ascii="Calibri" w:hAnsi="Calibri"/>
          <w:b/>
          <w:color w:val="333333"/>
          <w:sz w:val="22"/>
        </w:rPr>
        <w:t xml:space="preserve">Deprioritize: </w:t>
      </w:r>
      <w:r>
        <w:rPr>
          <w:rFonts w:ascii="Calibri" w:hAnsi="Calibri"/>
          <w:color w:val="333333"/>
          <w:sz w:val="22"/>
        </w:rPr>
        <w:t>District 10 (Bayview/Potrero Hill) has the lowest Base share (18.6%) and highest Opposition (41.3%). Resources should be allocated elsewhere.</w:t>
      </w:r>
    </w:p>
    <w:p>
      <w:r>
        <w:br w:type="page"/>
      </w:r>
    </w:p>
    <w:p>
      <w:pPr>
        <w:pStyle w:val="Heading1"/>
      </w:pPr>
      <w:r>
        <w:rPr>
          <w:rFonts w:ascii="Calibri" w:hAnsi="Calibri"/>
          <w:color w:val="1B2A4A"/>
        </w:rPr>
        <w:t>5. Strategic Recommendations</w:t>
      </w:r>
    </w:p>
    <w:p>
      <w:pPr>
        <w:spacing w:before="200" w:after="80"/>
      </w:pPr>
      <w:r>
        <w:rPr>
          <w:rFonts w:ascii="Calibri" w:hAnsi="Calibri"/>
          <w:b/>
          <w:color w:val="1B2A4A"/>
          <w:sz w:val="24"/>
        </w:rPr>
        <w:t>A. Mobilization Priority: Drop-off Base (62,725 voters)</w:t>
      </w:r>
    </w:p>
    <w:p>
      <w:pPr>
        <w:spacing w:after="120" w:before="0"/>
      </w:pPr>
      <w:r>
        <w:rPr>
          <w:rFonts w:ascii="Calibri" w:hAnsi="Calibri"/>
          <w:b w:val="0"/>
          <w:i w:val="0"/>
          <w:color w:val="333333"/>
          <w:sz w:val="22"/>
        </w:rPr>
        <w:t>The single highest-ROI investment this campaign can make is mobilizing the 62,725 Base voters whose turnout probability score falls below 45 (on the 0–100 scale). These individuals already support Scott but are unlikely to vote in a June primary without direct outreach. Every vote earned here comes from an existing supporter — no persuasion required.</w:t>
      </w:r>
    </w:p>
    <w:p>
      <w:pPr>
        <w:pStyle w:val="ListBullet"/>
        <w:spacing w:after="60" w:before="20"/>
        <w:ind w:left="720"/>
      </w:pPr>
      <w:r>
        <w:rPr>
          <w:rFonts w:ascii="Calibri" w:hAnsi="Calibri"/>
          <w:b/>
          <w:color w:val="333333"/>
          <w:sz w:val="22"/>
        </w:rPr>
        <w:t xml:space="preserve">Tactic: </w:t>
      </w:r>
      <w:r>
        <w:rPr>
          <w:rFonts w:ascii="Calibri" w:hAnsi="Calibri"/>
          <w:color w:val="333333"/>
          <w:sz w:val="22"/>
        </w:rPr>
        <w:t>Concentrate GOTV resources (door knocks, phone calls, texts) on drop-off Base voters.</w:t>
      </w:r>
    </w:p>
    <w:p>
      <w:pPr>
        <w:pStyle w:val="ListBullet"/>
        <w:spacing w:after="60" w:before="20"/>
        <w:ind w:left="720"/>
      </w:pPr>
      <w:r>
        <w:rPr>
          <w:rFonts w:ascii="Calibri" w:hAnsi="Calibri"/>
          <w:b/>
          <w:color w:val="333333"/>
          <w:sz w:val="22"/>
        </w:rPr>
        <w:t xml:space="preserve">Geographic Focus: </w:t>
      </w:r>
      <w:r>
        <w:rPr>
          <w:rFonts w:ascii="Calibri" w:hAnsi="Calibri"/>
          <w:color w:val="333333"/>
          <w:sz w:val="22"/>
        </w:rPr>
        <w:t>Districts 2, 3, 6, 7, 8 where Base concentration is highest.</w:t>
      </w:r>
    </w:p>
    <w:p>
      <w:pPr>
        <w:pStyle w:val="ListBullet"/>
        <w:spacing w:after="60" w:before="20"/>
        <w:ind w:left="720"/>
      </w:pPr>
      <w:r>
        <w:rPr>
          <w:rFonts w:ascii="Calibri" w:hAnsi="Calibri"/>
          <w:b/>
          <w:color w:val="333333"/>
          <w:sz w:val="22"/>
        </w:rPr>
        <w:t xml:space="preserve">Messaging: </w:t>
      </w:r>
      <w:r>
        <w:rPr>
          <w:rFonts w:ascii="Calibri" w:hAnsi="Calibri"/>
          <w:color w:val="333333"/>
          <w:sz w:val="22"/>
        </w:rPr>
        <w:t>Emphasize urgency and primary-specific turnout. Frame: “Your vote matters in June — this primary decides who represents SF.”</w:t>
      </w:r>
    </w:p>
    <w:p>
      <w:pPr>
        <w:pStyle w:val="ListBullet"/>
        <w:spacing w:after="60" w:before="20"/>
        <w:ind w:left="720"/>
      </w:pPr>
      <w:r>
        <w:rPr>
          <w:rFonts w:ascii="Calibri" w:hAnsi="Calibri"/>
          <w:b/>
          <w:color w:val="333333"/>
          <w:sz w:val="22"/>
        </w:rPr>
        <w:t xml:space="preserve">Vote-by-Mail Chase: </w:t>
      </w:r>
      <w:r>
        <w:rPr>
          <w:rFonts w:ascii="Calibri" w:hAnsi="Calibri"/>
          <w:color w:val="333333"/>
          <w:sz w:val="22"/>
        </w:rPr>
        <w:t>VBM chase program targeting drop-off Base voters who requested ballots but have not returned them.</w:t>
      </w:r>
    </w:p>
    <w:p/>
    <w:p>
      <w:pPr>
        <w:spacing w:before="200" w:after="80"/>
      </w:pPr>
      <w:r>
        <w:rPr>
          <w:rFonts w:ascii="Calibri" w:hAnsi="Calibri"/>
          <w:b/>
          <w:color w:val="1B2A4A"/>
          <w:sz w:val="24"/>
        </w:rPr>
        <w:t>B. Persuasion Targets: Priority Segments</w:t>
      </w:r>
    </w:p>
    <w:p>
      <w:pPr>
        <w:spacing w:after="120" w:before="0"/>
      </w:pPr>
      <w:r>
        <w:rPr>
          <w:rFonts w:ascii="Calibri" w:hAnsi="Calibri"/>
          <w:b w:val="0"/>
          <w:i w:val="0"/>
          <w:color w:val="333333"/>
          <w:sz w:val="22"/>
        </w:rPr>
        <w:t>The Persuasion universe is large (167,890) but heterogeneous. The campaign should focus paid media, direct mail, and field resources on five high-impact sub-segments with tailored messaging.</w:t>
      </w:r>
    </w:p>
    <w:p>
      <w:pPr>
        <w:pStyle w:val="ListBullet"/>
        <w:spacing w:after="60" w:before="20"/>
        <w:ind w:left="720"/>
      </w:pPr>
      <w:r>
        <w:rPr>
          <w:rFonts w:ascii="Calibri" w:hAnsi="Calibri"/>
          <w:b/>
          <w:color w:val="333333"/>
          <w:sz w:val="22"/>
        </w:rPr>
        <w:t>1. API Voters in Persuasion</w:t>
      </w:r>
      <w:r>
        <w:rPr>
          <w:rFonts w:ascii="Calibri" w:hAnsi="Calibri"/>
          <w:color w:val="333333"/>
          <w:sz w:val="22"/>
        </w:rPr>
        <w:t xml:space="preserve"> (50,680 voters) — Housing affordability and ICE enforcement protection messaging. Culturally competent outreach in Cantonese, Mandarin, and Tagalog. Concentrate in Districts 1, 3, 4.</w:t>
      </w:r>
    </w:p>
    <w:p>
      <w:pPr>
        <w:pStyle w:val="ListBullet"/>
        <w:spacing w:after="60" w:before="20"/>
        <w:ind w:left="720"/>
      </w:pPr>
      <w:r>
        <w:rPr>
          <w:rFonts w:ascii="Calibri" w:hAnsi="Calibri"/>
          <w:b/>
          <w:color w:val="333333"/>
          <w:sz w:val="22"/>
        </w:rPr>
        <w:t>2. Male 18–49 in Persuasion</w:t>
      </w:r>
      <w:r>
        <w:rPr>
          <w:rFonts w:ascii="Calibri" w:hAnsi="Calibri"/>
          <w:color w:val="333333"/>
          <w:sz w:val="22"/>
        </w:rPr>
        <w:t xml:space="preserve"> (51,081 voters) — Anti-Trump record, housing and economic opportunity messaging. Digital-first outreach strategy.</w:t>
      </w:r>
    </w:p>
    <w:p>
      <w:pPr>
        <w:pStyle w:val="ListBullet"/>
        <w:spacing w:after="60" w:before="20"/>
        <w:ind w:left="720"/>
      </w:pPr>
      <w:r>
        <w:rPr>
          <w:rFonts w:ascii="Calibri" w:hAnsi="Calibri"/>
          <w:b/>
          <w:color w:val="333333"/>
          <w:sz w:val="22"/>
        </w:rPr>
        <w:t>3. AD 19 Voters</w:t>
      </w:r>
      <w:r>
        <w:rPr>
          <w:rFonts w:ascii="Calibri" w:hAnsi="Calibri"/>
          <w:color w:val="333333"/>
          <w:sz w:val="22"/>
        </w:rPr>
        <w:t xml:space="preserve"> (75,117 voters) — Targeted field outreach in the underperforming assembly district. Coordinate with local AD 19 Democratic clubs.</w:t>
      </w:r>
    </w:p>
    <w:p>
      <w:pPr>
        <w:pStyle w:val="ListBullet"/>
        <w:spacing w:after="60" w:before="20"/>
        <w:ind w:left="720"/>
      </w:pPr>
      <w:r>
        <w:rPr>
          <w:rFonts w:ascii="Calibri" w:hAnsi="Calibri"/>
          <w:b/>
          <w:color w:val="333333"/>
          <w:sz w:val="22"/>
        </w:rPr>
        <w:t>4. Strong Renters</w:t>
      </w:r>
      <w:r>
        <w:rPr>
          <w:rFonts w:ascii="Calibri" w:hAnsi="Calibri"/>
          <w:color w:val="333333"/>
          <w:sz w:val="22"/>
        </w:rPr>
        <w:t xml:space="preserve"> (90,206 voters) — Housing affordability platform, tenant protection legislative record. Emphasize Scott’s authored housing bills.</w:t>
      </w:r>
    </w:p>
    <w:p>
      <w:pPr>
        <w:pStyle w:val="ListBullet"/>
        <w:spacing w:after="60" w:before="20"/>
        <w:ind w:left="720"/>
      </w:pPr>
      <w:r>
        <w:rPr>
          <w:rFonts w:ascii="Calibri" w:hAnsi="Calibri"/>
          <w:b/>
          <w:color w:val="333333"/>
          <w:sz w:val="22"/>
        </w:rPr>
        <w:t>5. Jewish Community</w:t>
      </w:r>
      <w:r>
        <w:rPr>
          <w:rFonts w:ascii="Calibri" w:hAnsi="Calibri"/>
          <w:color w:val="333333"/>
          <w:sz w:val="22"/>
        </w:rPr>
        <w:t xml:space="preserve"> (9,207 voters) — Israel policy, community safety, antisemitism response. Synagogue and community center outreach.</w:t>
      </w:r>
    </w:p>
    <w:p/>
    <w:p>
      <w:pPr>
        <w:spacing w:before="200" w:after="80"/>
      </w:pPr>
      <w:r>
        <w:rPr>
          <w:rFonts w:ascii="Calibri" w:hAnsi="Calibri"/>
          <w:b/>
          <w:color w:val="1B2A4A"/>
          <w:sz w:val="24"/>
        </w:rPr>
        <w:t>C. Opposition Containment</w:t>
      </w:r>
    </w:p>
    <w:p>
      <w:pPr>
        <w:spacing w:after="120" w:before="0"/>
      </w:pPr>
      <w:r>
        <w:rPr>
          <w:rFonts w:ascii="Calibri" w:hAnsi="Calibri"/>
          <w:b w:val="0"/>
          <w:i w:val="0"/>
          <w:color w:val="333333"/>
          <w:sz w:val="22"/>
        </w:rPr>
        <w:t>The Opposition universe should receive minimal campaign resources. Engaging these voters risks wasting limited budget and potentially motivating opposition turnout.</w:t>
      </w:r>
    </w:p>
    <w:tbl>
      <w:tblPr>
        <w:tblW w:type="auto" w:w="0"/>
        <w:jc w:val="center"/>
        <w:tblLayout w:type="autofit"/>
        <w:tblLook w:firstColumn="1" w:firstRow="1" w:lastColumn="0" w:lastRow="0" w:noHBand="0" w:noVBand="1" w:val="04A0"/>
      </w:tblPr>
      <w:tblGrid>
        <w:gridCol w:w="3120"/>
        <w:gridCol w:w="3120"/>
        <w:gridCol w:w="3120"/>
      </w:tblGrid>
      <w:tr>
        <w:tc>
          <w:tcPr>
            <w:tcW w:type="dxa" w:w="2160"/>
            <w:shd w:fill="1B2A4A" w:val="clear"/>
          </w:tcPr>
          <w:p>
            <w:pPr>
              <w:spacing w:before="40" w:after="40"/>
              <w:jc w:val="center"/>
            </w:pPr>
            <w:r/>
            <w:r>
              <w:rPr>
                <w:rFonts w:ascii="Calibri" w:hAnsi="Calibri"/>
                <w:b/>
                <w:color w:val="FFFFFF"/>
                <w:sz w:val="18"/>
              </w:rPr>
              <w:t>Segment</w:t>
            </w:r>
          </w:p>
        </w:tc>
        <w:tc>
          <w:tcPr>
            <w:tcW w:type="dxa" w:w="1440"/>
            <w:shd w:fill="1B2A4A" w:val="clear"/>
          </w:tcPr>
          <w:p>
            <w:pPr>
              <w:spacing w:before="40" w:after="40"/>
              <w:jc w:val="center"/>
            </w:pPr>
            <w:r/>
            <w:r>
              <w:rPr>
                <w:rFonts w:ascii="Calibri" w:hAnsi="Calibri"/>
                <w:b/>
                <w:color w:val="FFFFFF"/>
                <w:sz w:val="18"/>
              </w:rPr>
              <w:t>Count</w:t>
            </w:r>
          </w:p>
        </w:tc>
        <w:tc>
          <w:tcPr>
            <w:tcW w:type="dxa" w:w="5040"/>
            <w:shd w:fill="1B2A4A" w:val="clear"/>
          </w:tcPr>
          <w:p>
            <w:pPr>
              <w:spacing w:before="40" w:after="40"/>
              <w:jc w:val="center"/>
            </w:pPr>
            <w:r/>
            <w:r>
              <w:rPr>
                <w:rFonts w:ascii="Calibri" w:hAnsi="Calibri"/>
                <w:b/>
                <w:color w:val="FFFFFF"/>
                <w:sz w:val="18"/>
              </w:rPr>
              <w:t>Recommendation</w:t>
            </w:r>
          </w:p>
        </w:tc>
      </w:tr>
      <w:tr>
        <w:tc>
          <w:tcPr>
            <w:tcW w:type="dxa" w:w="2160"/>
          </w:tcPr>
          <w:p>
            <w:pPr>
              <w:spacing w:before="40" w:after="40"/>
              <w:jc w:val="center"/>
            </w:pPr>
            <w:r/>
            <w:r>
              <w:rPr>
                <w:rFonts w:ascii="Calibri" w:hAnsi="Calibri"/>
                <w:b/>
                <w:color w:val="333333"/>
                <w:sz w:val="18"/>
              </w:rPr>
              <w:t>Saikat-likely</w:t>
            </w:r>
          </w:p>
        </w:tc>
        <w:tc>
          <w:tcPr>
            <w:tcW w:type="dxa" w:w="1440"/>
          </w:tcPr>
          <w:p>
            <w:pPr>
              <w:spacing w:before="40" w:after="40"/>
              <w:jc w:val="center"/>
            </w:pPr>
            <w:r/>
            <w:r>
              <w:rPr>
                <w:rFonts w:ascii="Calibri" w:hAnsi="Calibri"/>
                <w:b w:val="0"/>
                <w:color w:val="333333"/>
                <w:sz w:val="18"/>
              </w:rPr>
              <w:t>9,714</w:t>
            </w:r>
          </w:p>
        </w:tc>
        <w:tc>
          <w:tcPr>
            <w:tcW w:type="dxa" w:w="5040"/>
          </w:tcPr>
          <w:p>
            <w:pPr>
              <w:spacing w:before="40" w:after="40"/>
              <w:jc w:val="center"/>
            </w:pPr>
            <w:r/>
            <w:r>
              <w:rPr>
                <w:rFonts w:ascii="Calibri" w:hAnsi="Calibri"/>
                <w:b w:val="0"/>
                <w:color w:val="333333"/>
                <w:sz w:val="18"/>
              </w:rPr>
              <w:t>Do not engage — resource waste; firm opposition</w:t>
            </w:r>
          </w:p>
        </w:tc>
      </w:tr>
      <w:tr>
        <w:tc>
          <w:tcPr>
            <w:tcW w:type="dxa" w:w="2160"/>
            <w:shd w:fill="DBE5F1" w:val="clear"/>
          </w:tcPr>
          <w:p>
            <w:pPr>
              <w:spacing w:before="40" w:after="40"/>
              <w:jc w:val="center"/>
            </w:pPr>
            <w:r/>
            <w:r>
              <w:rPr>
                <w:rFonts w:ascii="Calibri" w:hAnsi="Calibri"/>
                <w:b/>
                <w:color w:val="333333"/>
                <w:sz w:val="18"/>
              </w:rPr>
              <w:t>MAGA Voters</w:t>
            </w:r>
          </w:p>
        </w:tc>
        <w:tc>
          <w:tcPr>
            <w:tcW w:type="dxa" w:w="1440"/>
            <w:shd w:fill="DBE5F1" w:val="clear"/>
          </w:tcPr>
          <w:p>
            <w:pPr>
              <w:spacing w:before="40" w:after="40"/>
              <w:jc w:val="center"/>
            </w:pPr>
            <w:r/>
            <w:r>
              <w:rPr>
                <w:rFonts w:ascii="Calibri" w:hAnsi="Calibri"/>
                <w:b w:val="0"/>
                <w:color w:val="333333"/>
                <w:sz w:val="18"/>
              </w:rPr>
              <w:t>37,231</w:t>
            </w:r>
          </w:p>
        </w:tc>
        <w:tc>
          <w:tcPr>
            <w:tcW w:type="dxa" w:w="5040"/>
            <w:shd w:fill="DBE5F1" w:val="clear"/>
          </w:tcPr>
          <w:p>
            <w:pPr>
              <w:spacing w:before="40" w:after="40"/>
              <w:jc w:val="center"/>
            </w:pPr>
            <w:r/>
            <w:r>
              <w:rPr>
                <w:rFonts w:ascii="Calibri" w:hAnsi="Calibri"/>
                <w:b w:val="0"/>
                <w:color w:val="333333"/>
                <w:sz w:val="18"/>
              </w:rPr>
              <w:t>Do not engage in primary; many won’t vote in Dem primary</w:t>
            </w:r>
          </w:p>
        </w:tc>
      </w:tr>
      <w:tr>
        <w:tc>
          <w:tcPr>
            <w:tcW w:type="dxa" w:w="2160"/>
          </w:tcPr>
          <w:p>
            <w:pPr>
              <w:spacing w:before="40" w:after="40"/>
              <w:jc w:val="center"/>
            </w:pPr>
            <w:r/>
            <w:r>
              <w:rPr>
                <w:rFonts w:ascii="Calibri" w:hAnsi="Calibri"/>
                <w:b/>
                <w:color w:val="333333"/>
                <w:sz w:val="18"/>
              </w:rPr>
              <w:t>Conservative</w:t>
            </w:r>
          </w:p>
        </w:tc>
        <w:tc>
          <w:tcPr>
            <w:tcW w:type="dxa" w:w="1440"/>
          </w:tcPr>
          <w:p>
            <w:pPr>
              <w:spacing w:before="40" w:after="40"/>
              <w:jc w:val="center"/>
            </w:pPr>
            <w:r/>
            <w:r>
              <w:rPr>
                <w:rFonts w:ascii="Calibri" w:hAnsi="Calibri"/>
                <w:b w:val="0"/>
                <w:color w:val="333333"/>
                <w:sz w:val="18"/>
              </w:rPr>
              <w:t>3,994</w:t>
            </w:r>
          </w:p>
        </w:tc>
        <w:tc>
          <w:tcPr>
            <w:tcW w:type="dxa" w:w="5040"/>
          </w:tcPr>
          <w:p>
            <w:pPr>
              <w:spacing w:before="40" w:after="40"/>
              <w:jc w:val="center"/>
            </w:pPr>
            <w:r/>
            <w:r>
              <w:rPr>
                <w:rFonts w:ascii="Calibri" w:hAnsi="Calibri"/>
                <w:b w:val="0"/>
                <w:color w:val="333333"/>
                <w:sz w:val="18"/>
              </w:rPr>
              <w:t>Minimal — ignore</w:t>
            </w:r>
          </w:p>
        </w:tc>
      </w:tr>
      <w:tr>
        <w:tc>
          <w:tcPr>
            <w:tcW w:type="dxa" w:w="2160"/>
            <w:shd w:fill="DBE5F1" w:val="clear"/>
          </w:tcPr>
          <w:p>
            <w:pPr>
              <w:spacing w:before="40" w:after="40"/>
              <w:jc w:val="center"/>
            </w:pPr>
            <w:r/>
            <w:r>
              <w:rPr>
                <w:rFonts w:ascii="Calibri" w:hAnsi="Calibri"/>
                <w:b/>
                <w:color w:val="333333"/>
                <w:sz w:val="18"/>
              </w:rPr>
              <w:t>Low-score Residual</w:t>
            </w:r>
          </w:p>
        </w:tc>
        <w:tc>
          <w:tcPr>
            <w:tcW w:type="dxa" w:w="1440"/>
            <w:shd w:fill="DBE5F1" w:val="clear"/>
          </w:tcPr>
          <w:p>
            <w:pPr>
              <w:spacing w:before="40" w:after="40"/>
              <w:jc w:val="center"/>
            </w:pPr>
            <w:r/>
            <w:r>
              <w:rPr>
                <w:rFonts w:ascii="Calibri" w:hAnsi="Calibri"/>
                <w:b w:val="0"/>
                <w:color w:val="333333"/>
                <w:sz w:val="18"/>
              </w:rPr>
              <w:t>58,820</w:t>
            </w:r>
          </w:p>
        </w:tc>
        <w:tc>
          <w:tcPr>
            <w:tcW w:type="dxa" w:w="5040"/>
            <w:shd w:fill="DBE5F1" w:val="clear"/>
          </w:tcPr>
          <w:p>
            <w:pPr>
              <w:spacing w:before="40" w:after="40"/>
              <w:jc w:val="center"/>
            </w:pPr>
            <w:r/>
            <w:r>
              <w:rPr>
                <w:rFonts w:ascii="Calibri" w:hAnsi="Calibri"/>
                <w:b w:val="0"/>
                <w:color w:val="333333"/>
                <w:sz w:val="18"/>
              </w:rPr>
              <w:t>Some recoverable with strong messaging; low priority</w:t>
            </w:r>
          </w:p>
        </w:tc>
      </w:tr>
    </w:tbl>
    <w:p/>
    <w:p>
      <w:pPr>
        <w:spacing w:before="200" w:after="80"/>
      </w:pPr>
      <w:r>
        <w:rPr>
          <w:rFonts w:ascii="Calibri" w:hAnsi="Calibri"/>
          <w:b/>
          <w:color w:val="1B2A4A"/>
          <w:sz w:val="24"/>
        </w:rPr>
        <w:t>D. Geographic Strategy</w:t>
      </w:r>
    </w:p>
    <w:tbl>
      <w:tblPr>
        <w:tblW w:type="auto" w:w="0"/>
        <w:jc w:val="center"/>
        <w:tblLayout w:type="autofit"/>
        <w:tblLook w:firstColumn="1" w:firstRow="1" w:lastColumn="0" w:lastRow="0" w:noHBand="0" w:noVBand="1" w:val="04A0"/>
      </w:tblPr>
      <w:tblGrid>
        <w:gridCol w:w="3120"/>
        <w:gridCol w:w="3120"/>
        <w:gridCol w:w="3120"/>
      </w:tblGrid>
      <w:tr>
        <w:tc>
          <w:tcPr>
            <w:tcW w:type="dxa" w:w="1872"/>
            <w:shd w:fill="1B2A4A" w:val="clear"/>
          </w:tcPr>
          <w:p>
            <w:pPr>
              <w:spacing w:before="40" w:after="40"/>
              <w:jc w:val="center"/>
            </w:pPr>
            <w:r/>
            <w:r>
              <w:rPr>
                <w:rFonts w:ascii="Calibri" w:hAnsi="Calibri"/>
                <w:b/>
                <w:color w:val="FFFFFF"/>
                <w:sz w:val="18"/>
              </w:rPr>
              <w:t>Investment Level</w:t>
            </w:r>
          </w:p>
        </w:tc>
        <w:tc>
          <w:tcPr>
            <w:tcW w:type="dxa" w:w="1440"/>
            <w:shd w:fill="1B2A4A" w:val="clear"/>
          </w:tcPr>
          <w:p>
            <w:pPr>
              <w:spacing w:before="40" w:after="40"/>
              <w:jc w:val="center"/>
            </w:pPr>
            <w:r/>
            <w:r>
              <w:rPr>
                <w:rFonts w:ascii="Calibri" w:hAnsi="Calibri"/>
                <w:b/>
                <w:color w:val="FFFFFF"/>
                <w:sz w:val="18"/>
              </w:rPr>
              <w:t>Districts</w:t>
            </w:r>
          </w:p>
        </w:tc>
        <w:tc>
          <w:tcPr>
            <w:tcW w:type="dxa" w:w="5328"/>
            <w:shd w:fill="1B2A4A" w:val="clear"/>
          </w:tcPr>
          <w:p>
            <w:pPr>
              <w:spacing w:before="40" w:after="40"/>
              <w:jc w:val="center"/>
            </w:pPr>
            <w:r/>
            <w:r>
              <w:rPr>
                <w:rFonts w:ascii="Calibri" w:hAnsi="Calibri"/>
                <w:b/>
                <w:color w:val="FFFFFF"/>
                <w:sz w:val="18"/>
              </w:rPr>
              <w:t>Rationale</w:t>
            </w:r>
          </w:p>
        </w:tc>
      </w:tr>
      <w:tr>
        <w:tc>
          <w:tcPr>
            <w:tcW w:type="dxa" w:w="1872"/>
          </w:tcPr>
          <w:p>
            <w:pPr>
              <w:spacing w:before="40" w:after="40"/>
              <w:jc w:val="center"/>
            </w:pPr>
            <w:r/>
            <w:r>
              <w:rPr>
                <w:rFonts w:ascii="Calibri" w:hAnsi="Calibri"/>
                <w:b/>
                <w:color w:val="333333"/>
                <w:sz w:val="18"/>
              </w:rPr>
              <w:t>Invest Heavily</w:t>
            </w:r>
          </w:p>
        </w:tc>
        <w:tc>
          <w:tcPr>
            <w:tcW w:type="dxa" w:w="1440"/>
          </w:tcPr>
          <w:p>
            <w:pPr>
              <w:spacing w:before="40" w:after="40"/>
              <w:jc w:val="center"/>
            </w:pPr>
            <w:r/>
            <w:r>
              <w:rPr>
                <w:rFonts w:ascii="Calibri" w:hAnsi="Calibri"/>
                <w:b w:val="0"/>
                <w:color w:val="333333"/>
                <w:sz w:val="18"/>
              </w:rPr>
              <w:t>D7, D8</w:t>
            </w:r>
          </w:p>
        </w:tc>
        <w:tc>
          <w:tcPr>
            <w:tcW w:type="dxa" w:w="5328"/>
          </w:tcPr>
          <w:p>
            <w:pPr>
              <w:spacing w:before="40" w:after="40"/>
              <w:jc w:val="center"/>
            </w:pPr>
            <w:r/>
            <w:r>
              <w:rPr>
                <w:rFonts w:ascii="Calibri" w:hAnsi="Calibri"/>
                <w:b w:val="0"/>
                <w:color w:val="333333"/>
                <w:sz w:val="18"/>
              </w:rPr>
              <w:t>Highest Base concentration; mobilization focus</w:t>
            </w:r>
          </w:p>
        </w:tc>
      </w:tr>
      <w:tr>
        <w:tc>
          <w:tcPr>
            <w:tcW w:type="dxa" w:w="1872"/>
            <w:shd w:fill="DBE5F1" w:val="clear"/>
          </w:tcPr>
          <w:p>
            <w:pPr>
              <w:spacing w:before="40" w:after="40"/>
              <w:jc w:val="center"/>
            </w:pPr>
            <w:r/>
            <w:r>
              <w:rPr>
                <w:rFonts w:ascii="Calibri" w:hAnsi="Calibri"/>
                <w:b/>
                <w:color w:val="333333"/>
                <w:sz w:val="18"/>
              </w:rPr>
              <w:t>Invest Moderately</w:t>
            </w:r>
          </w:p>
        </w:tc>
        <w:tc>
          <w:tcPr>
            <w:tcW w:type="dxa" w:w="1440"/>
            <w:shd w:fill="DBE5F1" w:val="clear"/>
          </w:tcPr>
          <w:p>
            <w:pPr>
              <w:spacing w:before="40" w:after="40"/>
              <w:jc w:val="center"/>
            </w:pPr>
            <w:r/>
            <w:r>
              <w:rPr>
                <w:rFonts w:ascii="Calibri" w:hAnsi="Calibri"/>
                <w:b w:val="0"/>
                <w:color w:val="333333"/>
                <w:sz w:val="18"/>
              </w:rPr>
              <w:t>D2, D3, D6</w:t>
            </w:r>
          </w:p>
        </w:tc>
        <w:tc>
          <w:tcPr>
            <w:tcW w:type="dxa" w:w="5328"/>
            <w:shd w:fill="DBE5F1" w:val="clear"/>
          </w:tcPr>
          <w:p>
            <w:pPr>
              <w:spacing w:before="40" w:after="40"/>
              <w:jc w:val="center"/>
            </w:pPr>
            <w:r/>
            <w:r>
              <w:rPr>
                <w:rFonts w:ascii="Calibri" w:hAnsi="Calibri"/>
                <w:b w:val="0"/>
                <w:color w:val="333333"/>
                <w:sz w:val="18"/>
              </w:rPr>
              <w:t>Strong Base; ensure turnout</w:t>
            </w:r>
          </w:p>
        </w:tc>
      </w:tr>
      <w:tr>
        <w:tc>
          <w:tcPr>
            <w:tcW w:type="dxa" w:w="1872"/>
          </w:tcPr>
          <w:p>
            <w:pPr>
              <w:spacing w:before="40" w:after="40"/>
              <w:jc w:val="center"/>
            </w:pPr>
            <w:r/>
            <w:r>
              <w:rPr>
                <w:rFonts w:ascii="Calibri" w:hAnsi="Calibri"/>
                <w:b/>
                <w:color w:val="333333"/>
                <w:sz w:val="18"/>
              </w:rPr>
              <w:t>Persuade</w:t>
            </w:r>
          </w:p>
        </w:tc>
        <w:tc>
          <w:tcPr>
            <w:tcW w:type="dxa" w:w="1440"/>
          </w:tcPr>
          <w:p>
            <w:pPr>
              <w:spacing w:before="40" w:after="40"/>
              <w:jc w:val="center"/>
            </w:pPr>
            <w:r/>
            <w:r>
              <w:rPr>
                <w:rFonts w:ascii="Calibri" w:hAnsi="Calibri"/>
                <w:b w:val="0"/>
                <w:color w:val="333333"/>
                <w:sz w:val="18"/>
              </w:rPr>
              <w:t>D1, D4, D9</w:t>
            </w:r>
          </w:p>
        </w:tc>
        <w:tc>
          <w:tcPr>
            <w:tcW w:type="dxa" w:w="5328"/>
          </w:tcPr>
          <w:p>
            <w:pPr>
              <w:spacing w:before="40" w:after="40"/>
              <w:jc w:val="center"/>
            </w:pPr>
            <w:r/>
            <w:r>
              <w:rPr>
                <w:rFonts w:ascii="Calibri" w:hAnsi="Calibri"/>
                <w:b w:val="0"/>
                <w:color w:val="333333"/>
                <w:sz w:val="18"/>
              </w:rPr>
              <w:t>Swing districts; targeted messaging opportunity</w:t>
            </w:r>
          </w:p>
        </w:tc>
      </w:tr>
      <w:tr>
        <w:tc>
          <w:tcPr>
            <w:tcW w:type="dxa" w:w="1872"/>
            <w:shd w:fill="DBE5F1" w:val="clear"/>
          </w:tcPr>
          <w:p>
            <w:pPr>
              <w:spacing w:before="40" w:after="40"/>
              <w:jc w:val="center"/>
            </w:pPr>
            <w:r/>
            <w:r>
              <w:rPr>
                <w:rFonts w:ascii="Calibri" w:hAnsi="Calibri"/>
                <w:b/>
                <w:color w:val="333333"/>
                <w:sz w:val="18"/>
              </w:rPr>
              <w:t>Contest</w:t>
            </w:r>
          </w:p>
        </w:tc>
        <w:tc>
          <w:tcPr>
            <w:tcW w:type="dxa" w:w="1440"/>
            <w:shd w:fill="DBE5F1" w:val="clear"/>
          </w:tcPr>
          <w:p>
            <w:pPr>
              <w:spacing w:before="40" w:after="40"/>
              <w:jc w:val="center"/>
            </w:pPr>
            <w:r/>
            <w:r>
              <w:rPr>
                <w:rFonts w:ascii="Calibri" w:hAnsi="Calibri"/>
                <w:b w:val="0"/>
                <w:color w:val="333333"/>
                <w:sz w:val="18"/>
              </w:rPr>
              <w:t>D5</w:t>
            </w:r>
          </w:p>
        </w:tc>
        <w:tc>
          <w:tcPr>
            <w:tcW w:type="dxa" w:w="5328"/>
            <w:shd w:fill="DBE5F1" w:val="clear"/>
          </w:tcPr>
          <w:p>
            <w:pPr>
              <w:spacing w:before="40" w:after="40"/>
              <w:jc w:val="center"/>
            </w:pPr>
            <w:r/>
            <w:r>
              <w:rPr>
                <w:rFonts w:ascii="Calibri" w:hAnsi="Calibri"/>
                <w:b w:val="0"/>
                <w:color w:val="333333"/>
                <w:sz w:val="18"/>
              </w:rPr>
              <w:t>Progressive stronghold; compete for moderate progressives</w:t>
            </w:r>
          </w:p>
        </w:tc>
      </w:tr>
      <w:tr>
        <w:tc>
          <w:tcPr>
            <w:tcW w:type="dxa" w:w="1872"/>
          </w:tcPr>
          <w:p>
            <w:pPr>
              <w:spacing w:before="40" w:after="40"/>
              <w:jc w:val="center"/>
            </w:pPr>
            <w:r/>
            <w:r>
              <w:rPr>
                <w:rFonts w:ascii="Calibri" w:hAnsi="Calibri"/>
                <w:b/>
                <w:color w:val="333333"/>
                <w:sz w:val="18"/>
              </w:rPr>
              <w:t>Deprioritize</w:t>
            </w:r>
          </w:p>
        </w:tc>
        <w:tc>
          <w:tcPr>
            <w:tcW w:type="dxa" w:w="1440"/>
          </w:tcPr>
          <w:p>
            <w:pPr>
              <w:spacing w:before="40" w:after="40"/>
              <w:jc w:val="center"/>
            </w:pPr>
            <w:r/>
            <w:r>
              <w:rPr>
                <w:rFonts w:ascii="Calibri" w:hAnsi="Calibri"/>
                <w:b w:val="0"/>
                <w:color w:val="333333"/>
                <w:sz w:val="18"/>
              </w:rPr>
              <w:t>D10</w:t>
            </w:r>
          </w:p>
        </w:tc>
        <w:tc>
          <w:tcPr>
            <w:tcW w:type="dxa" w:w="5328"/>
          </w:tcPr>
          <w:p>
            <w:pPr>
              <w:spacing w:before="40" w:after="40"/>
              <w:jc w:val="center"/>
            </w:pPr>
            <w:r/>
            <w:r>
              <w:rPr>
                <w:rFonts w:ascii="Calibri" w:hAnsi="Calibri"/>
                <w:b w:val="0"/>
                <w:color w:val="333333"/>
                <w:sz w:val="18"/>
              </w:rPr>
              <w:t>High opposition, low ROI</w:t>
            </w:r>
          </w:p>
        </w:tc>
      </w:tr>
    </w:tbl>
    <w:p>
      <w:r>
        <w:br w:type="page"/>
      </w:r>
    </w:p>
    <w:p>
      <w:pPr>
        <w:pStyle w:val="Heading1"/>
      </w:pPr>
      <w:r>
        <w:rPr>
          <w:rFonts w:ascii="Calibri" w:hAnsi="Calibri"/>
          <w:color w:val="1B2A4A"/>
        </w:rPr>
        <w:t>6. Key Risks &amp; Caveats</w:t>
      </w:r>
    </w:p>
    <w:p>
      <w:pPr>
        <w:spacing w:after="120" w:before="0"/>
      </w:pPr>
      <w:r>
        <w:rPr>
          <w:rFonts w:ascii="Calibri" w:hAnsi="Calibri"/>
          <w:b w:val="0"/>
          <w:i w:val="0"/>
          <w:color w:val="333333"/>
          <w:sz w:val="22"/>
        </w:rPr>
        <w:t>The targeting model provides a strong strategic foundation, but several limitations and risks should inform how the campaign interprets and acts on these results.</w:t>
      </w:r>
    </w:p>
    <w:p>
      <w:pPr>
        <w:pStyle w:val="ListBullet"/>
        <w:spacing w:after="60" w:before="20"/>
        <w:ind w:left="720"/>
      </w:pPr>
      <w:r>
        <w:rPr>
          <w:rFonts w:ascii="Calibri" w:hAnsi="Calibri"/>
          <w:b/>
          <w:color w:val="333333"/>
          <w:sz w:val="22"/>
        </w:rPr>
        <w:t xml:space="preserve">Modeled Data Limitations: </w:t>
      </w:r>
      <w:r>
        <w:rPr>
          <w:rFonts w:ascii="Calibri" w:hAnsi="Calibri"/>
          <w:color w:val="333333"/>
          <w:sz w:val="22"/>
        </w:rPr>
        <w:t>The model relies on TargetSmart modeled scores (ideology, education, homeownership, LGBTQ+ proxy) which are probabilistic estimates, not actual voter preferences. Individual-level accuracy is limited.</w:t>
      </w:r>
    </w:p>
    <w:p>
      <w:pPr>
        <w:pStyle w:val="ListBullet"/>
        <w:spacing w:after="60" w:before="20"/>
        <w:ind w:left="720"/>
      </w:pPr>
      <w:r>
        <w:rPr>
          <w:rFonts w:ascii="Calibri" w:hAnsi="Calibri"/>
          <w:b/>
          <w:color w:val="333333"/>
          <w:sz w:val="22"/>
        </w:rPr>
        <w:t xml:space="preserve">LGBTQ+ Proxy Imperfection: </w:t>
      </w:r>
      <w:r>
        <w:rPr>
          <w:rFonts w:ascii="Calibri" w:hAnsi="Calibri"/>
          <w:color w:val="333333"/>
          <w:sz w:val="22"/>
        </w:rPr>
        <w:t>LGBTQ+ identity is proxied through Marriage Equality support indicators and HRC donation flags. This method likely undercounts younger LGBTQ+ voters who have not donated or been surveyed.</w:t>
      </w:r>
    </w:p>
    <w:p>
      <w:pPr>
        <w:pStyle w:val="ListBullet"/>
        <w:spacing w:after="60" w:before="20"/>
        <w:ind w:left="720"/>
      </w:pPr>
      <w:r>
        <w:rPr>
          <w:rFonts w:ascii="Calibri" w:hAnsi="Calibri"/>
          <w:b/>
          <w:color w:val="333333"/>
          <w:sz w:val="22"/>
        </w:rPr>
        <w:t xml:space="preserve">Polling Shelf Life: </w:t>
      </w:r>
      <w:r>
        <w:rPr>
          <w:rFonts w:ascii="Calibri" w:hAnsi="Calibri"/>
          <w:color w:val="333333"/>
          <w:sz w:val="22"/>
        </w:rPr>
        <w:t>The EMC Research poll used for calibration was conducted in February 2026. Voter sentiment may shift as the June primary approaches, particularly in response to endorsements, debates, and campaign events.</w:t>
      </w:r>
    </w:p>
    <w:p>
      <w:pPr>
        <w:pStyle w:val="ListBullet"/>
        <w:spacing w:after="60" w:before="20"/>
        <w:ind w:left="720"/>
      </w:pPr>
      <w:r>
        <w:rPr>
          <w:rFonts w:ascii="Calibri" w:hAnsi="Calibri"/>
          <w:b/>
          <w:color w:val="333333"/>
          <w:sz w:val="22"/>
        </w:rPr>
        <w:t xml:space="preserve">Opponent Coalition Growth: </w:t>
      </w:r>
      <w:r>
        <w:rPr>
          <w:rFonts w:ascii="Calibri" w:hAnsi="Calibri"/>
          <w:color w:val="333333"/>
          <w:sz w:val="22"/>
        </w:rPr>
        <w:t>Saikat Chakrabarti’s progressive coalition could grow significantly with key endorsements (e.g., from outgoing progressive supervisors, national progressive figures). The campaign should monitor and reassess the Saikat-likely segment monthly.</w:t>
      </w:r>
    </w:p>
    <w:p>
      <w:pPr>
        <w:pStyle w:val="ListBullet"/>
        <w:spacing w:after="60" w:before="20"/>
        <w:ind w:left="720"/>
      </w:pPr>
      <w:r>
        <w:rPr>
          <w:rFonts w:ascii="Calibri" w:hAnsi="Calibri"/>
          <w:b/>
          <w:color w:val="333333"/>
          <w:sz w:val="22"/>
        </w:rPr>
        <w:t xml:space="preserve">Low Turnout Risk: </w:t>
      </w:r>
      <w:r>
        <w:rPr>
          <w:rFonts w:ascii="Calibri" w:hAnsi="Calibri"/>
          <w:color w:val="333333"/>
          <w:sz w:val="22"/>
        </w:rPr>
        <w:t>June primaries historically produce low turnout. If turnout drops below 35%, the Persuasion universe becomes less reliable — only high-propensity voters will cast ballots, compressing the effective electorate toward the Base and Opposition universes.</w:t>
      </w:r>
    </w:p>
    <w:p>
      <w:pPr>
        <w:pStyle w:val="ListBullet"/>
        <w:spacing w:after="60" w:before="20"/>
        <w:ind w:left="720"/>
      </w:pPr>
      <w:r>
        <w:rPr>
          <w:rFonts w:ascii="Calibri" w:hAnsi="Calibri"/>
          <w:b/>
          <w:color w:val="333333"/>
          <w:sz w:val="22"/>
        </w:rPr>
        <w:t xml:space="preserve">Limited Voter ID Validation: </w:t>
      </w:r>
      <w:r>
        <w:rPr>
          <w:rFonts w:ascii="Calibri" w:hAnsi="Calibri"/>
          <w:color w:val="333333"/>
          <w:sz w:val="22"/>
        </w:rPr>
        <w:t>VAN voter IDs (985 contacts) are too few and too concentrated to serve as robust model validation. The campaign should prioritize expanding voter ID efforts, particularly in Persuasion-heavy districts (D1, D4, D9).</w:t>
      </w:r>
    </w:p>
    <w:p/>
    <w:p/>
    <w:p>
      <w:pPr>
        <w:spacing w:before="400"/>
        <w:jc w:val="center"/>
      </w:pPr>
    </w:p>
    <w:p>
      <w:pPr>
        <w:jc w:val="center"/>
        <w:pBdr>
          <w:bottom w:val="single" w:sz="12" w:space="1" w:color="1B2A4A"/>
        </w:pBdr>
      </w:pP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Calibri" w:hAnsi="Calibri"/>
        <w:color w:val="666666"/>
        <w:sz w:val="16"/>
      </w:rPr>
      <w:t xml:space="preserve">Scott Wiener for Congress  —  Page </w:t>
    </w:r>
    <w:r>
      <w:rPr>
        <w:rFonts w:ascii="Calibri" w:hAnsi="Calibri"/>
        <w:color w:val="666666"/>
        <w:sz w:val="16"/>
      </w:rPr>
      <w:fldChar w:fldCharType="begin"/>
    </w:r>
    <w:r>
      <w:instrText xml:space="preserve">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             width:500pt;height:100pt;rotation:315;             z-index:-251658752;mso-position-horizontal:center;             mso-position-horizontal-relative:margin;             mso-position-vertical:center;             mso-position-vertical-relative:margin" o:allowincell="f" fillcolor="#C0C0C0" stroked="f">
          <v:fill opacity=".25"/>
          <v:textpath style="font-family:&quot;Calibri&quot;;        font-size:1pt" string="CONFIDENTIAL"/>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