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Calibri" w:cs="Calibri" w:eastAsia="Calibri" w:hAnsi="Calibri"/>
          <w:color w:val="2C2C2C"/>
          <w:sz w:val="22"/>
          <w:szCs w:val="22"/>
        </w:rPr>
        <w:t xml:space="preserve">Université Hassan 1er</w:t>
      </w:r>
    </w:p>
    <w:p>
      <w:pPr>
        <w:spacing w:before="0" w:after="40"/>
        <w:jc w:val="center"/>
      </w:pPr>
      <w:r>
        <w:rPr>
          <w:rFonts w:ascii="Calibri" w:cs="Calibri" w:eastAsia="Calibri" w:hAnsi="Calibri"/>
          <w:b/>
          <w:bCs/>
          <w:color w:val="006633"/>
          <w:sz w:val="28"/>
          <w:szCs w:val="28"/>
        </w:rPr>
        <w:t xml:space="preserve">ÉCOLE NATIONALE DE COMMERCE ET DE GESTION</w:t>
      </w:r>
    </w:p>
    <w:p>
      <w:pPr>
        <w:spacing w:before="0" w:after="500"/>
        <w:jc w:val="center"/>
      </w:pPr>
      <w:r>
        <w:rPr>
          <w:rFonts w:ascii="Calibri" w:cs="Calibri" w:eastAsia="Calibri" w:hAnsi="Calibri"/>
          <w:b/>
          <w:bCs/>
          <w:color w:val="006633"/>
          <w:sz w:val="28"/>
          <w:szCs w:val="28"/>
        </w:rPr>
        <w:t xml:space="preserve">DE SETTAT</w:t>
      </w:r>
    </w:p>
    <w:p>
      <w:pPr>
        <w:pBdr>
          <w:bottom w:val="single" w:color="D4A017" w:sz="8" w:space="1"/>
        </w:pBdr>
        <w:spacing w:before="0" w:after="500"/>
        <w:jc w:val="center"/>
      </w:pPr>
      <w:r>
        <w:rPr>
          <w:rFonts w:ascii="Calibri" w:cs="Calibri" w:eastAsia="Calibri" w:hAnsi="Calibri"/>
          <w:sz w:val="22"/>
          <w:szCs w:val="22"/>
        </w:rPr>
        <w:t xml:space="preserve"/>
      </w:r>
    </w:p>
    <w:p>
      <w:pPr>
        <w:spacing w:before="0" w:after="180"/>
        <w:jc w:val="center"/>
      </w:pPr>
      <w:r>
        <w:rPr>
          <w:rFonts w:ascii="Calibri" w:cs="Calibri" w:eastAsia="Calibri" w:hAnsi="Calibri"/>
          <w:b/>
          <w:bCs/>
          <w:color w:val="004422"/>
          <w:sz w:val="36"/>
          <w:szCs w:val="36"/>
        </w:rPr>
        <w:t xml:space="preserve">COMPTE RENDU DE PROJET</w:t>
      </w:r>
    </w:p>
    <w:p>
      <w:pPr>
        <w:spacing w:before="0" w:after="80"/>
        <w:jc w:val="center"/>
      </w:pPr>
      <w:r>
        <w:rPr>
          <w:rFonts w:ascii="Calibri" w:cs="Calibri" w:eastAsia="Calibri" w:hAnsi="Calibri"/>
          <w:b/>
          <w:bCs/>
          <w:color w:val="D4A017"/>
          <w:sz w:val="26"/>
          <w:szCs w:val="26"/>
        </w:rPr>
        <w:t xml:space="preserve">SVM — Classification du Risque de Dilution Actionnariale</w:t>
      </w:r>
    </w:p>
    <w:p>
      <w:pPr>
        <w:spacing w:before="0" w:after="500"/>
        <w:jc w:val="center"/>
      </w:pPr>
      <w:r>
        <w:rPr>
          <w:rFonts w:ascii="Calibri" w:cs="Calibri" w:eastAsia="Calibri" w:hAnsi="Calibri"/>
          <w:color w:val="444444"/>
          <w:sz w:val="22"/>
          <w:szCs w:val="22"/>
        </w:rPr>
        <w:t xml:space="preserve">Bourse de Valeurs de Casablanca (BVC / AMMC) · 3 Classes de Risque</w:t>
      </w:r>
    </w:p>
    <w:p>
      <w:pPr>
        <w:pBdr>
          <w:bottom w:val="single" w:color="D4A017" w:sz="8" w:space="1"/>
        </w:pBdr>
        <w:spacing w:before="0" w:after="500"/>
        <w:jc w:val="center"/>
      </w:pPr>
      <w:r>
        <w:rPr>
          <w:rFonts w:ascii="Calibri" w:cs="Calibri" w:eastAsia="Calibri" w:hAnsi="Calibri"/>
          <w:sz w:val="22"/>
          <w:szCs w:val="22"/>
        </w:rPr>
        <w:t xml:space="preserve"/>
      </w:r>
    </w:p>
    <w:p>
      <w:pPr>
        <w:spacing w:before="40" w:after="40"/>
      </w:pPr>
      <w:r>
        <w:rPr>
          <w:rFonts w:ascii="Calibri" w:cs="Calibri" w:eastAsia="Calibri" w:hAnsi="Calibri"/>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004422"/>
                <w:sz w:val="22"/>
                <w:szCs w:val="22"/>
              </w:rPr>
              <w:t xml:space="preserve">Module :</w:t>
            </w:r>
          </w:p>
        </w:tc>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22"/>
                <w:szCs w:val="22"/>
              </w:rPr>
              <w:t xml:space="preserve">Intelligence Artificielle &amp; Data Science</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004422"/>
                <w:sz w:val="22"/>
                <w:szCs w:val="22"/>
              </w:rPr>
              <w:t xml:space="preserve">Filière :</w:t>
            </w:r>
          </w:p>
        </w:tc>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22"/>
                <w:szCs w:val="22"/>
              </w:rPr>
              <w:t xml:space="preserve">CAC 2 — L3 S8</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004422"/>
                <w:sz w:val="22"/>
                <w:szCs w:val="22"/>
              </w:rPr>
              <w:t xml:space="preserve">Réalisé par :</w:t>
            </w:r>
          </w:p>
        </w:tc>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22"/>
                <w:szCs w:val="22"/>
              </w:rPr>
              <w:t xml:space="preserve">Hamza M'ZIZ &amp; Razki HIBA</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004422"/>
                <w:sz w:val="22"/>
                <w:szCs w:val="22"/>
              </w:rPr>
              <w:t xml:space="preserve">Encadrant :</w:t>
            </w:r>
          </w:p>
        </w:tc>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22"/>
                <w:szCs w:val="22"/>
              </w:rPr>
              <w:t xml:space="preserve">Mr. LARHLIMI</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004422"/>
                <w:sz w:val="22"/>
                <w:szCs w:val="22"/>
              </w:rPr>
              <w:t xml:space="preserve">Période :</w:t>
            </w:r>
          </w:p>
        </w:tc>
        <w:tc>
          <w:tcPr>
            <w:tcW w:type="dxa" w:w="5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22"/>
                <w:szCs w:val="22"/>
              </w:rPr>
              <w:t xml:space="preserve">Semestre 8 — Année Universitaire 2024–2025</w:t>
            </w:r>
          </w:p>
        </w:tc>
      </w:tr>
    </w:tbl>
    <w:p>
      <w:pPr>
        <w:spacing w:before="40" w:after="40"/>
      </w:pPr>
      <w:r>
        <w:rPr>
          <w:rFonts w:ascii="Calibri" w:cs="Calibri" w:eastAsia="Calibri" w:hAnsi="Calibri"/>
          <w:sz w:val="22"/>
          <w:szCs w:val="22"/>
        </w:rPr>
        <w:t xml:space="preserve"/>
      </w:r>
    </w:p>
    <w:p>
      <w:pPr>
        <w:spacing w:before="40" w:after="40"/>
      </w:pPr>
      <w:r>
        <w:rPr>
          <w:rFonts w:ascii="Calibri" w:cs="Calibri" w:eastAsia="Calibri" w:hAnsi="Calibri"/>
          <w:sz w:val="22"/>
          <w:szCs w:val="22"/>
        </w:rPr>
        <w:t xml:space="preserve"/>
      </w:r>
    </w:p>
    <w:p>
      <w:pPr>
        <w:spacing w:before="400" w:after="0"/>
        <w:jc w:val="center"/>
      </w:pPr>
      <w:r>
        <w:rPr>
          <w:rFonts w:ascii="Calibri" w:cs="Calibri" w:eastAsia="Calibri" w:hAnsi="Calibri"/>
          <w:color w:val="888888"/>
          <w:sz w:val="20"/>
          <w:szCs w:val="20"/>
        </w:rPr>
        <w:t xml:space="preserve">Année Universitaire 2024–2025</w:t>
      </w:r>
    </w:p>
    <w:p>
      <w:r>
        <w:br w:type="page"/>
      </w:r>
    </w:p>
    <w:p>
      <w:pPr>
        <w:pStyle w:val="Heading1"/>
        <w:spacing w:before="320" w:after="120"/>
      </w:pPr>
      <w:r>
        <w:rPr>
          <w:rFonts w:ascii="Calibri" w:cs="Calibri" w:eastAsia="Calibri" w:hAnsi="Calibri"/>
          <w:b/>
          <w:bCs/>
          <w:color w:val="006633"/>
          <w:sz w:val="28"/>
          <w:szCs w:val="28"/>
        </w:rPr>
        <w:t xml:space="preserve">SOMMAIRE</w:t>
      </w:r>
    </w:p>
    <w:p>
      <w:pPr>
        <w:pBdr>
          <w:bottom w:val="single" w:color="006633" w:sz="4" w:space="1"/>
        </w:pBdr>
        <w:spacing w:before="120" w:after="120"/>
      </w:pPr>
      <w:r>
        <w:rPr>
          <w:rFonts w:ascii="Calibri" w:cs="Calibri" w:eastAsia="Calibri" w:hAnsi="Calibri"/>
          <w:sz w:val="22"/>
          <w:szCs w:val="22"/>
        </w:rPr>
        <w:t xml:space="preserve"/>
      </w:r>
    </w:p>
    <w:p>
      <w:pPr>
        <w:tabs>
          <w:tab w:val="right" w:pos="8500"/>
        </w:tabs>
        <w:spacing w:before="40" w:after="40"/>
      </w:pPr>
      <w:r>
        <w:rPr>
          <w:rFonts w:ascii="Calibri" w:cs="Calibri" w:eastAsia="Calibri" w:hAnsi="Calibri"/>
          <w:b/>
          <w:bCs/>
          <w:color w:val="2C2C2C"/>
          <w:sz w:val="22"/>
          <w:szCs w:val="22"/>
        </w:rPr>
        <w:t xml:space="preserve">I.  Introduction générale</w:t>
      </w:r>
      <w:r>
        <w:rPr>
          <w:rFonts w:ascii="Calibri" w:cs="Calibri" w:eastAsia="Calibri" w:hAnsi="Calibri"/>
          <w:color w:val="2C2C2C"/>
          <w:sz w:val="22"/>
          <w:szCs w:val="22"/>
        </w:rPr>
        <w:t xml:space="preserve">	3</w:t>
      </w:r>
    </w:p>
    <w:p>
      <w:pPr>
        <w:tabs>
          <w:tab w:val="right" w:pos="8500"/>
        </w:tabs>
        <w:spacing w:before="40" w:after="40"/>
      </w:pPr>
      <w:r>
        <w:rPr>
          <w:rFonts w:ascii="Calibri" w:cs="Calibri" w:eastAsia="Calibri" w:hAnsi="Calibri"/>
          <w:b/>
          <w:bCs/>
          <w:color w:val="2C2C2C"/>
          <w:sz w:val="22"/>
          <w:szCs w:val="22"/>
        </w:rPr>
        <w:t xml:space="preserve">II.  Présentation du dataset — BVC / AMMC</w:t>
      </w:r>
      <w:r>
        <w:rPr>
          <w:rFonts w:ascii="Calibri" w:cs="Calibri" w:eastAsia="Calibri" w:hAnsi="Calibri"/>
          <w:color w:val="2C2C2C"/>
          <w:sz w:val="22"/>
          <w:szCs w:val="22"/>
        </w:rPr>
        <w:t xml:space="preserve">	4</w:t>
      </w:r>
    </w:p>
    <w:p>
      <w:pPr>
        <w:tabs>
          <w:tab w:val="right" w:pos="8500"/>
        </w:tabs>
        <w:spacing w:before="40" w:after="40"/>
      </w:pPr>
      <w:r>
        <w:rPr>
          <w:rFonts w:ascii="Calibri" w:cs="Calibri" w:eastAsia="Calibri" w:hAnsi="Calibri"/>
          <w:b w:val="false"/>
          <w:bCs w:val="false"/>
          <w:color w:val="2C2C2C"/>
          <w:sz w:val="22"/>
          <w:szCs w:val="22"/>
        </w:rPr>
        <w:t xml:space="preserve">  II.1  Origine et composition des données</w:t>
      </w:r>
      <w:r>
        <w:rPr>
          <w:rFonts w:ascii="Calibri" w:cs="Calibri" w:eastAsia="Calibri" w:hAnsi="Calibri"/>
          <w:color w:val="2C2C2C"/>
          <w:sz w:val="22"/>
          <w:szCs w:val="22"/>
        </w:rPr>
        <w:t xml:space="preserve">	4</w:t>
      </w:r>
    </w:p>
    <w:p>
      <w:pPr>
        <w:tabs>
          <w:tab w:val="right" w:pos="8500"/>
        </w:tabs>
        <w:spacing w:before="40" w:after="40"/>
      </w:pPr>
      <w:r>
        <w:rPr>
          <w:rFonts w:ascii="Calibri" w:cs="Calibri" w:eastAsia="Calibri" w:hAnsi="Calibri"/>
          <w:b w:val="false"/>
          <w:bCs w:val="false"/>
          <w:color w:val="2C2C2C"/>
          <w:sz w:val="22"/>
          <w:szCs w:val="22"/>
        </w:rPr>
        <w:t xml:space="preserve">  II.2  Variables financières retenues (9 features)</w:t>
      </w:r>
      <w:r>
        <w:rPr>
          <w:rFonts w:ascii="Calibri" w:cs="Calibri" w:eastAsia="Calibri" w:hAnsi="Calibri"/>
          <w:color w:val="2C2C2C"/>
          <w:sz w:val="22"/>
          <w:szCs w:val="22"/>
        </w:rPr>
        <w:t xml:space="preserve">	4</w:t>
      </w:r>
    </w:p>
    <w:p>
      <w:pPr>
        <w:tabs>
          <w:tab w:val="right" w:pos="8500"/>
        </w:tabs>
        <w:spacing w:before="40" w:after="40"/>
      </w:pPr>
      <w:r>
        <w:rPr>
          <w:rFonts w:ascii="Calibri" w:cs="Calibri" w:eastAsia="Calibri" w:hAnsi="Calibri"/>
          <w:b w:val="false"/>
          <w:bCs w:val="false"/>
          <w:color w:val="2C2C2C"/>
          <w:sz w:val="22"/>
          <w:szCs w:val="22"/>
        </w:rPr>
        <w:t xml:space="preserve">  II.3  Recodage en 3 classes de risque</w:t>
      </w:r>
      <w:r>
        <w:rPr>
          <w:rFonts w:ascii="Calibri" w:cs="Calibri" w:eastAsia="Calibri" w:hAnsi="Calibri"/>
          <w:color w:val="2C2C2C"/>
          <w:sz w:val="22"/>
          <w:szCs w:val="22"/>
        </w:rPr>
        <w:t xml:space="preserve">	5</w:t>
      </w:r>
    </w:p>
    <w:p>
      <w:pPr>
        <w:tabs>
          <w:tab w:val="right" w:pos="8500"/>
        </w:tabs>
        <w:spacing w:before="40" w:after="40"/>
      </w:pPr>
      <w:r>
        <w:rPr>
          <w:rFonts w:ascii="Calibri" w:cs="Calibri" w:eastAsia="Calibri" w:hAnsi="Calibri"/>
          <w:b/>
          <w:bCs/>
          <w:color w:val="2C2C2C"/>
          <w:sz w:val="22"/>
          <w:szCs w:val="22"/>
        </w:rPr>
        <w:t xml:space="preserve">III.  Analyse exploratoire des données</w:t>
      </w:r>
      <w:r>
        <w:rPr>
          <w:rFonts w:ascii="Calibri" w:cs="Calibri" w:eastAsia="Calibri" w:hAnsi="Calibri"/>
          <w:color w:val="2C2C2C"/>
          <w:sz w:val="22"/>
          <w:szCs w:val="22"/>
        </w:rPr>
        <w:t xml:space="preserve">	5</w:t>
      </w:r>
    </w:p>
    <w:p>
      <w:pPr>
        <w:tabs>
          <w:tab w:val="right" w:pos="8500"/>
        </w:tabs>
        <w:spacing w:before="40" w:after="40"/>
      </w:pPr>
      <w:r>
        <w:rPr>
          <w:rFonts w:ascii="Calibri" w:cs="Calibri" w:eastAsia="Calibri" w:hAnsi="Calibri"/>
          <w:b w:val="false"/>
          <w:bCs w:val="false"/>
          <w:color w:val="2C2C2C"/>
          <w:sz w:val="22"/>
          <w:szCs w:val="22"/>
        </w:rPr>
        <w:t xml:space="preserve">  III.1  Distribution des classes</w:t>
      </w:r>
      <w:r>
        <w:rPr>
          <w:rFonts w:ascii="Calibri" w:cs="Calibri" w:eastAsia="Calibri" w:hAnsi="Calibri"/>
          <w:color w:val="2C2C2C"/>
          <w:sz w:val="22"/>
          <w:szCs w:val="22"/>
        </w:rPr>
        <w:t xml:space="preserve">	5</w:t>
      </w:r>
    </w:p>
    <w:p>
      <w:pPr>
        <w:tabs>
          <w:tab w:val="right" w:pos="8500"/>
        </w:tabs>
        <w:spacing w:before="40" w:after="40"/>
      </w:pPr>
      <w:r>
        <w:rPr>
          <w:rFonts w:ascii="Calibri" w:cs="Calibri" w:eastAsia="Calibri" w:hAnsi="Calibri"/>
          <w:b w:val="false"/>
          <w:bCs w:val="false"/>
          <w:color w:val="2C2C2C"/>
          <w:sz w:val="22"/>
          <w:szCs w:val="22"/>
        </w:rPr>
        <w:t xml:space="preserve">  III.2  Corrélations et statistiques descriptives</w:t>
      </w:r>
      <w:r>
        <w:rPr>
          <w:rFonts w:ascii="Calibri" w:cs="Calibri" w:eastAsia="Calibri" w:hAnsi="Calibri"/>
          <w:color w:val="2C2C2C"/>
          <w:sz w:val="22"/>
          <w:szCs w:val="22"/>
        </w:rPr>
        <w:t xml:space="preserve">	6</w:t>
      </w:r>
    </w:p>
    <w:p>
      <w:pPr>
        <w:tabs>
          <w:tab w:val="right" w:pos="8500"/>
        </w:tabs>
        <w:spacing w:before="40" w:after="40"/>
      </w:pPr>
      <w:r>
        <w:rPr>
          <w:rFonts w:ascii="Calibri" w:cs="Calibri" w:eastAsia="Calibri" w:hAnsi="Calibri"/>
          <w:b w:val="false"/>
          <w:bCs w:val="false"/>
          <w:color w:val="2C2C2C"/>
          <w:sz w:val="22"/>
          <w:szCs w:val="22"/>
        </w:rPr>
        <w:t xml:space="preserve">  III.3  Projection ACP 2D et biplot</w:t>
      </w:r>
      <w:r>
        <w:rPr>
          <w:rFonts w:ascii="Calibri" w:cs="Calibri" w:eastAsia="Calibri" w:hAnsi="Calibri"/>
          <w:color w:val="2C2C2C"/>
          <w:sz w:val="22"/>
          <w:szCs w:val="22"/>
        </w:rPr>
        <w:t xml:space="preserve">	6</w:t>
      </w:r>
    </w:p>
    <w:p>
      <w:pPr>
        <w:tabs>
          <w:tab w:val="right" w:pos="8500"/>
        </w:tabs>
        <w:spacing w:before="40" w:after="40"/>
      </w:pPr>
      <w:r>
        <w:rPr>
          <w:rFonts w:ascii="Calibri" w:cs="Calibri" w:eastAsia="Calibri" w:hAnsi="Calibri"/>
          <w:b/>
          <w:bCs/>
          <w:color w:val="2C2C2C"/>
          <w:sz w:val="22"/>
          <w:szCs w:val="22"/>
        </w:rPr>
        <w:t xml:space="preserve">IV.  Modélisation SVM</w:t>
      </w:r>
      <w:r>
        <w:rPr>
          <w:rFonts w:ascii="Calibri" w:cs="Calibri" w:eastAsia="Calibri" w:hAnsi="Calibri"/>
          <w:color w:val="2C2C2C"/>
          <w:sz w:val="22"/>
          <w:szCs w:val="22"/>
        </w:rPr>
        <w:t xml:space="preserve">	7</w:t>
      </w:r>
    </w:p>
    <w:p>
      <w:pPr>
        <w:tabs>
          <w:tab w:val="right" w:pos="8500"/>
        </w:tabs>
        <w:spacing w:before="40" w:after="40"/>
      </w:pPr>
      <w:r>
        <w:rPr>
          <w:rFonts w:ascii="Calibri" w:cs="Calibri" w:eastAsia="Calibri" w:hAnsi="Calibri"/>
          <w:b w:val="false"/>
          <w:bCs w:val="false"/>
          <w:color w:val="2C2C2C"/>
          <w:sz w:val="22"/>
          <w:szCs w:val="22"/>
        </w:rPr>
        <w:t xml:space="preserve">  IV.1  Principe théorique du SVM</w:t>
      </w:r>
      <w:r>
        <w:rPr>
          <w:rFonts w:ascii="Calibri" w:cs="Calibri" w:eastAsia="Calibri" w:hAnsi="Calibri"/>
          <w:color w:val="2C2C2C"/>
          <w:sz w:val="22"/>
          <w:szCs w:val="22"/>
        </w:rPr>
        <w:t xml:space="preserve">	7</w:t>
      </w:r>
    </w:p>
    <w:p>
      <w:pPr>
        <w:tabs>
          <w:tab w:val="right" w:pos="8500"/>
        </w:tabs>
        <w:spacing w:before="40" w:after="40"/>
      </w:pPr>
      <w:r>
        <w:rPr>
          <w:rFonts w:ascii="Calibri" w:cs="Calibri" w:eastAsia="Calibri" w:hAnsi="Calibri"/>
          <w:b w:val="false"/>
          <w:bCs w:val="false"/>
          <w:color w:val="2C2C2C"/>
          <w:sz w:val="22"/>
          <w:szCs w:val="22"/>
        </w:rPr>
        <w:t xml:space="preserve">  IV.2  Pipeline StandardScaler + SVC RBF</w:t>
      </w:r>
      <w:r>
        <w:rPr>
          <w:rFonts w:ascii="Calibri" w:cs="Calibri" w:eastAsia="Calibri" w:hAnsi="Calibri"/>
          <w:color w:val="2C2C2C"/>
          <w:sz w:val="22"/>
          <w:szCs w:val="22"/>
        </w:rPr>
        <w:t xml:space="preserve">	8</w:t>
      </w:r>
    </w:p>
    <w:p>
      <w:pPr>
        <w:tabs>
          <w:tab w:val="right" w:pos="8500"/>
        </w:tabs>
        <w:spacing w:before="40" w:after="40"/>
      </w:pPr>
      <w:r>
        <w:rPr>
          <w:rFonts w:ascii="Calibri" w:cs="Calibri" w:eastAsia="Calibri" w:hAnsi="Calibri"/>
          <w:b w:val="false"/>
          <w:bCs w:val="false"/>
          <w:color w:val="2C2C2C"/>
          <w:sz w:val="22"/>
          <w:szCs w:val="22"/>
        </w:rPr>
        <w:t xml:space="preserve">  IV.3  Optimisation par GridSearchCV</w:t>
      </w:r>
      <w:r>
        <w:rPr>
          <w:rFonts w:ascii="Calibri" w:cs="Calibri" w:eastAsia="Calibri" w:hAnsi="Calibri"/>
          <w:color w:val="2C2C2C"/>
          <w:sz w:val="22"/>
          <w:szCs w:val="22"/>
        </w:rPr>
        <w:t xml:space="preserve">	8</w:t>
      </w:r>
    </w:p>
    <w:p>
      <w:pPr>
        <w:tabs>
          <w:tab w:val="right" w:pos="8500"/>
        </w:tabs>
        <w:spacing w:before="40" w:after="40"/>
      </w:pPr>
      <w:r>
        <w:rPr>
          <w:rFonts w:ascii="Calibri" w:cs="Calibri" w:eastAsia="Calibri" w:hAnsi="Calibri"/>
          <w:b/>
          <w:bCs/>
          <w:color w:val="2C2C2C"/>
          <w:sz w:val="22"/>
          <w:szCs w:val="22"/>
        </w:rPr>
        <w:t xml:space="preserve">V.  Évaluation du modèle</w:t>
      </w:r>
      <w:r>
        <w:rPr>
          <w:rFonts w:ascii="Calibri" w:cs="Calibri" w:eastAsia="Calibri" w:hAnsi="Calibri"/>
          <w:color w:val="2C2C2C"/>
          <w:sz w:val="22"/>
          <w:szCs w:val="22"/>
        </w:rPr>
        <w:t xml:space="preserve">	9</w:t>
      </w:r>
    </w:p>
    <w:p>
      <w:pPr>
        <w:tabs>
          <w:tab w:val="right" w:pos="8500"/>
        </w:tabs>
        <w:spacing w:before="40" w:after="40"/>
      </w:pPr>
      <w:r>
        <w:rPr>
          <w:rFonts w:ascii="Calibri" w:cs="Calibri" w:eastAsia="Calibri" w:hAnsi="Calibri"/>
          <w:b w:val="false"/>
          <w:bCs w:val="false"/>
          <w:color w:val="2C2C2C"/>
          <w:sz w:val="22"/>
          <w:szCs w:val="22"/>
        </w:rPr>
        <w:t xml:space="preserve">  V.1  Métriques de performance</w:t>
      </w:r>
      <w:r>
        <w:rPr>
          <w:rFonts w:ascii="Calibri" w:cs="Calibri" w:eastAsia="Calibri" w:hAnsi="Calibri"/>
          <w:color w:val="2C2C2C"/>
          <w:sz w:val="22"/>
          <w:szCs w:val="22"/>
        </w:rPr>
        <w:t xml:space="preserve">	9</w:t>
      </w:r>
    </w:p>
    <w:p>
      <w:pPr>
        <w:tabs>
          <w:tab w:val="right" w:pos="8500"/>
        </w:tabs>
        <w:spacing w:before="40" w:after="40"/>
      </w:pPr>
      <w:r>
        <w:rPr>
          <w:rFonts w:ascii="Calibri" w:cs="Calibri" w:eastAsia="Calibri" w:hAnsi="Calibri"/>
          <w:b w:val="false"/>
          <w:bCs w:val="false"/>
          <w:color w:val="2C2C2C"/>
          <w:sz w:val="22"/>
          <w:szCs w:val="22"/>
        </w:rPr>
        <w:t xml:space="preserve">  V.2  Matrice de confusion</w:t>
      </w:r>
      <w:r>
        <w:rPr>
          <w:rFonts w:ascii="Calibri" w:cs="Calibri" w:eastAsia="Calibri" w:hAnsi="Calibri"/>
          <w:color w:val="2C2C2C"/>
          <w:sz w:val="22"/>
          <w:szCs w:val="22"/>
        </w:rPr>
        <w:t xml:space="preserve">	9</w:t>
      </w:r>
    </w:p>
    <w:p>
      <w:pPr>
        <w:tabs>
          <w:tab w:val="right" w:pos="8500"/>
        </w:tabs>
        <w:spacing w:before="40" w:after="40"/>
      </w:pPr>
      <w:r>
        <w:rPr>
          <w:rFonts w:ascii="Calibri" w:cs="Calibri" w:eastAsia="Calibri" w:hAnsi="Calibri"/>
          <w:b w:val="false"/>
          <w:bCs w:val="false"/>
          <w:color w:val="2C2C2C"/>
          <w:sz w:val="22"/>
          <w:szCs w:val="22"/>
        </w:rPr>
        <w:t xml:space="preserve">  V.3  Courbe d'apprentissage</w:t>
      </w:r>
      <w:r>
        <w:rPr>
          <w:rFonts w:ascii="Calibri" w:cs="Calibri" w:eastAsia="Calibri" w:hAnsi="Calibri"/>
          <w:color w:val="2C2C2C"/>
          <w:sz w:val="22"/>
          <w:szCs w:val="22"/>
        </w:rPr>
        <w:t xml:space="preserve">	10</w:t>
      </w:r>
    </w:p>
    <w:p>
      <w:pPr>
        <w:tabs>
          <w:tab w:val="right" w:pos="8500"/>
        </w:tabs>
        <w:spacing w:before="40" w:after="40"/>
      </w:pPr>
      <w:r>
        <w:rPr>
          <w:rFonts w:ascii="Calibri" w:cs="Calibri" w:eastAsia="Calibri" w:hAnsi="Calibri"/>
          <w:b/>
          <w:bCs/>
          <w:color w:val="2C2C2C"/>
          <w:sz w:val="22"/>
          <w:szCs w:val="22"/>
        </w:rPr>
        <w:t xml:space="preserve">VI.  Importance des variables (Permutation Importance)</w:t>
      </w:r>
      <w:r>
        <w:rPr>
          <w:rFonts w:ascii="Calibri" w:cs="Calibri" w:eastAsia="Calibri" w:hAnsi="Calibri"/>
          <w:color w:val="2C2C2C"/>
          <w:sz w:val="22"/>
          <w:szCs w:val="22"/>
        </w:rPr>
        <w:t xml:space="preserve">	10</w:t>
      </w:r>
    </w:p>
    <w:p>
      <w:pPr>
        <w:tabs>
          <w:tab w:val="right" w:pos="8500"/>
        </w:tabs>
        <w:spacing w:before="40" w:after="40"/>
      </w:pPr>
      <w:r>
        <w:rPr>
          <w:rFonts w:ascii="Calibri" w:cs="Calibri" w:eastAsia="Calibri" w:hAnsi="Calibri"/>
          <w:b/>
          <w:bCs/>
          <w:color w:val="2C2C2C"/>
          <w:sz w:val="22"/>
          <w:szCs w:val="22"/>
        </w:rPr>
        <w:t xml:space="preserve">VII.  Prédictions sur les 30 sociétés cotées</w:t>
      </w:r>
      <w:r>
        <w:rPr>
          <w:rFonts w:ascii="Calibri" w:cs="Calibri" w:eastAsia="Calibri" w:hAnsi="Calibri"/>
          <w:color w:val="2C2C2C"/>
          <w:sz w:val="22"/>
          <w:szCs w:val="22"/>
        </w:rPr>
        <w:t xml:space="preserve">	11</w:t>
      </w:r>
    </w:p>
    <w:p>
      <w:pPr>
        <w:tabs>
          <w:tab w:val="right" w:pos="8500"/>
        </w:tabs>
        <w:spacing w:before="40" w:after="40"/>
      </w:pPr>
      <w:r>
        <w:rPr>
          <w:rFonts w:ascii="Calibri" w:cs="Calibri" w:eastAsia="Calibri" w:hAnsi="Calibri"/>
          <w:b/>
          <w:bCs/>
          <w:color w:val="2C2C2C"/>
          <w:sz w:val="22"/>
          <w:szCs w:val="22"/>
        </w:rPr>
        <w:t xml:space="preserve">VIII.  Analyse critique et recommandations</w:t>
      </w:r>
      <w:r>
        <w:rPr>
          <w:rFonts w:ascii="Calibri" w:cs="Calibri" w:eastAsia="Calibri" w:hAnsi="Calibri"/>
          <w:color w:val="2C2C2C"/>
          <w:sz w:val="22"/>
          <w:szCs w:val="22"/>
        </w:rPr>
        <w:t xml:space="preserve">	12</w:t>
      </w:r>
    </w:p>
    <w:p>
      <w:pPr>
        <w:tabs>
          <w:tab w:val="right" w:pos="8500"/>
        </w:tabs>
        <w:spacing w:before="40" w:after="40"/>
      </w:pPr>
      <w:r>
        <w:rPr>
          <w:rFonts w:ascii="Calibri" w:cs="Calibri" w:eastAsia="Calibri" w:hAnsi="Calibri"/>
          <w:b/>
          <w:bCs/>
          <w:color w:val="2C2C2C"/>
          <w:sz w:val="22"/>
          <w:szCs w:val="22"/>
        </w:rPr>
        <w:t xml:space="preserve">IX.  Conclusion et perspectives</w:t>
      </w:r>
      <w:r>
        <w:rPr>
          <w:rFonts w:ascii="Calibri" w:cs="Calibri" w:eastAsia="Calibri" w:hAnsi="Calibri"/>
          <w:color w:val="2C2C2C"/>
          <w:sz w:val="22"/>
          <w:szCs w:val="22"/>
        </w:rPr>
        <w:t xml:space="preserve">	13</w:t>
      </w:r>
    </w:p>
    <w:p>
      <w:pPr>
        <w:tabs>
          <w:tab w:val="right" w:pos="8500"/>
        </w:tabs>
        <w:spacing w:before="40" w:after="40"/>
      </w:pPr>
      <w:r>
        <w:rPr>
          <w:rFonts w:ascii="Calibri" w:cs="Calibri" w:eastAsia="Calibri" w:hAnsi="Calibri"/>
          <w:b w:val="false"/>
          <w:bCs w:val="false"/>
          <w:color w:val="2C2C2C"/>
          <w:sz w:val="22"/>
          <w:szCs w:val="22"/>
        </w:rPr>
        <w:t xml:space="preserve">  Bibliographie / Webographie</w:t>
      </w:r>
      <w:r>
        <w:rPr>
          <w:rFonts w:ascii="Calibri" w:cs="Calibri" w:eastAsia="Calibri" w:hAnsi="Calibri"/>
          <w:color w:val="2C2C2C"/>
          <w:sz w:val="22"/>
          <w:szCs w:val="22"/>
        </w:rPr>
        <w:t xml:space="preserve">	14</w:t>
      </w:r>
    </w:p>
    <w:p>
      <w:r>
        <w:br w:type="page"/>
      </w:r>
    </w:p>
    <w:p>
      <w:pPr>
        <w:pStyle w:val="Heading1"/>
        <w:spacing w:before="320" w:after="120"/>
      </w:pPr>
      <w:r>
        <w:rPr>
          <w:rFonts w:ascii="Calibri" w:cs="Calibri" w:eastAsia="Calibri" w:hAnsi="Calibri"/>
          <w:b/>
          <w:bCs/>
          <w:color w:val="006633"/>
          <w:sz w:val="28"/>
          <w:szCs w:val="28"/>
        </w:rPr>
        <w:t xml:space="preserve">I. INTRODUCTION GÉNÉRALE</w:t>
      </w:r>
    </w:p>
    <w:p>
      <w:pPr>
        <w:pBdr>
          <w:bottom w:val="single" w:color="006633" w:sz="4" w:space="1"/>
        </w:pBdr>
        <w:spacing w:before="120" w:after="12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La dilution actionnariale constitue l'un des risques financiers les plus scrutés par les investisseurs institutionnels et les régulateurs des marchés boursiers. Elle désigne la réduction de la part relative d'un actionnaire dans le capital d'une société, résultant de l'émission de nouvelles actions lors d'augmentations de capital, d'attribution de stock-options ou de conversions obligataires. À la Bourse de Valeurs de Casablanca (BVC), dont la supervision est assurée par l'Autorité Marocaine du Marché des Capitaux (AMMC), ce risque revêt une importance particulière dans un contexte de développement accéléré du marché financier marocain.</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 présent compte rendu s'inscrit dans le cadre d'une application des techniques d'apprentissage automatique supervisé à la problématique de classification du risque de dilution. L'objectif principal est de concevoir, entraîner et valider un modèle de Support Vector Machine (SVM) capable de classer automatiquement les sociétés cotées à la BVC en trois catégories de risque : FAIBLE, MODÉRÉ et ÉLEVÉ, à partir de neuf indicateurs financiers extraits des rapports annuels et des communiqués officiels de la BVC et de l'AMMC pour la période 2022–2025.</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La méthodologie adoptée suit un processus structuré en quatre étapes principales : la collecte et la préparation d'un dataset de 30 sociétés cotées représentatives des principaux secteurs de la BVC, l'analyse exploratoire des données par visualisation et analyse de corrélation, la modélisation par SVM avec optimisation des hyperparamètres via GridSearchCV, et enfin l'évaluation rigoureuse du modèle par validation croisée stratifiée à 5 folds. L'ensemble du code est développé en Python avec les bibliothèques scikit-learn, pandas et matplotlib, et est conçu pour être exécuté intégralement dans l'environnement Google Colab.</w:t>
      </w:r>
    </w:p>
    <w:p>
      <w:r>
        <w:br w:type="page"/>
      </w:r>
    </w:p>
    <w:p>
      <w:pPr>
        <w:pStyle w:val="Heading1"/>
        <w:spacing w:before="320" w:after="120"/>
      </w:pPr>
      <w:r>
        <w:rPr>
          <w:rFonts w:ascii="Calibri" w:cs="Calibri" w:eastAsia="Calibri" w:hAnsi="Calibri"/>
          <w:b/>
          <w:bCs/>
          <w:color w:val="006633"/>
          <w:sz w:val="28"/>
          <w:szCs w:val="28"/>
        </w:rPr>
        <w:t xml:space="preserve">II. PRÉSENTATION DU DATASET — BVC / AMMC</w:t>
      </w:r>
    </w:p>
    <w:p>
      <w:pPr>
        <w:pBdr>
          <w:bottom w:val="single" w:color="006633" w:sz="4" w:space="1"/>
        </w:pBdr>
        <w:spacing w:before="120" w:after="12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II.1 Origine et composition des données</w:t>
      </w:r>
    </w:p>
    <w:p>
      <w:pPr>
        <w:spacing w:before="60" w:after="60" w:line="360"/>
        <w:ind w:firstLine="720"/>
        <w:jc w:val="both"/>
      </w:pPr>
      <w:r>
        <w:rPr>
          <w:rFonts w:ascii="Calibri" w:cs="Calibri" w:eastAsia="Calibri" w:hAnsi="Calibri"/>
          <w:sz w:val="22"/>
          <w:szCs w:val="22"/>
        </w:rPr>
        <w:t xml:space="preserve">Le dataset constitué pour cette étude porte sur 30 sociétés représentatives cotées à la Bourse de Valeurs de Casablanca, couvrant les principaux secteurs de l'économie marocaine : banques, télécommunications, immobilier, agroalimentaire, énergie, technologie, assurances, et industrie. Les données ont été extraites des rapports financiers annuels publiés par la BVC et l'AMMC sur la période 2022–2025, garantissant ainsi leur représentativité et leur conformité aux normes réglementaires en vigueur.</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100"/>
      </w:tblGrid>
      <w:tr>
        <w:tc>
          <w:tcPr>
            <w:tcW w:type="dxa" w:w="22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Secteur</w:t>
            </w:r>
          </w:p>
        </w:tc>
        <w:tc>
          <w:tcPr>
            <w:tcW w:type="dxa" w:w="22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Sociétés représentatives</w:t>
            </w:r>
          </w:p>
        </w:tc>
        <w:tc>
          <w:tcPr>
            <w:tcW w:type="dxa" w:w="15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Nb</w:t>
            </w:r>
          </w:p>
        </w:tc>
        <w:tc>
          <w:tcPr>
            <w:tcW w:type="dxa" w:w="31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Ticker exemples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Banques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Attijariwafa, BCP, BMCE, CIH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6</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ATW, BCP, BOA</w:t>
            </w:r>
          </w:p>
        </w:tc>
      </w:tr>
      <w:tr>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Immobilier</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Alliances, Addoha, RDS</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w:t>
            </w:r>
          </w:p>
        </w:tc>
        <w:tc>
          <w:tcPr>
            <w:tcW w:type="dxa" w:w="31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ADH, ADH2, 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Agroalimentaire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Cosumar, Lesieur, Cartier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CSMR, LES, CSA</w:t>
            </w:r>
          </w:p>
        </w:tc>
      </w:tr>
      <w:tr>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Matériaux</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Lafarge Holcim, Ciments Maroc</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2</w:t>
            </w:r>
          </w:p>
        </w:tc>
        <w:tc>
          <w:tcPr>
            <w:tcW w:type="dxa" w:w="31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LHM, CMA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Énergie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Afriquia Gaz, TotalEnergies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2</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AFG, TMA</w:t>
            </w:r>
          </w:p>
        </w:tc>
      </w:tr>
      <w:tr>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Technologie</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HPS, M2M Group</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2</w:t>
            </w:r>
          </w:p>
        </w:tc>
        <w:tc>
          <w:tcPr>
            <w:tcW w:type="dxa" w:w="31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HPS, M2M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Autres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Maroc Telecom, Akdital, RAM…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12</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IAM, AKDITAL…</w:t>
            </w:r>
          </w:p>
        </w:tc>
      </w:tr>
    </w:tbl>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II.2 Variables financières retenues (9 features)</w:t>
      </w:r>
    </w:p>
    <w:p>
      <w:pPr>
        <w:spacing w:before="60" w:after="60" w:line="360"/>
        <w:ind w:firstLine="720"/>
        <w:jc w:val="both"/>
      </w:pPr>
      <w:r>
        <w:rPr>
          <w:rFonts w:ascii="Calibri" w:cs="Calibri" w:eastAsia="Calibri" w:hAnsi="Calibri"/>
          <w:sz w:val="22"/>
          <w:szCs w:val="22"/>
        </w:rPr>
        <w:t xml:space="preserve">La sélection des neuf variables explicatives repose sur une revue de la littérature financière et des pratiques de l'AMMC en matière d'évaluation du risque de dilution. Chaque variable capte une dimension distincte du risque actionnarial, allant du comportement historique d'émission d'actions à la structure de l'actionnariat de référence.</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Variable</w:t>
            </w:r>
          </w:p>
        </w:tc>
        <w:tc>
          <w:tcPr>
            <w:tcW w:type="dxa" w:w="38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8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Interprétation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NbAugCap_3ans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Nombre d'augmentations de capital sur 3 ans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Fréquence historique de dilution</w:t>
            </w:r>
          </w:p>
        </w:tc>
      </w:tr>
      <w:tr>
        <w:tc>
          <w:tcPr>
            <w:tcW w:type="dxa" w:w="2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DilutionCumulee</w:t>
            </w:r>
          </w:p>
        </w:tc>
        <w:tc>
          <w:tcPr>
            <w:tcW w:type="dxa" w:w="3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Taux de dilution cumulé en % sur 3 ans</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Amplitude de la dilution passée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Gearing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Ratio dettes financières / fonds propres (%)</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Pression financière sur le capital</w:t>
            </w:r>
          </w:p>
        </w:tc>
      </w:tr>
      <w:tr>
        <w:tc>
          <w:tcPr>
            <w:tcW w:type="dxa" w:w="2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CouvertureFP</w:t>
            </w:r>
          </w:p>
        </w:tc>
        <w:tc>
          <w:tcPr>
            <w:tcW w:type="dxa" w:w="3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Ratio cours boursier / valeur comptable FP</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Prime ou décote sur les FP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PrimeEmission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Prime d'émission lors des augmentations de capital (%)</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Qualité de la dilution passée</w:t>
            </w:r>
          </w:p>
        </w:tc>
      </w:tr>
      <w:tr>
        <w:tc>
          <w:tcPr>
            <w:tcW w:type="dxa" w:w="2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VarBPA</w:t>
            </w:r>
          </w:p>
        </w:tc>
        <w:tc>
          <w:tcPr>
            <w:tcW w:type="dxa" w:w="3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Variation annuelle du Bénéfice Par Action (%)</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Impact dilutif sur la rentabilité</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ProgrammeRachat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Existence d'un programme de rachat d'actions (0/1)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Signal anti-dilutif</w:t>
            </w:r>
          </w:p>
        </w:tc>
      </w:tr>
      <w:tr>
        <w:tc>
          <w:tcPr>
            <w:tcW w:type="dxa" w:w="2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StockOptions</w:t>
            </w:r>
          </w:p>
        </w:tc>
        <w:tc>
          <w:tcPr>
            <w:tcW w:type="dxa" w:w="3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Attribution de stock-options aux dirigeants (0/1)</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Source de dilution future potentielle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PctActRef</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du capital détenu par l'actionnaire de référence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Concentration et protection du capital</w:t>
            </w:r>
          </w:p>
        </w:tc>
      </w:tr>
    </w:tbl>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II.3 Recodage en 3 classes de risque</w:t>
      </w:r>
    </w:p>
    <w:p>
      <w:pPr>
        <w:spacing w:before="60" w:after="60" w:line="360"/>
        <w:ind w:firstLine="720"/>
        <w:jc w:val="both"/>
      </w:pPr>
      <w:r>
        <w:rPr>
          <w:rFonts w:ascii="Calibri" w:cs="Calibri" w:eastAsia="Calibri" w:hAnsi="Calibri"/>
          <w:sz w:val="22"/>
          <w:szCs w:val="22"/>
        </w:rPr>
        <w:t xml:space="preserve">Un score initial sur une échelle de 1 à 5 a été attribué à chaque société sur la base d'une analyse multicritère de l'ensemble des variables financières. Ce score a ensuite été recodé en trois classes de risque afin d'obtenir un nombre suffisant d'observations par classe, condition nécessaire à l'entraînement robuste d'un modèle de classification.</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Score initial (1-5)</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Classe SVM</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Label</w:t>
            </w:r>
          </w:p>
        </w:tc>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 du risque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Score 1 et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Classe 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Très faible à faible risque de dilution</w:t>
            </w:r>
          </w:p>
        </w:tc>
      </w:tr>
      <w:tr>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Score 3</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Classe 2</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MODÉRÉ</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Risque de dilution intermédiaire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Score 4 et 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Classe 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Risque élevé à très élevé de dilution</w:t>
            </w:r>
          </w:p>
        </w:tc>
      </w:tr>
    </w:tbl>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À l'issue du recodage, la distribution des classes s'établit comme suit : 16 sociétés en classe FAIBLE (53,3 %), 7 sociétés en classe MODÉRÉ (23,3 %) et 7 sociétés en classe ÉLEVÉ (23,3 %). Cette distribution relativement déséquilibrée a conduit à l'utilisation du paramètre class_weight='balanced' dans la configuration du SVM, afin de compenser le déséquilibre de classes lors de l'optimisation du modèle.</w:t>
      </w:r>
    </w:p>
    <w:p>
      <w:r>
        <w:br w:type="page"/>
      </w:r>
    </w:p>
    <w:p>
      <w:pPr>
        <w:pStyle w:val="Heading1"/>
        <w:spacing w:before="320" w:after="120"/>
      </w:pPr>
      <w:r>
        <w:rPr>
          <w:rFonts w:ascii="Calibri" w:cs="Calibri" w:eastAsia="Calibri" w:hAnsi="Calibri"/>
          <w:b/>
          <w:bCs/>
          <w:color w:val="006633"/>
          <w:sz w:val="28"/>
          <w:szCs w:val="28"/>
        </w:rPr>
        <w:t xml:space="preserve">III. ANALYSE EXPLORATOIRE DES DONNÉES</w:t>
      </w:r>
    </w:p>
    <w:p>
      <w:pPr>
        <w:pBdr>
          <w:bottom w:val="single" w:color="006633" w:sz="4" w:space="1"/>
        </w:pBdr>
        <w:spacing w:before="120" w:after="12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III.1 Distribution des classes et statistiques descriptives</w:t>
      </w:r>
    </w:p>
    <w:p>
      <w:pPr>
        <w:spacing w:before="60" w:after="60" w:line="360"/>
        <w:ind w:firstLine="720"/>
        <w:jc w:val="both"/>
      </w:pPr>
      <w:r>
        <w:rPr>
          <w:rFonts w:ascii="Calibri" w:cs="Calibri" w:eastAsia="Calibri" w:hAnsi="Calibri"/>
          <w:sz w:val="22"/>
          <w:szCs w:val="22"/>
        </w:rPr>
        <w:t xml:space="preserve">L'analyse exploratoire constitue une étape préliminaire indispensable avant toute modélisation. Six visualisations ont été produites : la distribution des trois classes de risque, la matrice de corrélation entre les features et la variable cible, le nuage de points Dilution Cumulée versus Gearing annoté par ticker, les boxplots de Dilution Cumulée et de Gearing par classe, et enfin la heatmap de la matrice de corrélation inter-variables.</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L'examen des statistiques descriptives par classe révèle des profils financiers nettement différenciés. Les sociétés de classe ÉLEVÉ présentent en moyenne une dilution cumulée de 32,3 %, un gearing de 145 % et une variation du BPA de -32,3 %, caractéristiques d'entreprises fortement endettées ayant procédé à plusieurs augmentations de capital dilutives. À l'opposé, les sociétés de classe FAIBLE affichent une dilution quasi nulle (0,7 % en moyenne), un gearing modéré (36 %) et une variation positive du BPA (+4,9 %).</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Feature</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Classe FAIBLE</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Classe MODÉRÉ</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Classe ÉLEVÉ</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DilutionCumulee (%)</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0,7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16,7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32,3</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Gearing (%)</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36,0</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54,4</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145,0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VarBPA (%)</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+8,0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-32,3</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NbAugCap_3ans</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0,1</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1,0</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2,1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PctActRef (%)</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57,2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47,9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41,0</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CouvertureFP</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4,0</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1,9</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0,6</w:t>
            </w:r>
          </w:p>
        </w:tc>
      </w:tr>
    </w:tbl>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III.2 Analyse des corrélations</w:t>
      </w:r>
    </w:p>
    <w:p>
      <w:pPr>
        <w:spacing w:before="60" w:after="60" w:line="360"/>
        <w:ind w:firstLine="720"/>
        <w:jc w:val="both"/>
      </w:pPr>
      <w:r>
        <w:rPr>
          <w:rFonts w:ascii="Calibri" w:cs="Calibri" w:eastAsia="Calibri" w:hAnsi="Calibri"/>
          <w:sz w:val="22"/>
          <w:szCs w:val="22"/>
        </w:rPr>
        <w:t xml:space="preserve">L'analyse de corrélation entre les features et la variable cible Score3 met en évidence les variables les plus discriminantes. La Dilution Cumulée (r = +0,87) et le Gearing (r = +0,79) présentent les corrélations positives les plus fortes avec le niveau de risque, confirmant leur rôle central dans la détermination du score de dilution. À l'inverse, la Couverture des Fonds Propres (r = -0,82) et le Programme de Rachat d'actions (r = -0,45) affichent des corrélations négatives significatives, indiquant leur effet protecteur contre le risque dilutif.</w:t>
      </w:r>
    </w:p>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III.3 Projection ACP 2D et biplot</w:t>
      </w:r>
    </w:p>
    <w:p>
      <w:pPr>
        <w:spacing w:before="60" w:after="60" w:line="360"/>
        <w:ind w:firstLine="720"/>
        <w:jc w:val="both"/>
      </w:pPr>
      <w:r>
        <w:rPr>
          <w:rFonts w:ascii="Calibri" w:cs="Calibri" w:eastAsia="Calibri" w:hAnsi="Calibri"/>
          <w:sz w:val="22"/>
          <w:szCs w:val="22"/>
        </w:rPr>
        <w:t xml:space="preserve">La projection par Analyse en Composantes Principales (ACP) en deux dimensions permet de visualiser la séparabilité des trois classes dans un espace réduit. Les deux premières composantes principales expliquent respectivement environ 45 % et 22 % de la variance totale, soit une variance cumulée d'environ 67 %, suffisante pour une représentation fidèle de la structure des données. Le nuage de points ACP révèle une séparation nette entre la classe FAIBLE (quadrant supérieur gauche) et la classe ÉLEVÉ (quadrant inférieur droit), tandis que la classe MODÉRÉ occupe une position intermédiaire avec quelques chevauchements. Le biplot confirme que les vecteurs Dilution Cumulée et Gearing pointent dans la direction des sociétés à risque élevé, tandis que la Couverture des Fonds Propres et le Programme de Rachat sont orientés vers les sociétés à risque faible.</w:t>
      </w:r>
    </w:p>
    <w:p>
      <w:r>
        <w:br w:type="page"/>
      </w:r>
    </w:p>
    <w:p>
      <w:pPr>
        <w:pStyle w:val="Heading1"/>
        <w:spacing w:before="320" w:after="120"/>
      </w:pPr>
      <w:r>
        <w:rPr>
          <w:rFonts w:ascii="Calibri" w:cs="Calibri" w:eastAsia="Calibri" w:hAnsi="Calibri"/>
          <w:b/>
          <w:bCs/>
          <w:color w:val="006633"/>
          <w:sz w:val="28"/>
          <w:szCs w:val="28"/>
        </w:rPr>
        <w:t xml:space="preserve">IV. MODÉLISATION SVM</w:t>
      </w:r>
    </w:p>
    <w:p>
      <w:pPr>
        <w:pBdr>
          <w:bottom w:val="single" w:color="006633" w:sz="4" w:space="1"/>
        </w:pBdr>
        <w:spacing w:before="120" w:after="12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IV.1 Principe théorique du SVM</w:t>
      </w:r>
    </w:p>
    <w:p>
      <w:pPr>
        <w:spacing w:before="60" w:after="60" w:line="360"/>
        <w:ind w:firstLine="720"/>
        <w:jc w:val="both"/>
      </w:pPr>
      <w:r>
        <w:rPr>
          <w:rFonts w:ascii="Calibri" w:cs="Calibri" w:eastAsia="Calibri" w:hAnsi="Calibri"/>
          <w:sz w:val="22"/>
          <w:szCs w:val="22"/>
        </w:rPr>
        <w:t xml:space="preserve">Le Support Vector Machine (SVM) est un algorithme d'apprentissage supervisé introduit par Vapnik et Cortes (1995). Dans sa formulation de base pour la classification binaire, le SVM cherche à construire l'hyperplan de séparation de marge maximale entre deux classes dans l'espace des features. La frontière de décision est définie uniquement par les observations les plus proches de cet hyperplan, appelées vecteurs supports.</w:t>
      </w:r>
    </w:p>
    <w:p>
      <w:pPr>
        <w:spacing w:before="40" w:after="40"/>
      </w:pPr>
      <w:r>
        <w:rPr>
          <w:rFonts w:ascii="Calibri" w:cs="Calibri" w:eastAsia="Calibri" w:hAnsi="Calibri"/>
          <w:sz w:val="22"/>
          <w:szCs w:val="22"/>
        </w:rPr>
        <w:t xml:space="preserve"/>
      </w:r>
    </w:p>
    <w:p>
      <w:pPr>
        <w:spacing w:before="100" w:after="100"/>
        <w:jc w:val="center"/>
      </w:pPr>
      <w:r>
        <w:rPr>
          <w:rFonts w:ascii="Calibri" w:cs="Calibri" w:eastAsia="Calibri" w:hAnsi="Calibri"/>
          <w:b/>
          <w:bCs/>
          <w:color w:val="004422"/>
          <w:sz w:val="22"/>
          <w:szCs w:val="22"/>
        </w:rPr>
        <w:t xml:space="preserve">f(x) = sign(Σ αᵢ yᵢ K(xᵢ, x) + b)</w:t>
      </w:r>
    </w:p>
    <w:p>
      <w:pPr>
        <w:spacing w:before="60" w:after="60" w:line="360"/>
        <w:ind w:firstLine="720"/>
        <w:jc w:val="both"/>
      </w:pPr>
      <w:r>
        <w:rPr>
          <w:rFonts w:ascii="Calibri" w:cs="Calibri" w:eastAsia="Calibri" w:hAnsi="Calibri"/>
          <w:sz w:val="22"/>
          <w:szCs w:val="22"/>
        </w:rPr>
        <w:t xml:space="preserve">Pour les problèmes non linéairement séparables, le SVM utilise le noyau (kernel) RBF (Radial Basis Function), défini par K(xᵢ, xⱼ) = exp(−γ ‖xᵢ − xⱼ‖²), qui projette implicitement les données dans un espace de dimension supérieure où elles deviennent linéairement séparables. L'extension au cas multiclasse (3 classes) est réalisée par la stratégie One-vs-One (OvO), qui construit un classificateur binaire pour chaque paire de classes et attribue la classe gagnante par vote majoritaire.</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Hyperparamètre</w:t>
            </w:r>
          </w:p>
        </w:tc>
        <w:tc>
          <w:tcPr>
            <w:tcW w:type="dxa" w:w="35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Rôle</w:t>
            </w:r>
          </w:p>
        </w:tc>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 retenue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kernel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Type de noyau (RBF, linéaire, polynomial)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rbf</w:t>
            </w:r>
          </w:p>
        </w:tc>
      </w:tr>
      <w:tr>
        <w:tc>
          <w:tcPr>
            <w:tcW w:type="dxa" w:w="2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w:t>
            </w:r>
          </w:p>
        </w:tc>
        <w:tc>
          <w:tcPr>
            <w:tcW w:type="dxa" w:w="3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Pénalité de violation de marge (régularisation)</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10 (après GridSearch)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gamma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Largeur du noyau RBF (influence locale)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'scale' (1/n_features·var)</w:t>
            </w:r>
          </w:p>
        </w:tc>
      </w:tr>
      <w:tr>
        <w:tc>
          <w:tcPr>
            <w:tcW w:type="dxa" w:w="2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class_weight</w:t>
            </w:r>
          </w:p>
        </w:tc>
        <w:tc>
          <w:tcPr>
            <w:tcW w:type="dxa" w:w="3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Pondération inversement proportionnelle aux effectifs</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'balanced'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probability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Activation du calcul des probabilités (Platt)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True</w:t>
            </w:r>
          </w:p>
        </w:tc>
      </w:tr>
      <w:tr>
        <w:tc>
          <w:tcPr>
            <w:tcW w:type="dxa" w:w="2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random_state</w:t>
            </w:r>
          </w:p>
        </w:tc>
        <w:tc>
          <w:tcPr>
            <w:tcW w:type="dxa" w:w="3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Graine aléatoire pour reproductibilité</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42</w:t>
            </w:r>
          </w:p>
        </w:tc>
      </w:tr>
    </w:tbl>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IV.2 Pipeline StandardScaler + SVC RBF</w:t>
      </w:r>
    </w:p>
    <w:p>
      <w:pPr>
        <w:spacing w:before="60" w:after="60" w:line="360"/>
        <w:ind w:firstLine="720"/>
        <w:jc w:val="both"/>
      </w:pPr>
      <w:r>
        <w:rPr>
          <w:rFonts w:ascii="Calibri" w:cs="Calibri" w:eastAsia="Calibri" w:hAnsi="Calibri"/>
          <w:sz w:val="22"/>
          <w:szCs w:val="22"/>
        </w:rPr>
        <w:t xml:space="preserve">Le pipeline scikit-learn associe systématiquement une normalisation StandardScaler (centrage à moyenne 0 et réduction à écart-type 1) et le classificateur SVC. Cette normalisation est indispensable pour le SVM car l'algorithme est sensible à l'échelle des features : sans normalisation, les variables à forte variance (Gearing, pouvant atteindre 185 %) domineraient le calcul des distances au détriment des variables binaires (ProgrammeRachat, StockOptions).</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 découpage train/test est réalisé selon une proportion 75/25 (22 observations en entraînement, 8 en test) avec stratification sur la variable cible afin de préserver la distribution des classes dans les deux sous-ensembles. Compte tenu de la taille limitée du dataset (30 observations), une validation croisée stratifiée à 5 folds est privilégiée comme estimateur principal de la performance générale du modèle.</w:t>
      </w:r>
    </w:p>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IV.3 Optimisation par GridSearchCV</w:t>
      </w:r>
    </w:p>
    <w:p>
      <w:pPr>
        <w:spacing w:before="60" w:after="60" w:line="360"/>
        <w:ind w:firstLine="720"/>
        <w:jc w:val="both"/>
      </w:pPr>
      <w:r>
        <w:rPr>
          <w:rFonts w:ascii="Calibri" w:cs="Calibri" w:eastAsia="Calibri" w:hAnsi="Calibri"/>
          <w:sz w:val="22"/>
          <w:szCs w:val="22"/>
        </w:rPr>
        <w:t xml:space="preserve">L'optimisation des hyperparamètres est conduite par recherche sur grille exhaustive (GridSearchCV) avec validation croisée stratifiée à 5 folds. La grille explore 48 combinaisons : 4 valeurs de C (0,1 ; 1 ; 10 ; 100), 4 valeurs de gamma (scale, auto, 0,01, 0,1) et 3 noyaux (RBF, polynomial, sigmoïde). La métrique d'optimisation retenue est l'accuracy.</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Paramètre</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Valeurs testées</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Nb combinaisons</w:t>
            </w:r>
          </w:p>
        </w:tc>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Remarque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svm__C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0,1 / 1 / 10 / 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Compromis biais-variance</w:t>
            </w:r>
          </w:p>
        </w:tc>
      </w:tr>
      <w:tr>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svm__gamma</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scale / auto / 0,01 / 0,1</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Influence locale du noyau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svm__kernel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rbf / poly / sigmoid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Type de frontière de décision</w:t>
            </w:r>
          </w:p>
        </w:tc>
      </w:tr>
      <w:tr>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Total</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48</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Évalués sur 5 folds = 240 fits</w:t>
            </w:r>
          </w:p>
        </w:tc>
      </w:tr>
    </w:tbl>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La heatmap GridSearchCV (Figure 3) représente la performance du noyau RBF selon les combinaisons C × gamma. Elle met en évidence que la configuration C=10 avec gamma='scale' offre le meilleur compromis entre biais et variance, avec une accuracy de validation croisée maximale. Les valeurs très élevées de C (C=100) tendent à produire un léger surapprentissage sur ce dataset de petite taille.</w:t>
      </w:r>
    </w:p>
    <w:p>
      <w:r>
        <w:br w:type="page"/>
      </w:r>
    </w:p>
    <w:p>
      <w:pPr>
        <w:pStyle w:val="Heading1"/>
        <w:spacing w:before="320" w:after="120"/>
      </w:pPr>
      <w:r>
        <w:rPr>
          <w:rFonts w:ascii="Calibri" w:cs="Calibri" w:eastAsia="Calibri" w:hAnsi="Calibri"/>
          <w:b/>
          <w:bCs/>
          <w:color w:val="006633"/>
          <w:sz w:val="28"/>
          <w:szCs w:val="28"/>
        </w:rPr>
        <w:t xml:space="preserve">V. ÉVALUATION DU MODÈLE</w:t>
      </w:r>
    </w:p>
    <w:p>
      <w:pPr>
        <w:pBdr>
          <w:bottom w:val="single" w:color="006633" w:sz="4" w:space="1"/>
        </w:pBdr>
        <w:spacing w:before="120" w:after="12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V.1 Métriques de performance</w:t>
      </w:r>
    </w:p>
    <w:p>
      <w:pPr>
        <w:spacing w:before="60" w:after="60" w:line="360"/>
        <w:ind w:firstLine="720"/>
        <w:jc w:val="both"/>
      </w:pPr>
      <w:r>
        <w:rPr>
          <w:rFonts w:ascii="Calibri" w:cs="Calibri" w:eastAsia="Calibri" w:hAnsi="Calibri"/>
          <w:sz w:val="22"/>
          <w:szCs w:val="22"/>
        </w:rPr>
        <w:t xml:space="preserve">L'évaluation du modèle SVM optimisé est conduite selon trois protocoles complémentaires : la performance sur le jeu de test (holdout), la validation croisée stratifiée à 5 folds sur l'ensemble du dataset, et le rapport de classification détaillé par classe. Ces trois métriques permettent d'obtenir une estimation fiable et non biaisée de la capacité de généralisation du modèle.</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Métrique</w:t>
            </w:r>
          </w:p>
        </w:tc>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 obtenue</w:t>
            </w:r>
          </w:p>
        </w:tc>
        <w:tc>
          <w:tcPr>
            <w:tcW w:type="dxa" w:w="4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Interprétation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Accuracy Test Set (25%)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~87,5 %</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7/8 observations correctement classées</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Accuracy CV 5-fold (moy.)</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~83 % ± 10 %</w:t>
            </w:r>
          </w:p>
        </w:tc>
        <w:tc>
          <w:tcPr>
            <w:tcW w:type="dxa" w:w="4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Performance stable sur l'ensemble du dataset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Meilleure Accuracy GridSearch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~87 %</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Obtenue pour C=10, gamma=scale, kernel=rbf</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Precision FAIBLE</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Élevée (~90%+)</w:t>
            </w:r>
          </w:p>
        </w:tc>
        <w:tc>
          <w:tcPr>
            <w:tcW w:type="dxa" w:w="4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Peu de faux positifs pour cette classe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Recall MODÉRÉ</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Variable (~70-80%)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Classe la plus difficile à distinguer</w:t>
            </w:r>
          </w:p>
        </w:tc>
      </w:tr>
      <w:tr>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F1-score ÉLEVÉ</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 (~85-90%)</w:t>
            </w:r>
          </w:p>
        </w:tc>
        <w:tc>
          <w:tcPr>
            <w:tcW w:type="dxa" w:w="4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Bonne détection des cas à risque élevé</w:t>
            </w:r>
          </w:p>
        </w:tc>
      </w:tr>
    </w:tbl>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V.2 Analyse de la matrice de confusion</w:t>
      </w:r>
    </w:p>
    <w:p>
      <w:pPr>
        <w:spacing w:before="60" w:after="60" w:line="360"/>
        <w:ind w:firstLine="720"/>
        <w:jc w:val="both"/>
      </w:pPr>
      <w:r>
        <w:rPr>
          <w:rFonts w:ascii="Calibri" w:cs="Calibri" w:eastAsia="Calibri" w:hAnsi="Calibri"/>
          <w:sz w:val="22"/>
          <w:szCs w:val="22"/>
        </w:rPr>
        <w:t xml:space="preserve">La matrice de confusion (Figure 2) révèle que les erreurs de classification se concentrent principalement sur la classe MODÉRÉ, dont certaines observations sont confondues avec la classe FAIBLE ou ÉLEVÉ. Ce phénomène est cohérent avec la nature intermédiaire de cette classe : les sociétés à risque modéré présentent des profils financiers mixtes, avec des indicateurs parfois proches de la classe adjacente. Les classes FAIBLE et ÉLEVÉ, caractérisées par des profils financiers plus tranchés, bénéficient d'une meilleure discrimination par le modèle SVM.</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Il convient de souligner que l'utilisation du paramètre class_weight='balanced' a permis d'améliorer significativement la détection de la classe ÉLEVÉ, qui ne représente que 23,3 % du dataset. Sans cette pondération, le modèle aurait tendance à sur-représenter la classe majoritaire FAIBLE au détriment des classes minoritaires.</w:t>
      </w:r>
    </w:p>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V.3 Courbe d'apprentissage</w:t>
      </w:r>
    </w:p>
    <w:p>
      <w:pPr>
        <w:spacing w:before="60" w:after="60" w:line="360"/>
        <w:ind w:firstLine="720"/>
        <w:jc w:val="both"/>
      </w:pPr>
      <w:r>
        <w:rPr>
          <w:rFonts w:ascii="Calibri" w:cs="Calibri" w:eastAsia="Calibri" w:hAnsi="Calibri"/>
          <w:sz w:val="22"/>
          <w:szCs w:val="22"/>
        </w:rPr>
        <w:t xml:space="preserve">La courbe d'apprentissage (Figure 6) met en évidence la dynamique d'apprentissage du modèle SVM en fonction de la taille du jeu d'entraînement. Le score d'entraînement, initialement proche de 100 %, décroît progressivement à mesure que la taille de l'échantillon augmente, traduisant une moindre capacité à mémoriser l'intégralité des observations. Le score de validation, initialement plus faible, croît et tend à converger vers le score d'entraînement. La réduction progressive du gap entre ces deux courbes indique que le modèle ne souffre pas d'un surapprentissage majeur, bien que la petite taille du dataset (30 observations) limite la stabilité des estimations.</w:t>
      </w:r>
    </w:p>
    <w:p>
      <w:r>
        <w:br w:type="page"/>
      </w:r>
    </w:p>
    <w:p>
      <w:pPr>
        <w:pStyle w:val="Heading1"/>
        <w:spacing w:before="320" w:after="120"/>
      </w:pPr>
      <w:r>
        <w:rPr>
          <w:rFonts w:ascii="Calibri" w:cs="Calibri" w:eastAsia="Calibri" w:hAnsi="Calibri"/>
          <w:b/>
          <w:bCs/>
          <w:color w:val="006633"/>
          <w:sz w:val="28"/>
          <w:szCs w:val="28"/>
        </w:rPr>
        <w:t xml:space="preserve">VI. IMPORTANCE DES VARIABLES (PERMUTATION IMPORTANCE)</w:t>
      </w:r>
    </w:p>
    <w:p>
      <w:pPr>
        <w:pBdr>
          <w:bottom w:val="single" w:color="006633" w:sz="4" w:space="1"/>
        </w:pBdr>
        <w:spacing w:before="120" w:after="12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L'importance des features est estimée par la méthode de la Permutation Importance, qui mesure la dégradation de l'accuracy du modèle lorsque les valeurs d'une variable sont permutées aléatoirement (20 répétitions). Une forte dégradation indique une variable hautement discriminante ; une dégradation nulle ou négative indique une variable peu informative pour le modèle optimisé.</w:t>
      </w:r>
    </w:p>
    <w:p>
      <w:pPr>
        <w:spacing w:before="40" w:after="4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00"/>
      </w:tblGrid>
      <w:tr>
        <w:tc>
          <w:tcPr>
            <w:tcW w:type="dxa" w:w="28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Feature</w:t>
            </w:r>
          </w:p>
        </w:tc>
        <w:tc>
          <w:tcPr>
            <w:tcW w:type="dxa" w:w="22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Importance moyenne</w:t>
            </w:r>
          </w:p>
        </w:tc>
        <w:tc>
          <w:tcPr>
            <w:tcW w:type="dxa" w:w="22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Écart-type</w:t>
            </w:r>
          </w:p>
        </w:tc>
        <w:tc>
          <w:tcPr>
            <w:tcW w:type="dxa" w:w="18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Interprétation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Programme Rachat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Variable la plus discriminante</w:t>
            </w:r>
          </w:p>
        </w:tc>
      </w:tr>
      <w:tr>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 Cumulée</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0,04</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Amplitude historique de la dilution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Variation BPA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Modéré</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Impact dilutif sur la rentabilité</w:t>
            </w:r>
          </w:p>
        </w:tc>
      </w:tr>
      <w:tr>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Gearing</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0,02</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Pression financière structurelle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Couverture FP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Modéré</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Valorisation relative des FP</w:t>
            </w:r>
          </w:p>
        </w:tc>
      </w:tr>
      <w:tr>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Nb Aug. Capital</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0,01</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Information partiellement redondante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Prime d'Émission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Contribution marginale</w:t>
            </w:r>
          </w:p>
        </w:tc>
      </w:tr>
      <w:tr>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Actionnaire Réf.</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0,01</w:t>
            </w:r>
          </w:p>
        </w:tc>
        <w:tc>
          <w:tcPr>
            <w:tcW w:type="dxa" w:w="2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Contribution marginale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Stock-Options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 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Contribution marginale (binaire rare)</w:t>
            </w:r>
          </w:p>
        </w:tc>
      </w:tr>
    </w:tbl>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Ces résultats sont cohérents avec l'analyse exploratoire initiale et avec la réalité financière de la Bourse de Casablanca. L'existence d'un programme de rachat d'actions constitue un signal fort d'engagement de l'entreprise à protéger la valeur de ses actionnaires existants, signal que le modèle SVM a correctement identifié comme le plus discriminant. La Dilution Cumulée et la Variation du BPA complètent ce tableau en capturant respectivement l'historique et l'impact immédiat du risque de dilution.</w:t>
      </w:r>
    </w:p>
    <w:p>
      <w:r>
        <w:br w:type="page"/>
      </w:r>
    </w:p>
    <w:p>
      <w:pPr>
        <w:pStyle w:val="Heading1"/>
        <w:spacing w:before="320" w:after="120"/>
      </w:pPr>
      <w:r>
        <w:rPr>
          <w:rFonts w:ascii="Calibri" w:cs="Calibri" w:eastAsia="Calibri" w:hAnsi="Calibri"/>
          <w:b/>
          <w:bCs/>
          <w:color w:val="006633"/>
          <w:sz w:val="28"/>
          <w:szCs w:val="28"/>
        </w:rPr>
        <w:t xml:space="preserve">VII. PRÉDICTIONS SUR LES 30 SOCIÉTÉS COTÉES</w:t>
      </w:r>
    </w:p>
    <w:p>
      <w:pPr>
        <w:pBdr>
          <w:bottom w:val="single" w:color="006633" w:sz="4" w:space="1"/>
        </w:pBdr>
        <w:spacing w:before="120" w:after="12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 modèle SVM optimisé (C=10, gamma=scale, kernel=rbf) a été appliqué à l'ensemble des 30 sociétés du dataset. Pour chaque société, la classe prédite et le score de confiance (probabilité maximale issue de la calibration de Platt) sont reportés. Les prédictions sont globalement correctes pour la grande majorité des sociétés, avec un taux d'accuracy globale cohérent avec les résultats de la validation croisée.</w:t>
      </w:r>
    </w:p>
    <w:p>
      <w:pPr>
        <w:spacing w:before="40" w:after="40"/>
      </w:pPr>
      <w:r>
        <w:rPr>
          <w:rFonts w:ascii="Calibri" w:cs="Calibri" w:eastAsia="Calibri" w:hAnsi="Calibri"/>
          <w:sz w:val="22"/>
          <w:szCs w:val="2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1500"/>
        <w:gridCol w:w="3000"/>
      </w:tblGrid>
      <w:tr>
        <w:tc>
          <w:tcPr>
            <w:tcW w:type="dxa" w:w="12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Ticker</w:t>
            </w:r>
          </w:p>
        </w:tc>
        <w:tc>
          <w:tcPr>
            <w:tcW w:type="dxa" w:w="28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Société</w:t>
            </w:r>
          </w:p>
        </w:tc>
        <w:tc>
          <w:tcPr>
            <w:tcW w:type="dxa" w:w="15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Réel</w:t>
            </w:r>
          </w:p>
        </w:tc>
        <w:tc>
          <w:tcPr>
            <w:tcW w:type="dxa" w:w="15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Prédit</w:t>
            </w:r>
          </w:p>
        </w:tc>
        <w:tc>
          <w:tcPr>
            <w:tcW w:type="dxa" w:w="3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Profil de risque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ATW</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Attijariwafa Bank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1 Aug. Cap., Dilution 5,8 %, Gearing 68 %</w:t>
            </w:r>
          </w:p>
        </w:tc>
      </w:tr>
      <w:tr>
        <w:tc>
          <w:tcPr>
            <w:tcW w:type="dxa" w:w="1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BCP</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BCP</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Solide, Prog. Rachat actif</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Maroc Telecom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Gearing faible (45 %), BPA stable</w:t>
            </w:r>
          </w:p>
        </w:tc>
      </w:tr>
      <w:tr>
        <w:tc>
          <w:tcPr>
            <w:tcW w:type="dxa" w:w="1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AKDITAL</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Akdital</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MODÉRÉ</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MODÉRÉ</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 22,6 %, Stock-Options, Gearing 55 %</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LHM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Lafarge Holcim Maroc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0 Aug. Cap., Prog. Rachat, BPA +6,3 %</w:t>
            </w:r>
          </w:p>
        </w:tc>
      </w:tr>
      <w:tr>
        <w:tc>
          <w:tcPr>
            <w:tcW w:type="dxa" w:w="1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ADH</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Alliances</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 31,2 %, Gearing 152 %, BPA -45 %</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ADH2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Addoha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Dilution 28,5 %, Gearing 138 %, BPA -31 %</w:t>
            </w:r>
          </w:p>
        </w:tc>
      </w:tr>
      <w:tr>
        <w:tc>
          <w:tcPr>
            <w:tcW w:type="dxa" w:w="1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RAM</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Royal Air Maroc</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3 Aug. Cap., Dilution 42 %, Gearing 185 %</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CSA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Cartier Saada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ÉLEVÉ</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2 Aug. Cap., Dilution 25 %, BPA -35 %</w:t>
            </w:r>
          </w:p>
        </w:tc>
      </w:tr>
      <w:tr>
        <w:tc>
          <w:tcPr>
            <w:tcW w:type="dxa" w:w="1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HPS</w:t>
            </w:r>
          </w:p>
        </w:tc>
        <w:tc>
          <w:tcPr>
            <w:tcW w:type="dxa" w:w="2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HPS</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15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FAIBLE</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Gearing 12 %, BPA +18,3 %, Prog. Rachat 0</w:t>
            </w:r>
          </w:p>
        </w:tc>
      </w:tr>
    </w:tbl>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À titre illustratif, trois profils types ont été soumis au modèle pour une prédiction sur de nouvelles sociétés hypothétiques. Une société à profil FAIBLE (0 augmentation de capital, dilution nulle, gearing 25 %, couverture FP 4,5, variation BPA +8 %, programme de rachat actif, actionnaire de référence à 65 %) est correctement classée en FAIBLE avec un niveau de confiance élevé. Une société à profil ÉLEVÉ (3 augmentations de capital, dilution 38 %, gearing 160 %, variation BPA -40 %) est classée en ÉLEVÉ avec une confiance également élevée.</w:t>
      </w:r>
    </w:p>
    <w:p>
      <w:r>
        <w:br w:type="page"/>
      </w:r>
    </w:p>
    <w:p>
      <w:pPr>
        <w:pStyle w:val="Heading1"/>
        <w:spacing w:before="320" w:after="120"/>
      </w:pPr>
      <w:r>
        <w:rPr>
          <w:rFonts w:ascii="Calibri" w:cs="Calibri" w:eastAsia="Calibri" w:hAnsi="Calibri"/>
          <w:b/>
          <w:bCs/>
          <w:color w:val="006633"/>
          <w:sz w:val="28"/>
          <w:szCs w:val="28"/>
        </w:rPr>
        <w:t xml:space="preserve">VIII. ANALYSE CRITIQUE ET RECOMMANDATIONS</w:t>
      </w:r>
    </w:p>
    <w:p>
      <w:pPr>
        <w:pBdr>
          <w:bottom w:val="single" w:color="006633" w:sz="4" w:space="1"/>
        </w:pBdr>
        <w:spacing w:before="120" w:after="12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VIII.1 Forces du modèle</w:t>
      </w:r>
    </w:p>
    <w:p>
      <w:pPr>
        <w:spacing w:before="60" w:after="60" w:line="360"/>
        <w:ind w:firstLine="720"/>
        <w:jc w:val="both"/>
      </w:pPr>
      <w:r>
        <w:rPr>
          <w:rFonts w:ascii="Calibri" w:cs="Calibri" w:eastAsia="Calibri" w:hAnsi="Calibri"/>
          <w:sz w:val="22"/>
          <w:szCs w:val="22"/>
        </w:rPr>
        <w:t xml:space="preserve">Le modèle SVM RBF développé présente plusieurs atouts majeurs dans le contexte de la classification du risque de dilution à la BVC. Premièrement, sa robustesse face aux petits datasets : le SVM est théoriquement fondé sur la minimisation du risque structurel (SRM) plutôt que sur la minimisation du risque empirique, ce qui lui confère une meilleure capacité de généralisation que des algorithmes plus paramétriques comme les réseaux de neurones, sur des datasets de taille limitée (n=30). Deuxièmement, l'utilisation du paramètre class_weight='balanced' permet de traiter efficacement le déséquilibre de classes sans recourir à des techniques de sur-échantillonnage (SMOTE), particulièrement adaptée à la rareté des cas à risque élevé sur un marché relativement stable comme la BVC.</w:t>
      </w:r>
    </w:p>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VIII.2 Limites et biais identifiés</w:t>
      </w:r>
    </w:p>
    <w:p>
      <w:pPr>
        <w:spacing w:before="60" w:after="60" w:line="360"/>
        <w:ind w:firstLine="720"/>
        <w:jc w:val="both"/>
      </w:pPr>
      <w:r>
        <w:rPr>
          <w:rFonts w:ascii="Calibri" w:cs="Calibri" w:eastAsia="Calibri" w:hAnsi="Calibri"/>
          <w:sz w:val="22"/>
          <w:szCs w:val="22"/>
        </w:rPr>
        <w:t xml:space="preserve">Plusieurs limites doivent être signalées. La taille du dataset (30 observations) reste modeste et expose les estimations de performance à une variance élevée, comme en témoigne l'écart-type de la validation croisée (±10 %). L'extension du dataset à l'ensemble des sociétés cotées à la BVC (environ 75 valeurs) permettrait d'obtenir des estimations plus stables. Par ailleurs, le score de risque initial (1 à 5) a été attribué de manière semi-manuelle à partir des données financières ; l'introduction d'un scoring certifié par l'AMMC renforcerait la validité externe du modèle. Enfin, les variables retenues sont exclusivement quantitatives et historiques ; l'intégration de variables qualitatives (gouvernance, notation ESG) ou prospectives (intentions déclarées d'augmentation de capital) constituerait une amélioration substantielle.</w:t>
      </w:r>
    </w:p>
    <w:p>
      <w:pPr>
        <w:spacing w:before="40" w:after="40"/>
      </w:pPr>
      <w:r>
        <w:rPr>
          <w:rFonts w:ascii="Calibri" w:cs="Calibri" w:eastAsia="Calibri" w:hAnsi="Calibri"/>
          <w:sz w:val="22"/>
          <w:szCs w:val="22"/>
        </w:rPr>
        <w:t xml:space="preserve"/>
      </w:r>
    </w:p>
    <w:p>
      <w:pPr>
        <w:pStyle w:val="Heading2"/>
        <w:spacing w:before="220" w:after="80"/>
      </w:pPr>
      <w:r>
        <w:rPr>
          <w:rFonts w:ascii="Calibri" w:cs="Calibri" w:eastAsia="Calibri" w:hAnsi="Calibri"/>
          <w:b/>
          <w:bCs/>
          <w:color w:val="004422"/>
          <w:sz w:val="24"/>
          <w:szCs w:val="24"/>
        </w:rPr>
        <w:t xml:space="preserve">VIII.3 Recommandations pour l'AMMC et les investisseurs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Acteur</w:t>
            </w:r>
          </w:p>
        </w:tc>
        <w:tc>
          <w:tcPr>
            <w:tcW w:type="dxa" w:w="7000"/>
            <w:tcBorders>
              <w:top w:val="single" w:color="AAAAAA" w:sz="1"/>
              <w:left w:val="single" w:color="AAAAAA" w:sz="1"/>
              <w:bottom w:val="single" w:color="AAAAAA" w:sz="1"/>
              <w:right w:val="single" w:color="AAAAAA" w:sz="1"/>
            </w:tcBorders>
            <w:shd w:fill="006633"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Recommandation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AMMC</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Intégrer ce type de scoring automatisé dans le système de surveillance des émetteurs pour détecter en amont les sociétés à risque dilutif élevé</w:t>
            </w:r>
          </w:p>
        </w:tc>
      </w:tr>
      <w:tr>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Investisseurs inst.</w:t>
            </w:r>
          </w:p>
        </w:tc>
        <w:tc>
          <w:tcPr>
            <w:tcW w:type="dxa" w:w="7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Utiliser les scores de confiance du modèle comme signal complémentaire dans les processus de due diligence et de gestion du risque de portefeuille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Sociétés cotées</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Les entreprises classées ÉLEVÉ devraient renforcer leur communication financière sur leur politique de capital pour rassurer les actionnaires minoritaires</w:t>
            </w:r>
          </w:p>
        </w:tc>
      </w:tr>
      <w:tr>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Chercheurs</w:t>
            </w:r>
          </w:p>
        </w:tc>
        <w:tc>
          <w:tcPr>
            <w:tcW w:type="dxa" w:w="7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vAlign w:val="center"/>
          </w:tcPr>
          <w:p>
            <w:pPr>
              <w:jc w:val="left"/>
            </w:pPr>
            <w:r>
              <w:rPr>
                <w:rFonts w:ascii="Calibri" w:cs="Calibri" w:eastAsia="Calibri" w:hAnsi="Calibri"/>
                <w:b w:val="false"/>
                <w:bCs w:val="false"/>
                <w:color w:val="2C2C2C"/>
                <w:sz w:val="20"/>
                <w:szCs w:val="20"/>
              </w:rPr>
              <w:t xml:space="preserve">Étendre l'étude à d'autres marchés africains (BRVM, NSE) pour évaluer la transférabilité du modèle</w:t>
            </w:r>
          </w:p>
        </w:tc>
      </w:tr>
    </w:tbl>
    <w:p>
      <w:r>
        <w:br w:type="page"/>
      </w:r>
    </w:p>
    <w:p>
      <w:pPr>
        <w:pStyle w:val="Heading1"/>
        <w:spacing w:before="320" w:after="120"/>
      </w:pPr>
      <w:r>
        <w:rPr>
          <w:rFonts w:ascii="Calibri" w:cs="Calibri" w:eastAsia="Calibri" w:hAnsi="Calibri"/>
          <w:b/>
          <w:bCs/>
          <w:color w:val="006633"/>
          <w:sz w:val="28"/>
          <w:szCs w:val="28"/>
        </w:rPr>
        <w:t xml:space="preserve">IX. CONCLUSION ET PERSPECTIVES</w:t>
      </w:r>
    </w:p>
    <w:p>
      <w:pPr>
        <w:pBdr>
          <w:bottom w:val="single" w:color="006633" w:sz="4" w:space="1"/>
        </w:pBdr>
        <w:spacing w:before="120" w:after="12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 présent compte rendu a démontré la faisabilité et la pertinence de l'application du Support Vector Machine à la classification automatique du risque de dilution actionnariale sur le marché boursier marocain. À partir d'un dataset de 30 sociétés cotées à la BVC, caractérisées par neuf indicateurs financiers couvrant la période 2022–2025, le modèle SVM RBF optimisé par GridSearchCV atteint une accuracy de validation croisée d'environ 83 % sur trois classes de risque (FAIBLE, MODÉRÉ, ÉLEVÉ), résultat encourageant au regard de la taille limitée du dataset et de la complexité inhérente à la classification du risque financier.</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Parmi les enseignements méthodologiques les plus saillants, il ressort que la normalisation des données (StandardScaler) est une étape critique pour le bon fonctionnement du SVM sur des features à échelles hétérogènes, que la pondération des classes (class_weight='balanced') améliore significativement la détection des classes minoritaires, et que la Permutation Importance constitue un outil précieux pour identifier les variables les plus informatives dans un contexte financier où l'interprétabilité du modèle est aussi importante que sa performance prédictive.</w:t>
      </w:r>
    </w:p>
    <w:p>
      <w:pPr>
        <w:spacing w:before="40" w:after="40"/>
      </w:pPr>
      <w:r>
        <w:rPr>
          <w:rFonts w:ascii="Calibri" w:cs="Calibri" w:eastAsia="Calibri" w:hAnsi="Calibri"/>
          <w:sz w:val="22"/>
          <w:szCs w:val="22"/>
        </w:rPr>
        <w:t xml:space="preserve"/>
      </w:r>
    </w:p>
    <w:p>
      <w:pPr>
        <w:spacing w:before="60" w:after="60" w:line="360"/>
        <w:ind w:firstLine="720"/>
        <w:jc w:val="both"/>
      </w:pPr>
      <w:r>
        <w:rPr>
          <w:rFonts w:ascii="Calibri" w:cs="Calibri" w:eastAsia="Calibri" w:hAnsi="Calibri"/>
          <w:sz w:val="22"/>
          <w:szCs w:val="22"/>
        </w:rPr>
        <w:t xml:space="preserve">Les perspectives de ce travail sont multiples. Sur le plan de la donnée, l'extension du dataset à l'ensemble des valeurs cotées à la BVC et l'intégration de séries temporelles permettraient de construire un système de scoring dynamique. Sur le plan méthodologique, la comparaison avec d'autres algorithmes (Random Forest, Gradient Boosting, réseaux de neurones) dans le cadre d'une étude benchmark complète constituerait une contribution significative à la littérature sur l'application du Machine Learning aux marchés financiers africains émergents.</w:t>
      </w:r>
    </w:p>
    <w:p>
      <w:r>
        <w:br w:type="page"/>
      </w:r>
    </w:p>
    <w:p>
      <w:pPr>
        <w:pStyle w:val="Heading1"/>
        <w:spacing w:before="320" w:after="120"/>
      </w:pPr>
      <w:r>
        <w:rPr>
          <w:rFonts w:ascii="Calibri" w:cs="Calibri" w:eastAsia="Calibri" w:hAnsi="Calibri"/>
          <w:b/>
          <w:bCs/>
          <w:color w:val="006633"/>
          <w:sz w:val="28"/>
          <w:szCs w:val="28"/>
        </w:rPr>
        <w:t xml:space="preserve">BIBLIOGRAPHIE / WEBOGRAPHIE</w:t>
      </w:r>
    </w:p>
    <w:p>
      <w:pPr>
        <w:pBdr>
          <w:bottom w:val="single" w:color="006633" w:sz="4" w:space="1"/>
        </w:pBdr>
        <w:spacing w:before="120" w:after="120"/>
      </w:pPr>
      <w:r>
        <w:rPr>
          <w:rFonts w:ascii="Calibri" w:cs="Calibri" w:eastAsia="Calibri" w:hAnsi="Calibri"/>
          <w:sz w:val="22"/>
          <w:szCs w:val="22"/>
        </w:rPr>
        <w:t xml:space="preserve"/>
      </w:r>
    </w:p>
    <w:p>
      <w:pPr>
        <w:pStyle w:val="ListParagraph"/>
        <w:numPr>
          <w:ilvl w:val="0"/>
          <w:numId w:val="2"/>
        </w:numPr>
        <w:spacing w:before="60" w:after="60"/>
      </w:pPr>
      <w:r>
        <w:rPr>
          <w:rFonts w:ascii="Calibri" w:cs="Calibri" w:eastAsia="Calibri" w:hAnsi="Calibri"/>
          <w:sz w:val="20"/>
          <w:szCs w:val="20"/>
        </w:rPr>
        <w:t xml:space="preserve">Cortes, C., &amp; Vapnik, V. (1995). Support-vector networks. Machine Learning, 20(3), 273-297.</w:t>
      </w:r>
    </w:p>
    <w:p>
      <w:pPr>
        <w:pStyle w:val="ListParagraph"/>
        <w:numPr>
          <w:ilvl w:val="0"/>
          <w:numId w:val="2"/>
        </w:numPr>
        <w:spacing w:before="60" w:after="60"/>
      </w:pPr>
      <w:r>
        <w:rPr>
          <w:rFonts w:ascii="Calibri" w:cs="Calibri" w:eastAsia="Calibri" w:hAnsi="Calibri"/>
          <w:sz w:val="20"/>
          <w:szCs w:val="20"/>
        </w:rPr>
        <w:t xml:space="preserve">Géron, A. (2022). Hands-On Machine Learning with Scikit-Learn, Keras, and TensorFlow (3ème éd.). O'Reilly Media.</w:t>
      </w:r>
    </w:p>
    <w:p>
      <w:pPr>
        <w:pStyle w:val="ListParagraph"/>
        <w:numPr>
          <w:ilvl w:val="0"/>
          <w:numId w:val="2"/>
        </w:numPr>
        <w:spacing w:before="60" w:after="60"/>
      </w:pPr>
      <w:r>
        <w:rPr>
          <w:rFonts w:ascii="Calibri" w:cs="Calibri" w:eastAsia="Calibri" w:hAnsi="Calibri"/>
          <w:sz w:val="20"/>
          <w:szCs w:val="20"/>
        </w:rPr>
        <w:t xml:space="preserve">Hastie, T., Tibshirani, R., &amp; Friedman, J. (2009). The Elements of Statistical Learning (2ème éd.). Springer.</w:t>
      </w:r>
    </w:p>
    <w:p>
      <w:pPr>
        <w:pStyle w:val="ListParagraph"/>
        <w:numPr>
          <w:ilvl w:val="0"/>
          <w:numId w:val="2"/>
        </w:numPr>
        <w:spacing w:before="60" w:after="60"/>
      </w:pPr>
      <w:r>
        <w:rPr>
          <w:rFonts w:ascii="Calibri" w:cs="Calibri" w:eastAsia="Calibri" w:hAnsi="Calibri"/>
          <w:sz w:val="20"/>
          <w:szCs w:val="20"/>
        </w:rPr>
        <w:t xml:space="preserve">Pedregosa, F. et al. (2011). Scikit-learn: Machine Learning in Python. JMLR, 12, pp. 2825-2830.</w:t>
      </w:r>
    </w:p>
    <w:p>
      <w:pPr>
        <w:pStyle w:val="ListParagraph"/>
        <w:numPr>
          <w:ilvl w:val="0"/>
          <w:numId w:val="2"/>
        </w:numPr>
        <w:spacing w:before="60" w:after="60"/>
      </w:pPr>
      <w:r>
        <w:rPr>
          <w:rFonts w:ascii="Calibri" w:cs="Calibri" w:eastAsia="Calibri" w:hAnsi="Calibri"/>
          <w:sz w:val="20"/>
          <w:szCs w:val="20"/>
        </w:rPr>
        <w:t xml:space="preserve">Bourse de Valeurs de Casablanca — Rapports annuels et communiqués officiels (2022-2025) : https://www.casablanca-bourse.com</w:t>
      </w:r>
    </w:p>
    <w:p>
      <w:pPr>
        <w:pStyle w:val="ListParagraph"/>
        <w:numPr>
          <w:ilvl w:val="0"/>
          <w:numId w:val="2"/>
        </w:numPr>
        <w:spacing w:before="60" w:after="60"/>
      </w:pPr>
      <w:r>
        <w:rPr>
          <w:rFonts w:ascii="Calibri" w:cs="Calibri" w:eastAsia="Calibri" w:hAnsi="Calibri"/>
          <w:sz w:val="20"/>
          <w:szCs w:val="20"/>
        </w:rPr>
        <w:t xml:space="preserve">Autorité Marocaine du Marché des Capitaux (AMMC) — Circulaires et notes d'information : https://www.ammc.ma</w:t>
      </w:r>
    </w:p>
    <w:p>
      <w:pPr>
        <w:pStyle w:val="ListParagraph"/>
        <w:numPr>
          <w:ilvl w:val="0"/>
          <w:numId w:val="2"/>
        </w:numPr>
        <w:spacing w:before="60" w:after="60"/>
      </w:pPr>
      <w:r>
        <w:rPr>
          <w:rFonts w:ascii="Calibri" w:cs="Calibri" w:eastAsia="Calibri" w:hAnsi="Calibri"/>
          <w:sz w:val="20"/>
          <w:szCs w:val="20"/>
        </w:rPr>
        <w:t xml:space="preserve">Documentation scikit-learn — SVM et GridSearchCV : https://scikit-learn.org/stable/modules/svm.html</w:t>
      </w:r>
    </w:p>
    <w:p>
      <w:pPr>
        <w:pStyle w:val="ListParagraph"/>
        <w:numPr>
          <w:ilvl w:val="0"/>
          <w:numId w:val="2"/>
        </w:numPr>
        <w:spacing w:before="60" w:after="60"/>
      </w:pPr>
      <w:r>
        <w:rPr>
          <w:rFonts w:ascii="Calibri" w:cs="Calibri" w:eastAsia="Calibri" w:hAnsi="Calibri"/>
          <w:sz w:val="20"/>
          <w:szCs w:val="20"/>
        </w:rPr>
        <w:t xml:space="preserve">Kaggle — Financial Risk Classification using SVM : https://www.kaggle.com/</w:t>
      </w:r>
    </w:p>
    <w:p>
      <w:pPr>
        <w:pStyle w:val="ListParagraph"/>
        <w:numPr>
          <w:ilvl w:val="0"/>
          <w:numId w:val="2"/>
        </w:numPr>
        <w:spacing w:before="60" w:after="60"/>
      </w:pPr>
      <w:r>
        <w:rPr>
          <w:rFonts w:ascii="Calibri" w:cs="Calibri" w:eastAsia="Calibri" w:hAnsi="Calibri"/>
          <w:sz w:val="20"/>
          <w:szCs w:val="20"/>
        </w:rPr>
        <w:t xml:space="preserve">Towards Data Science — SVM for Financial Classification : https://towardsdatascience.com</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4" w:space="1"/>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33" w:sz="4" w:space="1"/>
      </w:pBdr>
      <w:jc w:val="right"/>
    </w:pPr>
    <w:r>
      <w:rPr>
        <w:rFonts w:ascii="Calibri" w:cs="Calibri" w:eastAsia="Calibri" w:hAnsi="Calibri"/>
        <w:color w:val="888888"/>
        <w:sz w:val="18"/>
        <w:szCs w:val="18"/>
      </w:rPr>
      <w:t xml:space="preserve">SVM — Risque de Dilution BVC | Hamza M'ZIZ &amp; Razki HIBA | ENCG Settat S8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006633"/>
      <w:sz w:val="28"/>
      <w:szCs w:val="28"/>
    </w:rPr>
  </w:style>
  <w:style w:type="paragraph" w:styleId="Heading2">
    <w:name w:val="Heading 2"/>
    <w:basedOn w:val="Normal"/>
    <w:next w:val="Normal"/>
    <w:qFormat/>
    <w:pPr>
      <w:spacing w:before="220" w:after="80"/>
      <w:outlineLvl w:val="1"/>
    </w:pPr>
    <w:rPr>
      <w:rFonts w:ascii="Calibri" w:cs="Calibri" w:eastAsia="Calibri" w:hAnsi="Calibri"/>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2026-03-17T14:31:45.834Z</dcterms:created>
  <dcterms:modified xsi:type="dcterms:W3CDTF">2026-03-17T14:31:45.835Z</dcterms:modified>
</cp:coreProperties>
</file>

<file path=docProps/custom.xml><?xml version="1.0" encoding="utf-8"?>
<Properties xmlns="http://schemas.openxmlformats.org/officeDocument/2006/custom-properties" xmlns:vt="http://schemas.openxmlformats.org/officeDocument/2006/docPropsVTypes"/>
</file>