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A73" w:rsidRDefault="00CF27C6" w:rsidP="00D77AF0">
      <w:pPr>
        <w:ind w:left="210" w:right="210"/>
        <w:rPr>
          <w:sz w:val="21"/>
          <w:szCs w:val="21"/>
          <w:lang w:eastAsia="zh-CN"/>
        </w:rPr>
      </w:pPr>
      <w:r>
        <w:rPr>
          <w:sz w:val="21"/>
          <w:szCs w:val="21"/>
          <w:lang w:eastAsia="zh-CN"/>
        </w:rPr>
        <w:t>第四章</w:t>
      </w:r>
      <w:r>
        <w:rPr>
          <w:rFonts w:hint="eastAsia"/>
          <w:sz w:val="21"/>
          <w:szCs w:val="21"/>
          <w:lang w:eastAsia="zh-CN"/>
        </w:rPr>
        <w:t xml:space="preserve"> </w:t>
      </w:r>
      <w:r w:rsidR="000D504C" w:rsidRPr="009722BA">
        <w:rPr>
          <w:sz w:val="21"/>
          <w:szCs w:val="21"/>
          <w:lang w:eastAsia="zh-CN"/>
        </w:rPr>
        <w:t>市政</w:t>
      </w:r>
      <w:proofErr w:type="gramStart"/>
      <w:r w:rsidR="000D504C" w:rsidRPr="009722BA">
        <w:rPr>
          <w:sz w:val="21"/>
          <w:szCs w:val="21"/>
          <w:lang w:eastAsia="zh-CN"/>
        </w:rPr>
        <w:t>综合体减碳路径</w:t>
      </w:r>
      <w:proofErr w:type="gramEnd"/>
      <w:r w:rsidR="000D504C" w:rsidRPr="009722BA">
        <w:rPr>
          <w:sz w:val="21"/>
          <w:szCs w:val="21"/>
          <w:lang w:eastAsia="zh-CN"/>
        </w:rPr>
        <w:t>制定</w:t>
      </w:r>
    </w:p>
    <w:p w:rsidR="00721D42" w:rsidRPr="009722BA" w:rsidRDefault="00721D42" w:rsidP="00FE7C8B">
      <w:pPr>
        <w:spacing w:line="240" w:lineRule="auto"/>
        <w:ind w:left="210" w:right="210" w:firstLineChars="200" w:firstLine="420"/>
        <w:rPr>
          <w:sz w:val="21"/>
          <w:szCs w:val="21"/>
          <w:lang w:eastAsia="zh-CN"/>
        </w:rPr>
      </w:pPr>
      <w:r>
        <w:rPr>
          <w:rFonts w:hint="eastAsia"/>
          <w:sz w:val="21"/>
          <w:szCs w:val="21"/>
          <w:lang w:eastAsia="zh-CN"/>
        </w:rPr>
        <w:t>上述章节已经完成了对市政综合体项目的全生命周期的碳排放计算与碳排放特征分析，其目的就是为了了解项目碳排放情况，并为减碳路径的制定提供数据参考。本章将根据市政综合体的碳排放特点引入适用</w:t>
      </w:r>
      <w:proofErr w:type="gramStart"/>
      <w:r>
        <w:rPr>
          <w:rFonts w:hint="eastAsia"/>
          <w:sz w:val="21"/>
          <w:szCs w:val="21"/>
          <w:lang w:eastAsia="zh-CN"/>
        </w:rPr>
        <w:t>的碳减排</w:t>
      </w:r>
      <w:proofErr w:type="gramEnd"/>
      <w:r>
        <w:rPr>
          <w:rFonts w:hint="eastAsia"/>
          <w:sz w:val="21"/>
          <w:szCs w:val="21"/>
          <w:lang w:eastAsia="zh-CN"/>
        </w:rPr>
        <w:t>技术，并利用计算机模拟的方法探究各种技术</w:t>
      </w:r>
      <w:proofErr w:type="gramStart"/>
      <w:r>
        <w:rPr>
          <w:rFonts w:hint="eastAsia"/>
          <w:sz w:val="21"/>
          <w:szCs w:val="21"/>
          <w:lang w:eastAsia="zh-CN"/>
        </w:rPr>
        <w:t>的减碳潜力</w:t>
      </w:r>
      <w:proofErr w:type="gramEnd"/>
      <w:r>
        <w:rPr>
          <w:rFonts w:hint="eastAsia"/>
          <w:sz w:val="21"/>
          <w:szCs w:val="21"/>
          <w:lang w:eastAsia="zh-CN"/>
        </w:rPr>
        <w:t>，最终依据市政综合体</w:t>
      </w:r>
      <w:proofErr w:type="gramStart"/>
      <w:r>
        <w:rPr>
          <w:rFonts w:hint="eastAsia"/>
          <w:sz w:val="21"/>
          <w:szCs w:val="21"/>
          <w:lang w:eastAsia="zh-CN"/>
        </w:rPr>
        <w:t>减碳效益</w:t>
      </w:r>
      <w:proofErr w:type="gramEnd"/>
      <w:r>
        <w:rPr>
          <w:rFonts w:hint="eastAsia"/>
          <w:sz w:val="21"/>
          <w:szCs w:val="21"/>
          <w:lang w:eastAsia="zh-CN"/>
        </w:rPr>
        <w:t>最大化的思想制定整体</w:t>
      </w:r>
      <w:proofErr w:type="gramStart"/>
      <w:r>
        <w:rPr>
          <w:rFonts w:hint="eastAsia"/>
          <w:sz w:val="21"/>
          <w:szCs w:val="21"/>
          <w:lang w:eastAsia="zh-CN"/>
        </w:rPr>
        <w:t>减碳技术</w:t>
      </w:r>
      <w:proofErr w:type="gramEnd"/>
      <w:r>
        <w:rPr>
          <w:rFonts w:hint="eastAsia"/>
          <w:sz w:val="21"/>
          <w:szCs w:val="21"/>
          <w:lang w:eastAsia="zh-CN"/>
        </w:rPr>
        <w:t>路线，并</w:t>
      </w:r>
      <w:proofErr w:type="gramStart"/>
      <w:r>
        <w:rPr>
          <w:rFonts w:hint="eastAsia"/>
          <w:sz w:val="21"/>
          <w:szCs w:val="21"/>
          <w:lang w:eastAsia="zh-CN"/>
        </w:rPr>
        <w:t>对减碳效果</w:t>
      </w:r>
      <w:proofErr w:type="gramEnd"/>
      <w:r>
        <w:rPr>
          <w:rFonts w:hint="eastAsia"/>
          <w:sz w:val="21"/>
          <w:szCs w:val="21"/>
          <w:lang w:eastAsia="zh-CN"/>
        </w:rPr>
        <w:t>进行预测。</w:t>
      </w:r>
    </w:p>
    <w:p w:rsidR="000D504C" w:rsidRPr="009722BA" w:rsidRDefault="000D504C" w:rsidP="00FE7C8B">
      <w:pPr>
        <w:pStyle w:val="a3"/>
        <w:numPr>
          <w:ilvl w:val="0"/>
          <w:numId w:val="1"/>
        </w:numPr>
        <w:spacing w:line="240" w:lineRule="auto"/>
        <w:ind w:right="210"/>
        <w:rPr>
          <w:sz w:val="21"/>
          <w:szCs w:val="21"/>
        </w:rPr>
      </w:pPr>
      <w:proofErr w:type="spellStart"/>
      <w:r w:rsidRPr="009722BA">
        <w:rPr>
          <w:rFonts w:hint="eastAsia"/>
          <w:sz w:val="21"/>
          <w:szCs w:val="21"/>
        </w:rPr>
        <w:t>总体思路</w:t>
      </w:r>
      <w:proofErr w:type="spellEnd"/>
    </w:p>
    <w:p w:rsidR="00A413BE" w:rsidRPr="009722BA" w:rsidRDefault="00A413BE" w:rsidP="00FE7C8B">
      <w:pPr>
        <w:spacing w:line="240" w:lineRule="auto"/>
        <w:ind w:left="210" w:right="210"/>
        <w:rPr>
          <w:sz w:val="21"/>
          <w:szCs w:val="21"/>
          <w:lang w:eastAsia="zh-CN"/>
        </w:rPr>
      </w:pPr>
      <w:r w:rsidRPr="009722BA">
        <w:rPr>
          <w:rFonts w:hint="eastAsia"/>
          <w:sz w:val="21"/>
          <w:szCs w:val="21"/>
          <w:lang w:eastAsia="zh-CN"/>
        </w:rPr>
        <w:t>对于市政综合体，</w:t>
      </w:r>
      <w:proofErr w:type="gramStart"/>
      <w:r w:rsidRPr="009722BA">
        <w:rPr>
          <w:rFonts w:hint="eastAsia"/>
          <w:sz w:val="21"/>
          <w:szCs w:val="21"/>
          <w:lang w:eastAsia="zh-CN"/>
        </w:rPr>
        <w:t>其减碳路径</w:t>
      </w:r>
      <w:proofErr w:type="gramEnd"/>
      <w:r w:rsidRPr="009722BA">
        <w:rPr>
          <w:rFonts w:hint="eastAsia"/>
          <w:sz w:val="21"/>
          <w:szCs w:val="21"/>
          <w:lang w:eastAsia="zh-CN"/>
        </w:rPr>
        <w:t>的制定</w:t>
      </w:r>
      <w:r w:rsidR="00F246CF" w:rsidRPr="009722BA">
        <w:rPr>
          <w:rFonts w:hint="eastAsia"/>
          <w:sz w:val="21"/>
          <w:szCs w:val="21"/>
          <w:lang w:eastAsia="zh-CN"/>
        </w:rPr>
        <w:t>采取“近期以高效节能技术为主，长远期以优化能源结构为主”的思路。在建筑设计建造及运营初期应综合采用节能技术，尽可能降低建筑本身的能耗，主动降低建筑本身的碳排放。随着技术发展以及能源结构的整体更新，在远期要积极引入可再生能源优化市政综合体的能源结构，进一步降低</w:t>
      </w:r>
      <w:r w:rsidR="00D73C2F" w:rsidRPr="009722BA">
        <w:rPr>
          <w:rFonts w:hint="eastAsia"/>
          <w:sz w:val="21"/>
          <w:szCs w:val="21"/>
          <w:lang w:eastAsia="zh-CN"/>
        </w:rPr>
        <w:t>项目生命</w:t>
      </w:r>
      <w:r w:rsidR="00F246CF" w:rsidRPr="009722BA">
        <w:rPr>
          <w:rFonts w:hint="eastAsia"/>
          <w:sz w:val="21"/>
          <w:szCs w:val="21"/>
          <w:lang w:eastAsia="zh-CN"/>
        </w:rPr>
        <w:t>周期碳排放，使其努力向“零碳”建筑方向迈进。</w:t>
      </w:r>
    </w:p>
    <w:p w:rsidR="00A42430" w:rsidRPr="009722BA" w:rsidRDefault="00A42430" w:rsidP="00FE7C8B">
      <w:pPr>
        <w:spacing w:line="240" w:lineRule="auto"/>
        <w:ind w:left="210" w:right="210"/>
        <w:rPr>
          <w:sz w:val="21"/>
          <w:szCs w:val="21"/>
          <w:lang w:eastAsia="zh-CN"/>
        </w:rPr>
      </w:pPr>
      <w:r w:rsidRPr="009722BA">
        <w:rPr>
          <w:rFonts w:hint="eastAsia"/>
          <w:sz w:val="21"/>
          <w:szCs w:val="21"/>
          <w:lang w:eastAsia="zh-CN"/>
        </w:rPr>
        <w:t>在为市政综合体</w:t>
      </w:r>
      <w:proofErr w:type="gramStart"/>
      <w:r w:rsidRPr="009722BA">
        <w:rPr>
          <w:rFonts w:hint="eastAsia"/>
          <w:sz w:val="21"/>
          <w:szCs w:val="21"/>
          <w:lang w:eastAsia="zh-CN"/>
        </w:rPr>
        <w:t>确定减碳路径</w:t>
      </w:r>
      <w:proofErr w:type="gramEnd"/>
      <w:r w:rsidRPr="009722BA">
        <w:rPr>
          <w:rFonts w:hint="eastAsia"/>
          <w:sz w:val="21"/>
          <w:szCs w:val="21"/>
          <w:lang w:eastAsia="zh-CN"/>
        </w:rPr>
        <w:t>时，按照以下原则进行：</w:t>
      </w:r>
    </w:p>
    <w:p w:rsidR="00A42430" w:rsidRPr="009722BA" w:rsidRDefault="00A42430" w:rsidP="00FE7C8B">
      <w:pPr>
        <w:pStyle w:val="a3"/>
        <w:numPr>
          <w:ilvl w:val="0"/>
          <w:numId w:val="2"/>
        </w:numPr>
        <w:spacing w:line="240" w:lineRule="auto"/>
        <w:ind w:right="210"/>
        <w:rPr>
          <w:sz w:val="21"/>
          <w:szCs w:val="21"/>
          <w:lang w:eastAsia="zh-CN"/>
        </w:rPr>
      </w:pPr>
      <w:r w:rsidRPr="009722BA">
        <w:rPr>
          <w:rFonts w:hint="eastAsia"/>
          <w:sz w:val="21"/>
          <w:szCs w:val="21"/>
          <w:lang w:eastAsia="zh-CN"/>
        </w:rPr>
        <w:t>考虑长期发展，动态调整规划</w:t>
      </w:r>
    </w:p>
    <w:p w:rsidR="000D504C" w:rsidRPr="009722BA" w:rsidRDefault="00A766F4" w:rsidP="00FE7C8B">
      <w:pPr>
        <w:spacing w:line="240" w:lineRule="auto"/>
        <w:ind w:left="210" w:right="210"/>
        <w:rPr>
          <w:sz w:val="21"/>
          <w:szCs w:val="21"/>
          <w:lang w:eastAsia="zh-CN"/>
        </w:rPr>
      </w:pPr>
      <w:r w:rsidRPr="009722BA">
        <w:rPr>
          <w:sz w:val="21"/>
          <w:szCs w:val="21"/>
          <w:lang w:eastAsia="zh-CN"/>
        </w:rPr>
        <w:t>相较于一般的工业产品</w:t>
      </w:r>
      <w:r w:rsidRPr="009722BA">
        <w:rPr>
          <w:rFonts w:hint="eastAsia"/>
          <w:sz w:val="21"/>
          <w:szCs w:val="21"/>
          <w:lang w:eastAsia="zh-CN"/>
        </w:rPr>
        <w:t>，</w:t>
      </w:r>
      <w:r w:rsidRPr="009722BA">
        <w:rPr>
          <w:sz w:val="21"/>
          <w:szCs w:val="21"/>
          <w:lang w:eastAsia="zh-CN"/>
        </w:rPr>
        <w:t>建筑在使用过程中最显著的特征即为生命周期长</w:t>
      </w:r>
      <w:r w:rsidRPr="009722BA">
        <w:rPr>
          <w:rFonts w:hint="eastAsia"/>
          <w:sz w:val="21"/>
          <w:szCs w:val="21"/>
          <w:lang w:eastAsia="zh-CN"/>
        </w:rPr>
        <w:t>、</w:t>
      </w:r>
      <w:r w:rsidRPr="009722BA">
        <w:rPr>
          <w:sz w:val="21"/>
          <w:szCs w:val="21"/>
          <w:lang w:eastAsia="zh-CN"/>
        </w:rPr>
        <w:t>涉及的碳排放活动复杂</w:t>
      </w:r>
      <w:r w:rsidRPr="009722BA">
        <w:rPr>
          <w:rFonts w:hint="eastAsia"/>
          <w:sz w:val="21"/>
          <w:szCs w:val="21"/>
          <w:lang w:eastAsia="zh-CN"/>
        </w:rPr>
        <w:t>，</w:t>
      </w:r>
      <w:r w:rsidRPr="009722BA">
        <w:rPr>
          <w:sz w:val="21"/>
          <w:szCs w:val="21"/>
          <w:lang w:eastAsia="zh-CN"/>
        </w:rPr>
        <w:t>这也意味在制定建筑</w:t>
      </w:r>
      <w:proofErr w:type="gramStart"/>
      <w:r w:rsidRPr="009722BA">
        <w:rPr>
          <w:sz w:val="21"/>
          <w:szCs w:val="21"/>
          <w:lang w:eastAsia="zh-CN"/>
        </w:rPr>
        <w:t>的减碳路径</w:t>
      </w:r>
      <w:proofErr w:type="gramEnd"/>
      <w:r w:rsidRPr="009722BA">
        <w:rPr>
          <w:sz w:val="21"/>
          <w:szCs w:val="21"/>
          <w:lang w:eastAsia="zh-CN"/>
        </w:rPr>
        <w:t>时不应只考虑采取静态</w:t>
      </w:r>
      <w:proofErr w:type="gramStart"/>
      <w:r w:rsidRPr="009722BA">
        <w:rPr>
          <w:sz w:val="21"/>
          <w:szCs w:val="21"/>
          <w:lang w:eastAsia="zh-CN"/>
        </w:rPr>
        <w:t>的减碳策略</w:t>
      </w:r>
      <w:proofErr w:type="gramEnd"/>
      <w:r w:rsidRPr="009722BA">
        <w:rPr>
          <w:rFonts w:hint="eastAsia"/>
          <w:sz w:val="21"/>
          <w:szCs w:val="21"/>
          <w:lang w:eastAsia="zh-CN"/>
        </w:rPr>
        <w:t>，</w:t>
      </w:r>
      <w:r w:rsidRPr="009722BA">
        <w:rPr>
          <w:sz w:val="21"/>
          <w:szCs w:val="21"/>
          <w:lang w:eastAsia="zh-CN"/>
        </w:rPr>
        <w:t>即在设计</w:t>
      </w:r>
      <w:r w:rsidR="0078226F" w:rsidRPr="009722BA">
        <w:rPr>
          <w:sz w:val="21"/>
          <w:szCs w:val="21"/>
          <w:lang w:eastAsia="zh-CN"/>
        </w:rPr>
        <w:t>时</w:t>
      </w:r>
      <w:r w:rsidRPr="009722BA">
        <w:rPr>
          <w:sz w:val="21"/>
          <w:szCs w:val="21"/>
          <w:lang w:eastAsia="zh-CN"/>
        </w:rPr>
        <w:t>一次性完成建筑的</w:t>
      </w:r>
      <w:proofErr w:type="gramStart"/>
      <w:r w:rsidRPr="009722BA">
        <w:rPr>
          <w:sz w:val="21"/>
          <w:szCs w:val="21"/>
          <w:lang w:eastAsia="zh-CN"/>
        </w:rPr>
        <w:t>减碳工作</w:t>
      </w:r>
      <w:proofErr w:type="gramEnd"/>
      <w:r w:rsidRPr="009722BA">
        <w:rPr>
          <w:sz w:val="21"/>
          <w:szCs w:val="21"/>
          <w:lang w:eastAsia="zh-CN"/>
        </w:rPr>
        <w:t>部署</w:t>
      </w:r>
      <w:r w:rsidRPr="009722BA">
        <w:rPr>
          <w:rFonts w:hint="eastAsia"/>
          <w:sz w:val="21"/>
          <w:szCs w:val="21"/>
          <w:lang w:eastAsia="zh-CN"/>
        </w:rPr>
        <w:t>，</w:t>
      </w:r>
      <w:r w:rsidRPr="009722BA">
        <w:rPr>
          <w:sz w:val="21"/>
          <w:szCs w:val="21"/>
          <w:lang w:eastAsia="zh-CN"/>
        </w:rPr>
        <w:t>而应该考虑建筑技术及配套领域技术的不断发展并根据建筑所处的不同生命周期或使用状态动态调整建筑</w:t>
      </w:r>
      <w:proofErr w:type="gramStart"/>
      <w:r w:rsidRPr="009722BA">
        <w:rPr>
          <w:sz w:val="21"/>
          <w:szCs w:val="21"/>
          <w:lang w:eastAsia="zh-CN"/>
        </w:rPr>
        <w:t>的减碳策略</w:t>
      </w:r>
      <w:proofErr w:type="gramEnd"/>
      <w:r w:rsidRPr="009722BA">
        <w:rPr>
          <w:rFonts w:hint="eastAsia"/>
          <w:sz w:val="21"/>
          <w:szCs w:val="21"/>
          <w:lang w:eastAsia="zh-CN"/>
        </w:rPr>
        <w:t>，</w:t>
      </w:r>
      <w:r w:rsidRPr="009722BA">
        <w:rPr>
          <w:sz w:val="21"/>
          <w:szCs w:val="21"/>
          <w:lang w:eastAsia="zh-CN"/>
        </w:rPr>
        <w:t>因此在</w:t>
      </w:r>
      <w:proofErr w:type="gramStart"/>
      <w:r w:rsidRPr="009722BA">
        <w:rPr>
          <w:sz w:val="21"/>
          <w:szCs w:val="21"/>
          <w:lang w:eastAsia="zh-CN"/>
        </w:rPr>
        <w:t>确定减碳路径</w:t>
      </w:r>
      <w:proofErr w:type="gramEnd"/>
      <w:r w:rsidRPr="009722BA">
        <w:rPr>
          <w:sz w:val="21"/>
          <w:szCs w:val="21"/>
          <w:lang w:eastAsia="zh-CN"/>
        </w:rPr>
        <w:t>的总体规划时要</w:t>
      </w:r>
      <w:r w:rsidR="00A413BE" w:rsidRPr="009722BA">
        <w:rPr>
          <w:sz w:val="21"/>
          <w:szCs w:val="21"/>
          <w:lang w:eastAsia="zh-CN"/>
        </w:rPr>
        <w:t>为未来可能会应用</w:t>
      </w:r>
      <w:proofErr w:type="gramStart"/>
      <w:r w:rsidR="00A413BE" w:rsidRPr="009722BA">
        <w:rPr>
          <w:sz w:val="21"/>
          <w:szCs w:val="21"/>
          <w:lang w:eastAsia="zh-CN"/>
        </w:rPr>
        <w:t>的减碳策略</w:t>
      </w:r>
      <w:proofErr w:type="gramEnd"/>
      <w:r w:rsidR="00A413BE" w:rsidRPr="009722BA">
        <w:rPr>
          <w:sz w:val="21"/>
          <w:szCs w:val="21"/>
          <w:lang w:eastAsia="zh-CN"/>
        </w:rPr>
        <w:t>预留出足够的更新空间</w:t>
      </w:r>
      <w:r w:rsidR="00A413BE" w:rsidRPr="009722BA">
        <w:rPr>
          <w:rFonts w:hint="eastAsia"/>
          <w:sz w:val="21"/>
          <w:szCs w:val="21"/>
          <w:lang w:eastAsia="zh-CN"/>
        </w:rPr>
        <w:t>。</w:t>
      </w:r>
    </w:p>
    <w:p w:rsidR="00A42430" w:rsidRPr="009722BA" w:rsidRDefault="00A42430" w:rsidP="00FE7C8B">
      <w:pPr>
        <w:pStyle w:val="a3"/>
        <w:numPr>
          <w:ilvl w:val="0"/>
          <w:numId w:val="2"/>
        </w:numPr>
        <w:spacing w:line="240" w:lineRule="auto"/>
        <w:ind w:right="210"/>
        <w:rPr>
          <w:sz w:val="21"/>
          <w:szCs w:val="21"/>
          <w:lang w:eastAsia="zh-CN"/>
        </w:rPr>
      </w:pPr>
      <w:r w:rsidRPr="009722BA">
        <w:rPr>
          <w:rFonts w:hint="eastAsia"/>
          <w:sz w:val="21"/>
          <w:szCs w:val="21"/>
          <w:lang w:eastAsia="zh-CN"/>
        </w:rPr>
        <w:t>考虑工程实际，合理引入创新</w:t>
      </w:r>
    </w:p>
    <w:p w:rsidR="00A42430" w:rsidRPr="009722BA" w:rsidRDefault="00A42430" w:rsidP="00FE7C8B">
      <w:pPr>
        <w:spacing w:line="240" w:lineRule="auto"/>
        <w:ind w:left="142" w:right="210"/>
        <w:rPr>
          <w:sz w:val="21"/>
          <w:szCs w:val="21"/>
          <w:lang w:eastAsia="zh-CN"/>
        </w:rPr>
      </w:pPr>
      <w:r w:rsidRPr="009722BA">
        <w:rPr>
          <w:rFonts w:hint="eastAsia"/>
          <w:sz w:val="21"/>
          <w:szCs w:val="21"/>
          <w:lang w:eastAsia="zh-CN"/>
        </w:rPr>
        <w:t>市政综合体项目作为“零碳”示范</w:t>
      </w:r>
      <w:r w:rsidR="00707C4F" w:rsidRPr="009722BA">
        <w:rPr>
          <w:rFonts w:hint="eastAsia"/>
          <w:sz w:val="21"/>
          <w:szCs w:val="21"/>
          <w:lang w:eastAsia="zh-CN"/>
        </w:rPr>
        <w:t>项目</w:t>
      </w:r>
      <w:r w:rsidRPr="009722BA">
        <w:rPr>
          <w:rFonts w:hint="eastAsia"/>
          <w:sz w:val="21"/>
          <w:szCs w:val="21"/>
          <w:lang w:eastAsia="zh-CN"/>
        </w:rPr>
        <w:t>，需要其引入一些先进技术达到较高</w:t>
      </w:r>
      <w:proofErr w:type="gramStart"/>
      <w:r w:rsidRPr="009722BA">
        <w:rPr>
          <w:rFonts w:hint="eastAsia"/>
          <w:sz w:val="21"/>
          <w:szCs w:val="21"/>
          <w:lang w:eastAsia="zh-CN"/>
        </w:rPr>
        <w:t>的减碳标准</w:t>
      </w:r>
      <w:proofErr w:type="gramEnd"/>
      <w:r w:rsidR="007729B3" w:rsidRPr="009722BA">
        <w:rPr>
          <w:rFonts w:hint="eastAsia"/>
          <w:sz w:val="21"/>
          <w:szCs w:val="21"/>
          <w:lang w:eastAsia="zh-CN"/>
        </w:rPr>
        <w:t>，但该项目的最主要功能依然是服务居民，保证</w:t>
      </w:r>
      <w:r w:rsidR="00707C4F" w:rsidRPr="009722BA">
        <w:rPr>
          <w:rFonts w:hint="eastAsia"/>
          <w:sz w:val="21"/>
          <w:szCs w:val="21"/>
          <w:lang w:eastAsia="zh-CN"/>
        </w:rPr>
        <w:t>各功能区块的正常运行与室内环境舒适性，因此不适宜使用技术层面上过于超前但工程上不易实现或效果不佳的技术。在考虑节能</w:t>
      </w:r>
      <w:proofErr w:type="gramStart"/>
      <w:r w:rsidR="00707C4F" w:rsidRPr="009722BA">
        <w:rPr>
          <w:rFonts w:hint="eastAsia"/>
          <w:sz w:val="21"/>
          <w:szCs w:val="21"/>
          <w:lang w:eastAsia="zh-CN"/>
        </w:rPr>
        <w:t>减碳技术</w:t>
      </w:r>
      <w:proofErr w:type="gramEnd"/>
      <w:r w:rsidR="00707C4F" w:rsidRPr="009722BA">
        <w:rPr>
          <w:rFonts w:hint="eastAsia"/>
          <w:sz w:val="21"/>
          <w:szCs w:val="21"/>
          <w:lang w:eastAsia="zh-CN"/>
        </w:rPr>
        <w:t>时要保证在工程上合理可行的基础上引入新技术，使得项目在满足功能的前提下达到最佳的</w:t>
      </w:r>
      <w:proofErr w:type="gramStart"/>
      <w:r w:rsidR="00707C4F" w:rsidRPr="009722BA">
        <w:rPr>
          <w:rFonts w:hint="eastAsia"/>
          <w:sz w:val="21"/>
          <w:szCs w:val="21"/>
          <w:lang w:eastAsia="zh-CN"/>
        </w:rPr>
        <w:t>节能减碳效果</w:t>
      </w:r>
      <w:proofErr w:type="gramEnd"/>
      <w:r w:rsidR="00707C4F" w:rsidRPr="009722BA">
        <w:rPr>
          <w:rFonts w:hint="eastAsia"/>
          <w:sz w:val="21"/>
          <w:szCs w:val="21"/>
          <w:lang w:eastAsia="zh-CN"/>
        </w:rPr>
        <w:t>。</w:t>
      </w:r>
    </w:p>
    <w:p w:rsidR="00707C4F" w:rsidRPr="009722BA" w:rsidRDefault="00707C4F" w:rsidP="00FE7C8B">
      <w:pPr>
        <w:pStyle w:val="a3"/>
        <w:numPr>
          <w:ilvl w:val="0"/>
          <w:numId w:val="2"/>
        </w:numPr>
        <w:spacing w:line="240" w:lineRule="auto"/>
        <w:ind w:right="210"/>
        <w:rPr>
          <w:sz w:val="21"/>
          <w:szCs w:val="21"/>
          <w:lang w:eastAsia="zh-CN"/>
        </w:rPr>
      </w:pPr>
      <w:r w:rsidRPr="009722BA">
        <w:rPr>
          <w:rFonts w:hint="eastAsia"/>
          <w:sz w:val="21"/>
          <w:szCs w:val="21"/>
          <w:lang w:eastAsia="zh-CN"/>
        </w:rPr>
        <w:t>突出教育作用，引导低碳生活</w:t>
      </w:r>
    </w:p>
    <w:p w:rsidR="00707C4F" w:rsidRPr="009722BA" w:rsidRDefault="00707C4F" w:rsidP="00FE7C8B">
      <w:pPr>
        <w:spacing w:line="240" w:lineRule="auto"/>
        <w:ind w:left="142" w:right="210"/>
        <w:rPr>
          <w:sz w:val="21"/>
          <w:szCs w:val="21"/>
          <w:lang w:eastAsia="zh-CN"/>
        </w:rPr>
      </w:pPr>
      <w:r w:rsidRPr="009722BA">
        <w:rPr>
          <w:rFonts w:hint="eastAsia"/>
          <w:sz w:val="21"/>
          <w:szCs w:val="21"/>
          <w:lang w:eastAsia="zh-CN"/>
        </w:rPr>
        <w:t>作为“零碳”示范项目</w:t>
      </w:r>
      <w:r w:rsidR="002C7DCA" w:rsidRPr="009722BA">
        <w:rPr>
          <w:rFonts w:hint="eastAsia"/>
          <w:sz w:val="21"/>
          <w:szCs w:val="21"/>
          <w:lang w:eastAsia="zh-CN"/>
        </w:rPr>
        <w:t>，需要</w:t>
      </w:r>
      <w:r w:rsidR="00E82FF3">
        <w:rPr>
          <w:rFonts w:hint="eastAsia"/>
          <w:sz w:val="21"/>
          <w:szCs w:val="21"/>
          <w:lang w:eastAsia="zh-CN"/>
        </w:rPr>
        <w:t>起到</w:t>
      </w:r>
      <w:r w:rsidR="002C7DCA" w:rsidRPr="009722BA">
        <w:rPr>
          <w:rFonts w:hint="eastAsia"/>
          <w:sz w:val="21"/>
          <w:szCs w:val="21"/>
          <w:lang w:eastAsia="zh-CN"/>
        </w:rPr>
        <w:t>一定的示范教育作用，即向人们展示建筑低碳建筑并引导人们在日常生活中保持低碳生活习惯。因此在</w:t>
      </w:r>
      <w:proofErr w:type="gramStart"/>
      <w:r w:rsidR="002C7DCA" w:rsidRPr="009722BA">
        <w:rPr>
          <w:rFonts w:hint="eastAsia"/>
          <w:sz w:val="21"/>
          <w:szCs w:val="21"/>
          <w:lang w:eastAsia="zh-CN"/>
        </w:rPr>
        <w:t>设计零碳路径</w:t>
      </w:r>
      <w:proofErr w:type="gramEnd"/>
      <w:r w:rsidR="002C7DCA" w:rsidRPr="009722BA">
        <w:rPr>
          <w:rFonts w:hint="eastAsia"/>
          <w:sz w:val="21"/>
          <w:szCs w:val="21"/>
          <w:lang w:eastAsia="zh-CN"/>
        </w:rPr>
        <w:t>需要加入参观、宣传以及展示</w:t>
      </w:r>
      <w:proofErr w:type="gramStart"/>
      <w:r w:rsidR="002C7DCA" w:rsidRPr="009722BA">
        <w:rPr>
          <w:rFonts w:hint="eastAsia"/>
          <w:sz w:val="21"/>
          <w:szCs w:val="21"/>
          <w:lang w:eastAsia="zh-CN"/>
        </w:rPr>
        <w:t>等减碳效果</w:t>
      </w:r>
      <w:proofErr w:type="gramEnd"/>
      <w:r w:rsidR="002C7DCA" w:rsidRPr="009722BA">
        <w:rPr>
          <w:rFonts w:hint="eastAsia"/>
          <w:sz w:val="21"/>
          <w:szCs w:val="21"/>
          <w:lang w:eastAsia="zh-CN"/>
        </w:rPr>
        <w:t>可视化策略，让参观者直观感受到建筑如何实现低碳运行。并且，在</w:t>
      </w:r>
      <w:proofErr w:type="gramStart"/>
      <w:r w:rsidR="002C7DCA" w:rsidRPr="009722BA">
        <w:rPr>
          <w:rFonts w:hint="eastAsia"/>
          <w:sz w:val="21"/>
          <w:szCs w:val="21"/>
          <w:lang w:eastAsia="zh-CN"/>
        </w:rPr>
        <w:t>考虑降碳策略</w:t>
      </w:r>
      <w:proofErr w:type="gramEnd"/>
      <w:r w:rsidR="002C7DCA" w:rsidRPr="009722BA">
        <w:rPr>
          <w:rFonts w:hint="eastAsia"/>
          <w:sz w:val="21"/>
          <w:szCs w:val="21"/>
          <w:lang w:eastAsia="zh-CN"/>
        </w:rPr>
        <w:t>时要考虑人的活动对建筑生命周期碳排放的效果</w:t>
      </w:r>
      <w:r w:rsidR="0078226F" w:rsidRPr="009722BA">
        <w:rPr>
          <w:rFonts w:hint="eastAsia"/>
          <w:sz w:val="21"/>
          <w:szCs w:val="21"/>
          <w:lang w:eastAsia="zh-CN"/>
        </w:rPr>
        <w:t>，应采取措施规范人们在建筑中的活动进一步降低碳排放。</w:t>
      </w:r>
    </w:p>
    <w:p w:rsidR="00707C4F" w:rsidRPr="009722BA" w:rsidRDefault="0078226F" w:rsidP="00FE7C8B">
      <w:pPr>
        <w:pStyle w:val="a3"/>
        <w:numPr>
          <w:ilvl w:val="0"/>
          <w:numId w:val="1"/>
        </w:numPr>
        <w:spacing w:line="240" w:lineRule="auto"/>
        <w:ind w:right="210"/>
        <w:rPr>
          <w:sz w:val="21"/>
          <w:szCs w:val="21"/>
        </w:rPr>
      </w:pPr>
      <w:proofErr w:type="spellStart"/>
      <w:r w:rsidRPr="009722BA">
        <w:rPr>
          <w:rFonts w:hint="eastAsia"/>
          <w:sz w:val="21"/>
          <w:szCs w:val="21"/>
        </w:rPr>
        <w:t>具体路径</w:t>
      </w:r>
      <w:proofErr w:type="spellEnd"/>
    </w:p>
    <w:p w:rsidR="0078226F" w:rsidRPr="009722BA" w:rsidRDefault="0078226F" w:rsidP="00FE7C8B">
      <w:pPr>
        <w:spacing w:line="240" w:lineRule="auto"/>
        <w:ind w:left="210" w:right="210"/>
        <w:rPr>
          <w:sz w:val="21"/>
          <w:szCs w:val="21"/>
          <w:lang w:eastAsia="zh-CN"/>
        </w:rPr>
      </w:pPr>
      <w:r w:rsidRPr="009722BA">
        <w:rPr>
          <w:rFonts w:hint="eastAsia"/>
          <w:sz w:val="21"/>
          <w:szCs w:val="21"/>
          <w:lang w:eastAsia="zh-CN"/>
        </w:rPr>
        <w:t>由于市政综合体的建筑及结构部分已完成初步设计，因此目前已无法通过更改建筑形体或结构等参数提升其</w:t>
      </w:r>
      <w:proofErr w:type="gramStart"/>
      <w:r w:rsidRPr="009722BA">
        <w:rPr>
          <w:rFonts w:hint="eastAsia"/>
          <w:sz w:val="21"/>
          <w:szCs w:val="21"/>
          <w:lang w:eastAsia="zh-CN"/>
        </w:rPr>
        <w:t>节能减碳效果</w:t>
      </w:r>
      <w:proofErr w:type="gramEnd"/>
      <w:r w:rsidR="00D73C2F" w:rsidRPr="009722BA">
        <w:rPr>
          <w:rFonts w:hint="eastAsia"/>
          <w:sz w:val="21"/>
          <w:szCs w:val="21"/>
          <w:lang w:eastAsia="zh-CN"/>
        </w:rPr>
        <w:t>，基于</w:t>
      </w:r>
      <w:proofErr w:type="gramStart"/>
      <w:r w:rsidR="00D73C2F" w:rsidRPr="009722BA">
        <w:rPr>
          <w:rFonts w:hint="eastAsia"/>
          <w:sz w:val="21"/>
          <w:szCs w:val="21"/>
          <w:lang w:eastAsia="zh-CN"/>
        </w:rPr>
        <w:t>此具体</w:t>
      </w:r>
      <w:proofErr w:type="gramEnd"/>
      <w:r w:rsidR="00D73C2F" w:rsidRPr="009722BA">
        <w:rPr>
          <w:rFonts w:hint="eastAsia"/>
          <w:sz w:val="21"/>
          <w:szCs w:val="21"/>
          <w:lang w:eastAsia="zh-CN"/>
        </w:rPr>
        <w:t>路径中不包括建筑设计时应采取的措施。根据全生命周期评价的标准，被评价对象的环境影响评估以及</w:t>
      </w:r>
      <w:proofErr w:type="gramStart"/>
      <w:r w:rsidR="00D73C2F" w:rsidRPr="009722BA">
        <w:rPr>
          <w:rFonts w:hint="eastAsia"/>
          <w:sz w:val="21"/>
          <w:szCs w:val="21"/>
          <w:lang w:eastAsia="zh-CN"/>
        </w:rPr>
        <w:t>减碳措施</w:t>
      </w:r>
      <w:proofErr w:type="gramEnd"/>
      <w:r w:rsidR="00D73C2F" w:rsidRPr="009722BA">
        <w:rPr>
          <w:rFonts w:hint="eastAsia"/>
          <w:sz w:val="21"/>
          <w:szCs w:val="21"/>
          <w:lang w:eastAsia="zh-CN"/>
        </w:rPr>
        <w:t>的提出应根据清</w:t>
      </w:r>
      <w:r w:rsidR="00D73C2F" w:rsidRPr="009722BA">
        <w:rPr>
          <w:rFonts w:hint="eastAsia"/>
          <w:sz w:val="21"/>
          <w:szCs w:val="21"/>
          <w:lang w:eastAsia="zh-CN"/>
        </w:rPr>
        <w:lastRenderedPageBreak/>
        <w:t>单分析结果进行，因此在制定市政综合体</w:t>
      </w:r>
      <w:proofErr w:type="gramStart"/>
      <w:r w:rsidR="00D73C2F" w:rsidRPr="009722BA">
        <w:rPr>
          <w:rFonts w:hint="eastAsia"/>
          <w:sz w:val="21"/>
          <w:szCs w:val="21"/>
          <w:lang w:eastAsia="zh-CN"/>
        </w:rPr>
        <w:t>的减碳路径</w:t>
      </w:r>
      <w:proofErr w:type="gramEnd"/>
      <w:r w:rsidR="00D73C2F" w:rsidRPr="009722BA">
        <w:rPr>
          <w:rFonts w:hint="eastAsia"/>
          <w:sz w:val="21"/>
          <w:szCs w:val="21"/>
          <w:lang w:eastAsia="zh-CN"/>
        </w:rPr>
        <w:t>时主要根据前文所划分的生命周期阶段有针对性地</w:t>
      </w:r>
      <w:proofErr w:type="gramStart"/>
      <w:r w:rsidR="00D73C2F" w:rsidRPr="009722BA">
        <w:rPr>
          <w:rFonts w:hint="eastAsia"/>
          <w:sz w:val="21"/>
          <w:szCs w:val="21"/>
          <w:lang w:eastAsia="zh-CN"/>
        </w:rPr>
        <w:t>提出减碳路径</w:t>
      </w:r>
      <w:proofErr w:type="gramEnd"/>
      <w:r w:rsidR="00D73C2F" w:rsidRPr="009722BA">
        <w:rPr>
          <w:rFonts w:hint="eastAsia"/>
          <w:sz w:val="21"/>
          <w:szCs w:val="21"/>
          <w:lang w:eastAsia="zh-CN"/>
        </w:rPr>
        <w:t>。</w:t>
      </w:r>
    </w:p>
    <w:p w:rsidR="0078226F" w:rsidRPr="009722BA" w:rsidRDefault="00BF2C65" w:rsidP="00FE7C8B">
      <w:pPr>
        <w:pStyle w:val="a3"/>
        <w:numPr>
          <w:ilvl w:val="1"/>
          <w:numId w:val="1"/>
        </w:numPr>
        <w:spacing w:line="240" w:lineRule="auto"/>
        <w:ind w:right="210"/>
        <w:rPr>
          <w:sz w:val="21"/>
          <w:szCs w:val="21"/>
          <w:lang w:eastAsia="zh-CN"/>
        </w:rPr>
      </w:pPr>
      <w:r w:rsidRPr="009722BA">
        <w:rPr>
          <w:rFonts w:hint="eastAsia"/>
          <w:sz w:val="21"/>
          <w:szCs w:val="21"/>
          <w:lang w:eastAsia="zh-CN"/>
        </w:rPr>
        <w:t>建筑材料生产及施工建造</w:t>
      </w:r>
      <w:proofErr w:type="gramStart"/>
      <w:r w:rsidRPr="009722BA">
        <w:rPr>
          <w:rFonts w:hint="eastAsia"/>
          <w:sz w:val="21"/>
          <w:szCs w:val="21"/>
          <w:lang w:eastAsia="zh-CN"/>
        </w:rPr>
        <w:t>阶段减碳路径</w:t>
      </w:r>
      <w:proofErr w:type="gramEnd"/>
    </w:p>
    <w:p w:rsidR="006C6F1D" w:rsidRPr="009722BA" w:rsidRDefault="006C6F1D" w:rsidP="00FE7C8B">
      <w:pPr>
        <w:pStyle w:val="a3"/>
        <w:spacing w:line="240" w:lineRule="auto"/>
        <w:ind w:left="570" w:right="210"/>
        <w:rPr>
          <w:sz w:val="21"/>
          <w:szCs w:val="21"/>
          <w:lang w:eastAsia="zh-CN"/>
        </w:rPr>
      </w:pPr>
      <w:r w:rsidRPr="009722BA">
        <w:rPr>
          <w:rFonts w:hint="eastAsia"/>
          <w:sz w:val="21"/>
          <w:szCs w:val="21"/>
          <w:lang w:eastAsia="zh-CN"/>
        </w:rPr>
        <w:t>考虑到建筑材料的数量与使用与建造阶段碳排放息息相关，因此将建筑材料生产与施工建造阶段合并讨论。</w:t>
      </w:r>
    </w:p>
    <w:p w:rsidR="00BF2C65" w:rsidRPr="009722BA" w:rsidRDefault="00BF2C65" w:rsidP="00FE7C8B">
      <w:pPr>
        <w:pStyle w:val="a3"/>
        <w:numPr>
          <w:ilvl w:val="2"/>
          <w:numId w:val="1"/>
        </w:numPr>
        <w:spacing w:line="240" w:lineRule="auto"/>
        <w:ind w:right="210"/>
        <w:rPr>
          <w:sz w:val="21"/>
          <w:szCs w:val="21"/>
        </w:rPr>
      </w:pPr>
      <w:proofErr w:type="spellStart"/>
      <w:r w:rsidRPr="009722BA">
        <w:rPr>
          <w:rFonts w:hint="eastAsia"/>
          <w:sz w:val="21"/>
          <w:szCs w:val="21"/>
        </w:rPr>
        <w:t>采用可回收建筑材料</w:t>
      </w:r>
      <w:proofErr w:type="spellEnd"/>
    </w:p>
    <w:p w:rsidR="00BF2C65" w:rsidRPr="009722BA" w:rsidRDefault="00BF2C65" w:rsidP="00FE7C8B">
      <w:pPr>
        <w:spacing w:line="240" w:lineRule="auto"/>
        <w:ind w:left="210" w:right="210"/>
        <w:rPr>
          <w:sz w:val="21"/>
          <w:szCs w:val="21"/>
          <w:lang w:eastAsia="zh-CN"/>
        </w:rPr>
      </w:pPr>
      <w:r w:rsidRPr="009722BA">
        <w:rPr>
          <w:rFonts w:hint="eastAsia"/>
          <w:sz w:val="21"/>
          <w:szCs w:val="21"/>
          <w:lang w:eastAsia="zh-CN"/>
        </w:rPr>
        <w:t>对于混凝土框架结构的大型综合体建筑，常用的建筑材料有钢材、混凝土、水泥砂浆、砌块、黏土砖、木材等。其中钢材等金属材料已有成熟的再利用技术</w:t>
      </w:r>
      <w:r w:rsidR="00285ED2" w:rsidRPr="009722BA">
        <w:rPr>
          <w:rFonts w:hint="eastAsia"/>
          <w:sz w:val="21"/>
          <w:szCs w:val="21"/>
          <w:lang w:eastAsia="zh-CN"/>
        </w:rPr>
        <w:t>，</w:t>
      </w:r>
      <w:r w:rsidR="00AC7418">
        <w:rPr>
          <w:rFonts w:hint="eastAsia"/>
          <w:sz w:val="21"/>
          <w:szCs w:val="21"/>
          <w:lang w:eastAsia="zh-CN"/>
        </w:rPr>
        <w:t>而随着天然砂石等原材料的枯竭以及“双碳”思想下的行业升级，混凝土等非传统可回收材料亦在向可回收方向发展。</w:t>
      </w:r>
      <w:r w:rsidR="00285ED2" w:rsidRPr="009722BA">
        <w:rPr>
          <w:rFonts w:hint="eastAsia"/>
          <w:sz w:val="21"/>
          <w:szCs w:val="21"/>
          <w:lang w:eastAsia="zh-CN"/>
        </w:rPr>
        <w:t>利用回收材料生产的建材避免了部分原料开采以及</w:t>
      </w:r>
      <w:r w:rsidR="00591D83">
        <w:rPr>
          <w:rFonts w:hint="eastAsia"/>
          <w:sz w:val="21"/>
          <w:szCs w:val="21"/>
          <w:lang w:eastAsia="zh-CN"/>
        </w:rPr>
        <w:t>生产</w:t>
      </w:r>
      <w:r w:rsidR="00285ED2" w:rsidRPr="009722BA">
        <w:rPr>
          <w:rFonts w:hint="eastAsia"/>
          <w:sz w:val="21"/>
          <w:szCs w:val="21"/>
          <w:lang w:eastAsia="zh-CN"/>
        </w:rPr>
        <w:t>部分的碳排放，可以有效降低材料的碳排放因子从而</w:t>
      </w:r>
      <w:proofErr w:type="gramStart"/>
      <w:r w:rsidR="00285ED2" w:rsidRPr="009722BA">
        <w:rPr>
          <w:rFonts w:hint="eastAsia"/>
          <w:sz w:val="21"/>
          <w:szCs w:val="21"/>
          <w:lang w:eastAsia="zh-CN"/>
        </w:rPr>
        <w:t>实现碳减排</w:t>
      </w:r>
      <w:proofErr w:type="gramEnd"/>
      <w:r w:rsidR="00285ED2" w:rsidRPr="009722BA">
        <w:rPr>
          <w:rFonts w:hint="eastAsia"/>
          <w:sz w:val="21"/>
          <w:szCs w:val="21"/>
          <w:lang w:eastAsia="zh-CN"/>
        </w:rPr>
        <w:t>。</w:t>
      </w:r>
    </w:p>
    <w:p w:rsidR="00285ED2" w:rsidRPr="009722BA" w:rsidRDefault="00285ED2" w:rsidP="00FE7C8B">
      <w:pPr>
        <w:spacing w:line="240" w:lineRule="auto"/>
        <w:ind w:left="210" w:right="210"/>
        <w:rPr>
          <w:sz w:val="21"/>
          <w:szCs w:val="21"/>
          <w:lang w:eastAsia="zh-CN"/>
        </w:rPr>
      </w:pPr>
      <w:r w:rsidRPr="009722BA">
        <w:rPr>
          <w:rFonts w:hint="eastAsia"/>
          <w:sz w:val="21"/>
          <w:szCs w:val="21"/>
          <w:lang w:eastAsia="zh-CN"/>
        </w:rPr>
        <w:t>根据</w:t>
      </w:r>
      <w:r w:rsidR="00062C54" w:rsidRPr="009722BA">
        <w:rPr>
          <w:rFonts w:hint="eastAsia"/>
          <w:sz w:val="21"/>
          <w:szCs w:val="21"/>
          <w:lang w:eastAsia="zh-CN"/>
        </w:rPr>
        <w:t>赵平</w:t>
      </w:r>
      <w:r w:rsidR="00062C54" w:rsidRPr="009722BA">
        <w:rPr>
          <w:rFonts w:hint="eastAsia"/>
          <w:sz w:val="21"/>
          <w:szCs w:val="21"/>
          <w:lang w:eastAsia="zh-CN"/>
        </w:rPr>
        <w:t>[</w:t>
      </w:r>
      <w:r w:rsidR="005A4E4C" w:rsidRPr="009722BA">
        <w:rPr>
          <w:rFonts w:hint="eastAsia"/>
          <w:sz w:val="21"/>
          <w:szCs w:val="21"/>
          <w:lang w:eastAsia="zh-CN"/>
        </w:rPr>
        <w:t>1</w:t>
      </w:r>
      <w:r w:rsidR="00062C54" w:rsidRPr="009722BA">
        <w:rPr>
          <w:rFonts w:hint="eastAsia"/>
          <w:sz w:val="21"/>
          <w:szCs w:val="21"/>
          <w:lang w:eastAsia="zh-CN"/>
        </w:rPr>
        <w:t>]</w:t>
      </w:r>
      <w:r w:rsidR="00062C54" w:rsidRPr="009722BA">
        <w:rPr>
          <w:rFonts w:hint="eastAsia"/>
          <w:sz w:val="21"/>
          <w:szCs w:val="21"/>
          <w:lang w:eastAsia="zh-CN"/>
        </w:rPr>
        <w:t>等人的研究</w:t>
      </w:r>
      <w:r w:rsidR="00AB28E2" w:rsidRPr="009722BA">
        <w:rPr>
          <w:rFonts w:hint="eastAsia"/>
          <w:sz w:val="21"/>
          <w:szCs w:val="21"/>
          <w:lang w:eastAsia="zh-CN"/>
        </w:rPr>
        <w:t>，</w:t>
      </w:r>
      <w:r w:rsidR="00062C54" w:rsidRPr="009722BA">
        <w:rPr>
          <w:rFonts w:hint="eastAsia"/>
          <w:sz w:val="21"/>
          <w:szCs w:val="21"/>
          <w:lang w:eastAsia="zh-CN"/>
        </w:rPr>
        <w:t>我国的回收钢材再利用的能耗为原始钢材的</w:t>
      </w:r>
      <w:r w:rsidR="00062C54" w:rsidRPr="009722BA">
        <w:rPr>
          <w:rFonts w:hint="eastAsia"/>
          <w:sz w:val="21"/>
          <w:szCs w:val="21"/>
          <w:lang w:eastAsia="zh-CN"/>
        </w:rPr>
        <w:t>20%-50%</w:t>
      </w:r>
      <w:r w:rsidR="00062C54" w:rsidRPr="009722BA">
        <w:rPr>
          <w:rFonts w:hint="eastAsia"/>
          <w:sz w:val="21"/>
          <w:szCs w:val="21"/>
          <w:lang w:eastAsia="zh-CN"/>
        </w:rPr>
        <w:t>，又考虑到建筑拆除后并非所有钢材都可实现回收，按照文献，</w:t>
      </w:r>
      <w:r w:rsidR="00283EBB" w:rsidRPr="009722BA">
        <w:rPr>
          <w:rFonts w:hint="eastAsia"/>
          <w:sz w:val="21"/>
          <w:szCs w:val="21"/>
          <w:lang w:eastAsia="zh-CN"/>
        </w:rPr>
        <w:t>大型钢材回收率约为</w:t>
      </w:r>
      <w:r w:rsidR="00062C54" w:rsidRPr="009722BA">
        <w:rPr>
          <w:rFonts w:hint="eastAsia"/>
          <w:sz w:val="21"/>
          <w:szCs w:val="21"/>
          <w:lang w:eastAsia="zh-CN"/>
        </w:rPr>
        <w:t>80%</w:t>
      </w:r>
      <w:r w:rsidR="00283EBB" w:rsidRPr="009722BA">
        <w:rPr>
          <w:rFonts w:hint="eastAsia"/>
          <w:sz w:val="21"/>
          <w:szCs w:val="21"/>
          <w:lang w:eastAsia="zh-CN"/>
        </w:rPr>
        <w:t>，钢筋的回收率约为</w:t>
      </w:r>
      <w:r w:rsidR="00283EBB" w:rsidRPr="009722BA">
        <w:rPr>
          <w:rFonts w:hint="eastAsia"/>
          <w:sz w:val="21"/>
          <w:szCs w:val="21"/>
          <w:lang w:eastAsia="zh-CN"/>
        </w:rPr>
        <w:t>50%</w:t>
      </w:r>
      <w:r w:rsidR="00591D83" w:rsidRPr="009722BA">
        <w:rPr>
          <w:rFonts w:hint="eastAsia"/>
          <w:sz w:val="21"/>
          <w:szCs w:val="21"/>
          <w:lang w:eastAsia="zh-CN"/>
        </w:rPr>
        <w:t>[2]</w:t>
      </w:r>
      <w:r w:rsidR="00062C54" w:rsidRPr="009722BA">
        <w:rPr>
          <w:rFonts w:hint="eastAsia"/>
          <w:sz w:val="21"/>
          <w:szCs w:val="21"/>
          <w:lang w:eastAsia="zh-CN"/>
        </w:rPr>
        <w:t>。</w:t>
      </w:r>
      <w:r w:rsidR="00591D83" w:rsidRPr="009722BA">
        <w:rPr>
          <w:rFonts w:hint="eastAsia"/>
          <w:sz w:val="21"/>
          <w:szCs w:val="21"/>
          <w:lang w:eastAsia="zh-CN"/>
        </w:rPr>
        <w:t>因此，回收钢材生产的钢制品的碳排放因子可根据回收率对原始钢材碳排放因子与回收钢材再利用的碳排放因子进行加权后得到</w:t>
      </w:r>
      <w:r w:rsidR="00591D83">
        <w:rPr>
          <w:rFonts w:hint="eastAsia"/>
          <w:sz w:val="21"/>
          <w:szCs w:val="21"/>
          <w:lang w:eastAsia="zh-CN"/>
        </w:rPr>
        <w:t>。</w:t>
      </w:r>
      <w:r w:rsidR="00AC7418">
        <w:rPr>
          <w:rFonts w:hint="eastAsia"/>
          <w:sz w:val="21"/>
          <w:szCs w:val="21"/>
          <w:lang w:eastAsia="zh-CN"/>
        </w:rPr>
        <w:t>而对于可再生混凝土，其骨料可采用</w:t>
      </w:r>
      <w:r w:rsidR="00591D83">
        <w:rPr>
          <w:rFonts w:hint="eastAsia"/>
          <w:sz w:val="21"/>
          <w:szCs w:val="21"/>
          <w:lang w:eastAsia="zh-CN"/>
        </w:rPr>
        <w:t>建筑废料、纤维等材料部分代替原有的砂石骨料，减少运输及砂石加工过程中的能耗，并实现材料的部分复用，</w:t>
      </w:r>
      <w:proofErr w:type="gramStart"/>
      <w:r w:rsidR="00591D83">
        <w:rPr>
          <w:rFonts w:hint="eastAsia"/>
          <w:sz w:val="21"/>
          <w:szCs w:val="21"/>
          <w:lang w:eastAsia="zh-CN"/>
        </w:rPr>
        <w:t>实现碳减排</w:t>
      </w:r>
      <w:proofErr w:type="gramEnd"/>
      <w:r w:rsidR="00591D83">
        <w:rPr>
          <w:rFonts w:hint="eastAsia"/>
          <w:sz w:val="21"/>
          <w:szCs w:val="21"/>
          <w:lang w:eastAsia="zh-CN"/>
        </w:rPr>
        <w:t>，高唱</w:t>
      </w:r>
      <w:r w:rsidR="00591D83">
        <w:rPr>
          <w:rFonts w:hint="eastAsia"/>
          <w:sz w:val="21"/>
          <w:szCs w:val="21"/>
          <w:lang w:eastAsia="zh-CN"/>
        </w:rPr>
        <w:t>[]</w:t>
      </w:r>
      <w:r w:rsidR="00591D83">
        <w:rPr>
          <w:rFonts w:hint="eastAsia"/>
          <w:sz w:val="21"/>
          <w:szCs w:val="21"/>
          <w:lang w:eastAsia="zh-CN"/>
        </w:rPr>
        <w:t>对可再生混凝土全生命周期环境影响进行了评价，并给出可再生混凝土碳排放因子的下限值。可回收钢材与可再生混凝土的碳排放因子</w:t>
      </w:r>
      <w:r w:rsidR="00AB28E2" w:rsidRPr="009722BA">
        <w:rPr>
          <w:rFonts w:hint="eastAsia"/>
          <w:sz w:val="21"/>
          <w:szCs w:val="21"/>
          <w:lang w:eastAsia="zh-CN"/>
        </w:rPr>
        <w:t>见表</w:t>
      </w:r>
      <w:r w:rsidR="00AB28E2" w:rsidRPr="009722BA">
        <w:rPr>
          <w:rFonts w:hint="eastAsia"/>
          <w:sz w:val="21"/>
          <w:szCs w:val="21"/>
          <w:lang w:eastAsia="zh-CN"/>
        </w:rPr>
        <w:t>x</w:t>
      </w:r>
      <w:r w:rsidR="00AB28E2" w:rsidRPr="009722BA">
        <w:rPr>
          <w:rFonts w:hint="eastAsia"/>
          <w:sz w:val="21"/>
          <w:szCs w:val="21"/>
          <w:lang w:eastAsia="zh-CN"/>
        </w:rPr>
        <w:t>。</w:t>
      </w:r>
    </w:p>
    <w:p w:rsidR="00283EBB" w:rsidRPr="009722BA" w:rsidRDefault="00283EBB" w:rsidP="006C6F1D">
      <w:pPr>
        <w:spacing w:line="240" w:lineRule="auto"/>
        <w:ind w:right="210"/>
        <w:rPr>
          <w:sz w:val="21"/>
          <w:szCs w:val="21"/>
          <w:lang w:eastAsia="zh-CN"/>
        </w:rPr>
      </w:pPr>
    </w:p>
    <w:p w:rsidR="00283EBB" w:rsidRPr="009722BA" w:rsidRDefault="00283EBB" w:rsidP="00283EBB">
      <w:pPr>
        <w:spacing w:line="240" w:lineRule="auto"/>
        <w:ind w:left="210"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回收钢材碳排放因子</w:t>
      </w:r>
    </w:p>
    <w:tbl>
      <w:tblPr>
        <w:tblStyle w:val="a6"/>
        <w:tblW w:w="0" w:type="auto"/>
        <w:tblInd w:w="21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1679"/>
        <w:gridCol w:w="1421"/>
        <w:gridCol w:w="1650"/>
        <w:gridCol w:w="1804"/>
        <w:gridCol w:w="1758"/>
      </w:tblGrid>
      <w:tr w:rsidR="00591D83" w:rsidRPr="009722BA" w:rsidTr="00591D83">
        <w:tc>
          <w:tcPr>
            <w:tcW w:w="1679" w:type="dxa"/>
            <w:tcBorders>
              <w:top w:val="single" w:sz="12" w:space="0" w:color="auto"/>
              <w:bottom w:val="single" w:sz="4" w:space="0" w:color="auto"/>
            </w:tcBorders>
          </w:tcPr>
          <w:p w:rsidR="00591D83" w:rsidRPr="009722BA" w:rsidRDefault="00591D83"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建材类型</w:t>
            </w:r>
            <w:proofErr w:type="spellEnd"/>
          </w:p>
        </w:tc>
        <w:tc>
          <w:tcPr>
            <w:tcW w:w="1421" w:type="dxa"/>
            <w:tcBorders>
              <w:top w:val="single" w:sz="12" w:space="0" w:color="auto"/>
              <w:bottom w:val="single" w:sz="4" w:space="0" w:color="auto"/>
            </w:tcBorders>
          </w:tcPr>
          <w:p w:rsidR="00591D83" w:rsidRDefault="00591D83" w:rsidP="00283EBB">
            <w:pPr>
              <w:ind w:right="210"/>
              <w:jc w:val="center"/>
              <w:rPr>
                <w:rFonts w:ascii="Times New Roman" w:cs="Times New Roman"/>
                <w:sz w:val="21"/>
                <w:szCs w:val="21"/>
              </w:rPr>
            </w:pPr>
            <w:proofErr w:type="spellStart"/>
            <w:r>
              <w:rPr>
                <w:rFonts w:ascii="Times New Roman" w:cs="Times New Roman"/>
                <w:sz w:val="21"/>
                <w:szCs w:val="21"/>
              </w:rPr>
              <w:t>单位</w:t>
            </w:r>
            <w:proofErr w:type="spellEnd"/>
          </w:p>
        </w:tc>
        <w:tc>
          <w:tcPr>
            <w:tcW w:w="1650" w:type="dxa"/>
            <w:tcBorders>
              <w:top w:val="single" w:sz="12" w:space="0" w:color="auto"/>
              <w:bottom w:val="single" w:sz="4" w:space="0" w:color="auto"/>
            </w:tcBorders>
          </w:tcPr>
          <w:p w:rsidR="00591D83" w:rsidRPr="009722BA" w:rsidRDefault="00591D83" w:rsidP="00283EBB">
            <w:pPr>
              <w:ind w:right="210"/>
              <w:jc w:val="center"/>
              <w:rPr>
                <w:rFonts w:ascii="Times New Roman" w:cs="Times New Roman"/>
                <w:sz w:val="21"/>
                <w:szCs w:val="21"/>
                <w:lang w:eastAsia="zh-CN"/>
              </w:rPr>
            </w:pPr>
            <w:proofErr w:type="spellStart"/>
            <w:r>
              <w:rPr>
                <w:rFonts w:ascii="Times New Roman" w:cs="Times New Roman"/>
                <w:sz w:val="21"/>
                <w:szCs w:val="21"/>
              </w:rPr>
              <w:t>原生材料碳排放因子</w:t>
            </w:r>
            <w:proofErr w:type="spellEnd"/>
            <w:r>
              <w:rPr>
                <w:rFonts w:ascii="Times New Roman" w:cs="Times New Roman" w:hint="eastAsia"/>
                <w:sz w:val="21"/>
                <w:szCs w:val="21"/>
                <w:lang w:eastAsia="zh-CN"/>
              </w:rPr>
              <w:t>(tCO</w:t>
            </w:r>
            <w:r w:rsidRPr="0027670E">
              <w:rPr>
                <w:rFonts w:ascii="Times New Roman" w:cs="Times New Roman" w:hint="eastAsia"/>
                <w:sz w:val="21"/>
                <w:szCs w:val="21"/>
                <w:vertAlign w:val="subscript"/>
                <w:lang w:eastAsia="zh-CN"/>
              </w:rPr>
              <w:t>2</w:t>
            </w:r>
            <w:r>
              <w:rPr>
                <w:rFonts w:ascii="Times New Roman" w:cs="Times New Roman" w:hint="eastAsia"/>
                <w:sz w:val="21"/>
                <w:szCs w:val="21"/>
                <w:lang w:eastAsia="zh-CN"/>
              </w:rPr>
              <w:t>/</w:t>
            </w:r>
            <w:r>
              <w:rPr>
                <w:rFonts w:ascii="Times New Roman" w:cs="Times New Roman" w:hint="eastAsia"/>
                <w:sz w:val="21"/>
                <w:szCs w:val="21"/>
                <w:lang w:eastAsia="zh-CN"/>
              </w:rPr>
              <w:t>单位</w:t>
            </w:r>
            <w:r>
              <w:rPr>
                <w:rFonts w:ascii="Times New Roman" w:cs="Times New Roman" w:hint="eastAsia"/>
                <w:sz w:val="21"/>
                <w:szCs w:val="21"/>
                <w:lang w:eastAsia="zh-CN"/>
              </w:rPr>
              <w:t>)</w:t>
            </w:r>
          </w:p>
        </w:tc>
        <w:tc>
          <w:tcPr>
            <w:tcW w:w="1804" w:type="dxa"/>
            <w:tcBorders>
              <w:top w:val="single" w:sz="12" w:space="0" w:color="auto"/>
              <w:bottom w:val="single" w:sz="4" w:space="0" w:color="auto"/>
            </w:tcBorders>
          </w:tcPr>
          <w:p w:rsidR="00591D83" w:rsidRPr="009722BA" w:rsidRDefault="00591D83" w:rsidP="00283EBB">
            <w:pPr>
              <w:ind w:right="210"/>
              <w:jc w:val="center"/>
              <w:rPr>
                <w:rFonts w:ascii="Times New Roman" w:hAnsi="Times New Roman" w:cs="Times New Roman"/>
                <w:sz w:val="21"/>
                <w:szCs w:val="21"/>
              </w:rPr>
            </w:pPr>
            <w:proofErr w:type="spellStart"/>
            <w:r w:rsidRPr="009722BA">
              <w:rPr>
                <w:rFonts w:ascii="Times New Roman" w:cs="Times New Roman"/>
                <w:sz w:val="21"/>
                <w:szCs w:val="21"/>
              </w:rPr>
              <w:t>回收</w:t>
            </w:r>
            <w:proofErr w:type="spellEnd"/>
            <w:r>
              <w:rPr>
                <w:rFonts w:ascii="Times New Roman" w:cs="Times New Roman" w:hint="eastAsia"/>
                <w:sz w:val="21"/>
                <w:szCs w:val="21"/>
                <w:lang w:eastAsia="zh-CN"/>
              </w:rPr>
              <w:t>材料</w:t>
            </w:r>
            <w:proofErr w:type="spellStart"/>
            <w:r w:rsidRPr="009722BA">
              <w:rPr>
                <w:rFonts w:ascii="Times New Roman" w:cs="Times New Roman"/>
                <w:sz w:val="21"/>
                <w:szCs w:val="21"/>
              </w:rPr>
              <w:t>碳排放因子</w:t>
            </w:r>
            <w:proofErr w:type="spellEnd"/>
            <w:r>
              <w:rPr>
                <w:rFonts w:ascii="Times New Roman" w:cs="Times New Roman" w:hint="eastAsia"/>
                <w:sz w:val="21"/>
                <w:szCs w:val="21"/>
                <w:lang w:eastAsia="zh-CN"/>
              </w:rPr>
              <w:t>(tCO</w:t>
            </w:r>
            <w:r w:rsidRPr="0027670E">
              <w:rPr>
                <w:rFonts w:ascii="Times New Roman" w:cs="Times New Roman" w:hint="eastAsia"/>
                <w:sz w:val="21"/>
                <w:szCs w:val="21"/>
                <w:vertAlign w:val="subscript"/>
                <w:lang w:eastAsia="zh-CN"/>
              </w:rPr>
              <w:t>2</w:t>
            </w:r>
            <w:r>
              <w:rPr>
                <w:rFonts w:ascii="Times New Roman" w:cs="Times New Roman" w:hint="eastAsia"/>
                <w:sz w:val="21"/>
                <w:szCs w:val="21"/>
                <w:lang w:eastAsia="zh-CN"/>
              </w:rPr>
              <w:t>/</w:t>
            </w:r>
            <w:r>
              <w:rPr>
                <w:rFonts w:ascii="Times New Roman" w:cs="Times New Roman" w:hint="eastAsia"/>
                <w:sz w:val="21"/>
                <w:szCs w:val="21"/>
                <w:lang w:eastAsia="zh-CN"/>
              </w:rPr>
              <w:t>单位</w:t>
            </w:r>
            <w:r>
              <w:rPr>
                <w:rFonts w:ascii="Times New Roman" w:cs="Times New Roman" w:hint="eastAsia"/>
                <w:sz w:val="21"/>
                <w:szCs w:val="21"/>
                <w:lang w:eastAsia="zh-CN"/>
              </w:rPr>
              <w:t>)</w:t>
            </w:r>
          </w:p>
        </w:tc>
        <w:tc>
          <w:tcPr>
            <w:tcW w:w="1758" w:type="dxa"/>
            <w:tcBorders>
              <w:top w:val="single" w:sz="12" w:space="0" w:color="auto"/>
              <w:bottom w:val="single" w:sz="4" w:space="0" w:color="auto"/>
            </w:tcBorders>
          </w:tcPr>
          <w:p w:rsidR="00591D83" w:rsidRPr="009722BA" w:rsidRDefault="00591D83" w:rsidP="00283EBB">
            <w:pPr>
              <w:ind w:right="210"/>
              <w:jc w:val="center"/>
              <w:rPr>
                <w:rFonts w:ascii="Times New Roman" w:hAnsi="Times New Roman" w:cs="Times New Roman"/>
                <w:sz w:val="21"/>
                <w:szCs w:val="21"/>
              </w:rPr>
            </w:pPr>
            <w:r w:rsidRPr="009722BA">
              <w:rPr>
                <w:rFonts w:ascii="Times New Roman" w:cs="Times New Roman"/>
                <w:sz w:val="21"/>
                <w:szCs w:val="21"/>
              </w:rPr>
              <w:t>碳排放因子降低比例</w:t>
            </w:r>
          </w:p>
        </w:tc>
      </w:tr>
      <w:tr w:rsidR="002E7819" w:rsidRPr="009722BA" w:rsidTr="00721D42">
        <w:tc>
          <w:tcPr>
            <w:tcW w:w="1679" w:type="dxa"/>
            <w:tcBorders>
              <w:top w:val="single" w:sz="4" w:space="0" w:color="auto"/>
              <w:bottom w:val="nil"/>
            </w:tcBorders>
          </w:tcPr>
          <w:p w:rsidR="002E7819" w:rsidRPr="00591D83" w:rsidRDefault="002E7819" w:rsidP="00591D83">
            <w:pPr>
              <w:ind w:right="210"/>
              <w:jc w:val="center"/>
              <w:rPr>
                <w:rFonts w:ascii="Times New Roman" w:hAnsi="Times New Roman" w:cs="Times New Roman"/>
                <w:sz w:val="21"/>
                <w:szCs w:val="21"/>
              </w:rPr>
            </w:pPr>
            <w:proofErr w:type="spellStart"/>
            <w:r w:rsidRPr="00591D83">
              <w:rPr>
                <w:rFonts w:ascii="Times New Roman" w:hAnsi="Times New Roman" w:cs="Times New Roman"/>
                <w:sz w:val="21"/>
                <w:szCs w:val="21"/>
              </w:rPr>
              <w:t>大型钢材</w:t>
            </w:r>
            <w:proofErr w:type="spellEnd"/>
          </w:p>
        </w:tc>
        <w:tc>
          <w:tcPr>
            <w:tcW w:w="1421" w:type="dxa"/>
            <w:tcBorders>
              <w:top w:val="single" w:sz="4" w:space="0" w:color="auto"/>
              <w:bottom w:val="nil"/>
            </w:tcBorders>
          </w:tcPr>
          <w:p w:rsidR="002E7819" w:rsidRPr="00591D83" w:rsidRDefault="002E7819" w:rsidP="00591D83">
            <w:pPr>
              <w:jc w:val="center"/>
              <w:rPr>
                <w:rFonts w:ascii="Times New Roman" w:hAnsi="Times New Roman" w:cs="Times New Roman"/>
                <w:color w:val="000000"/>
              </w:rPr>
            </w:pPr>
            <w:r>
              <w:rPr>
                <w:rFonts w:ascii="Times New Roman" w:hAnsi="Times New Roman" w:cs="Times New Roman"/>
                <w:color w:val="000000"/>
              </w:rPr>
              <w:t>t</w:t>
            </w:r>
          </w:p>
        </w:tc>
        <w:tc>
          <w:tcPr>
            <w:tcW w:w="1650" w:type="dxa"/>
            <w:tcBorders>
              <w:top w:val="single" w:sz="4" w:space="0" w:color="auto"/>
              <w:bottom w:val="nil"/>
            </w:tcBorders>
          </w:tcPr>
          <w:p w:rsidR="002E7819" w:rsidRPr="00591D83" w:rsidRDefault="002E7819" w:rsidP="00591D83">
            <w:pPr>
              <w:jc w:val="center"/>
              <w:rPr>
                <w:rFonts w:ascii="Times New Roman" w:eastAsia="宋体" w:hAnsi="Times New Roman" w:cs="Times New Roman"/>
                <w:color w:val="000000"/>
                <w:lang w:eastAsia="zh-CN"/>
              </w:rPr>
            </w:pPr>
            <w:r w:rsidRPr="00591D83">
              <w:rPr>
                <w:rFonts w:ascii="Times New Roman" w:hAnsi="Times New Roman" w:cs="Times New Roman"/>
                <w:color w:val="000000"/>
              </w:rPr>
              <w:t>2.365</w:t>
            </w:r>
          </w:p>
        </w:tc>
        <w:tc>
          <w:tcPr>
            <w:tcW w:w="1804" w:type="dxa"/>
            <w:tcBorders>
              <w:top w:val="single" w:sz="4" w:space="0" w:color="auto"/>
              <w:bottom w:val="nil"/>
            </w:tcBorders>
          </w:tcPr>
          <w:p w:rsidR="002E7819" w:rsidRPr="00591D83" w:rsidRDefault="002E7819" w:rsidP="00591D83">
            <w:pPr>
              <w:ind w:right="210"/>
              <w:jc w:val="center"/>
              <w:rPr>
                <w:rFonts w:ascii="Times New Roman" w:hAnsi="Times New Roman" w:cs="Times New Roman"/>
                <w:sz w:val="21"/>
                <w:szCs w:val="21"/>
              </w:rPr>
            </w:pPr>
            <w:r w:rsidRPr="00591D83">
              <w:rPr>
                <w:rFonts w:ascii="Times New Roman" w:hAnsi="Times New Roman" w:cs="Times New Roman"/>
                <w:sz w:val="21"/>
                <w:szCs w:val="21"/>
              </w:rPr>
              <w:t>1.081</w:t>
            </w:r>
          </w:p>
        </w:tc>
        <w:tc>
          <w:tcPr>
            <w:tcW w:w="1758" w:type="dxa"/>
            <w:tcBorders>
              <w:top w:val="single" w:sz="4" w:space="0" w:color="auto"/>
              <w:bottom w:val="nil"/>
            </w:tcBorders>
            <w:vAlign w:val="center"/>
          </w:tcPr>
          <w:p w:rsidR="002E7819" w:rsidRPr="002E7819" w:rsidRDefault="002E7819" w:rsidP="002E7819">
            <w:pPr>
              <w:jc w:val="center"/>
              <w:rPr>
                <w:rFonts w:ascii="Times New Roman" w:eastAsia="宋体" w:hAnsi="Times New Roman" w:cs="Times New Roman"/>
                <w:color w:val="000000"/>
              </w:rPr>
            </w:pPr>
            <w:r w:rsidRPr="002E7819">
              <w:rPr>
                <w:rFonts w:ascii="Times New Roman" w:hAnsi="Times New Roman" w:cs="Times New Roman"/>
                <w:color w:val="000000"/>
              </w:rPr>
              <w:t>54.29%</w:t>
            </w:r>
          </w:p>
        </w:tc>
      </w:tr>
      <w:tr w:rsidR="002E7819" w:rsidRPr="009722BA" w:rsidTr="00721D42">
        <w:tblPrEx>
          <w:tblBorders>
            <w:top w:val="none" w:sz="0" w:space="0" w:color="auto"/>
            <w:bottom w:val="none" w:sz="0" w:space="0" w:color="auto"/>
          </w:tblBorders>
        </w:tblPrEx>
        <w:tc>
          <w:tcPr>
            <w:tcW w:w="1679" w:type="dxa"/>
          </w:tcPr>
          <w:p w:rsidR="002E7819" w:rsidRPr="00591D83" w:rsidRDefault="002E7819" w:rsidP="00591D83">
            <w:pPr>
              <w:ind w:right="210"/>
              <w:jc w:val="center"/>
              <w:rPr>
                <w:rFonts w:ascii="Times New Roman" w:hAnsi="Times New Roman" w:cs="Times New Roman"/>
                <w:sz w:val="21"/>
                <w:szCs w:val="21"/>
              </w:rPr>
            </w:pPr>
            <w:proofErr w:type="spellStart"/>
            <w:r w:rsidRPr="00591D83">
              <w:rPr>
                <w:rFonts w:ascii="Times New Roman" w:hAnsi="Times New Roman" w:cs="Times New Roman"/>
                <w:sz w:val="21"/>
                <w:szCs w:val="21"/>
              </w:rPr>
              <w:t>小型钢材</w:t>
            </w:r>
            <w:proofErr w:type="spellEnd"/>
          </w:p>
        </w:tc>
        <w:tc>
          <w:tcPr>
            <w:tcW w:w="1421" w:type="dxa"/>
          </w:tcPr>
          <w:p w:rsidR="002E7819" w:rsidRPr="00591D83" w:rsidRDefault="002E7819" w:rsidP="00591D83">
            <w:pPr>
              <w:jc w:val="center"/>
              <w:rPr>
                <w:rFonts w:ascii="Times New Roman" w:hAnsi="Times New Roman" w:cs="Times New Roman"/>
                <w:color w:val="000000"/>
              </w:rPr>
            </w:pPr>
            <w:r>
              <w:rPr>
                <w:rFonts w:ascii="Times New Roman" w:hAnsi="Times New Roman" w:cs="Times New Roman"/>
                <w:color w:val="000000"/>
              </w:rPr>
              <w:t>t</w:t>
            </w:r>
          </w:p>
        </w:tc>
        <w:tc>
          <w:tcPr>
            <w:tcW w:w="1650" w:type="dxa"/>
          </w:tcPr>
          <w:p w:rsidR="002E7819" w:rsidRPr="00591D83" w:rsidRDefault="002E7819" w:rsidP="00591D83">
            <w:pPr>
              <w:jc w:val="center"/>
              <w:rPr>
                <w:rFonts w:ascii="Times New Roman" w:eastAsia="宋体" w:hAnsi="Times New Roman" w:cs="Times New Roman"/>
                <w:color w:val="000000"/>
                <w:lang w:eastAsia="zh-CN"/>
              </w:rPr>
            </w:pPr>
            <w:r w:rsidRPr="00591D83">
              <w:rPr>
                <w:rFonts w:ascii="Times New Roman" w:hAnsi="Times New Roman" w:cs="Times New Roman"/>
                <w:color w:val="000000"/>
              </w:rPr>
              <w:t>2.31</w:t>
            </w:r>
            <w:r>
              <w:rPr>
                <w:rFonts w:ascii="Times New Roman" w:hAnsi="Times New Roman" w:cs="Times New Roman" w:hint="eastAsia"/>
                <w:color w:val="000000"/>
                <w:lang w:eastAsia="zh-CN"/>
              </w:rPr>
              <w:t>0</w:t>
            </w:r>
          </w:p>
        </w:tc>
        <w:tc>
          <w:tcPr>
            <w:tcW w:w="1804" w:type="dxa"/>
          </w:tcPr>
          <w:p w:rsidR="002E7819" w:rsidRPr="00591D83" w:rsidRDefault="002E7819" w:rsidP="00591D83">
            <w:pPr>
              <w:ind w:right="210"/>
              <w:jc w:val="center"/>
              <w:rPr>
                <w:rFonts w:ascii="Times New Roman" w:hAnsi="Times New Roman" w:cs="Times New Roman"/>
                <w:sz w:val="21"/>
                <w:szCs w:val="21"/>
              </w:rPr>
            </w:pPr>
            <w:r w:rsidRPr="00591D83">
              <w:rPr>
                <w:rFonts w:ascii="Times New Roman" w:hAnsi="Times New Roman" w:cs="Times New Roman"/>
                <w:sz w:val="21"/>
                <w:szCs w:val="21"/>
              </w:rPr>
              <w:t>1.062</w:t>
            </w:r>
          </w:p>
        </w:tc>
        <w:tc>
          <w:tcPr>
            <w:tcW w:w="1758" w:type="dxa"/>
            <w:vAlign w:val="center"/>
          </w:tcPr>
          <w:p w:rsidR="002E7819" w:rsidRPr="002E7819" w:rsidRDefault="002E7819" w:rsidP="002E7819">
            <w:pPr>
              <w:jc w:val="center"/>
              <w:rPr>
                <w:rFonts w:ascii="Times New Roman" w:eastAsia="宋体" w:hAnsi="Times New Roman" w:cs="Times New Roman"/>
                <w:color w:val="000000"/>
              </w:rPr>
            </w:pPr>
            <w:r w:rsidRPr="002E7819">
              <w:rPr>
                <w:rFonts w:ascii="Times New Roman" w:hAnsi="Times New Roman" w:cs="Times New Roman"/>
                <w:color w:val="000000"/>
              </w:rPr>
              <w:t>54.03%</w:t>
            </w:r>
          </w:p>
        </w:tc>
      </w:tr>
      <w:tr w:rsidR="002E7819" w:rsidRPr="009722BA" w:rsidTr="00721D42">
        <w:tblPrEx>
          <w:tblBorders>
            <w:top w:val="none" w:sz="0" w:space="0" w:color="auto"/>
          </w:tblBorders>
        </w:tblPrEx>
        <w:tc>
          <w:tcPr>
            <w:tcW w:w="1679" w:type="dxa"/>
          </w:tcPr>
          <w:p w:rsidR="002E7819" w:rsidRPr="00591D83" w:rsidRDefault="002E7819" w:rsidP="00591D83">
            <w:pPr>
              <w:ind w:right="210"/>
              <w:jc w:val="center"/>
              <w:rPr>
                <w:rFonts w:ascii="Times New Roman" w:hAnsi="Times New Roman" w:cs="Times New Roman"/>
                <w:sz w:val="21"/>
                <w:szCs w:val="21"/>
              </w:rPr>
            </w:pPr>
            <w:proofErr w:type="spellStart"/>
            <w:r w:rsidRPr="00591D83">
              <w:rPr>
                <w:rFonts w:ascii="Times New Roman" w:hAnsi="Times New Roman" w:cs="Times New Roman"/>
                <w:sz w:val="21"/>
                <w:szCs w:val="21"/>
              </w:rPr>
              <w:t>钢筋</w:t>
            </w:r>
            <w:proofErr w:type="spellEnd"/>
          </w:p>
        </w:tc>
        <w:tc>
          <w:tcPr>
            <w:tcW w:w="1421" w:type="dxa"/>
          </w:tcPr>
          <w:p w:rsidR="002E7819" w:rsidRPr="00591D83" w:rsidRDefault="002E7819" w:rsidP="00591D83">
            <w:pPr>
              <w:ind w:right="21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 xml:space="preserve">  </w:t>
            </w:r>
            <w:r>
              <w:rPr>
                <w:rFonts w:ascii="Times New Roman" w:hAnsi="Times New Roman" w:cs="Times New Roman"/>
                <w:sz w:val="21"/>
                <w:szCs w:val="21"/>
                <w:lang w:eastAsia="zh-CN"/>
              </w:rPr>
              <w:t>t</w:t>
            </w:r>
          </w:p>
        </w:tc>
        <w:tc>
          <w:tcPr>
            <w:tcW w:w="1650" w:type="dxa"/>
          </w:tcPr>
          <w:p w:rsidR="002E7819" w:rsidRPr="00591D83" w:rsidRDefault="002E7819" w:rsidP="00591D83">
            <w:pPr>
              <w:ind w:right="210"/>
              <w:jc w:val="center"/>
              <w:rPr>
                <w:rFonts w:ascii="Times New Roman" w:hAnsi="Times New Roman" w:cs="Times New Roman"/>
                <w:sz w:val="21"/>
                <w:szCs w:val="21"/>
                <w:lang w:eastAsia="zh-CN"/>
              </w:rPr>
            </w:pPr>
            <w:r>
              <w:rPr>
                <w:rFonts w:ascii="Times New Roman" w:hAnsi="Times New Roman" w:cs="Times New Roman" w:hint="eastAsia"/>
                <w:sz w:val="21"/>
                <w:szCs w:val="21"/>
                <w:lang w:eastAsia="zh-CN"/>
              </w:rPr>
              <w:t xml:space="preserve">  </w:t>
            </w:r>
            <w:r w:rsidRPr="00591D83">
              <w:rPr>
                <w:rFonts w:ascii="Times New Roman" w:hAnsi="Times New Roman" w:cs="Times New Roman"/>
                <w:sz w:val="21"/>
                <w:szCs w:val="21"/>
                <w:lang w:eastAsia="zh-CN"/>
              </w:rPr>
              <w:t>2.34</w:t>
            </w:r>
            <w:r>
              <w:rPr>
                <w:rFonts w:ascii="Times New Roman" w:hAnsi="Times New Roman" w:cs="Times New Roman" w:hint="eastAsia"/>
                <w:sz w:val="21"/>
                <w:szCs w:val="21"/>
                <w:lang w:eastAsia="zh-CN"/>
              </w:rPr>
              <w:t>0</w:t>
            </w:r>
          </w:p>
        </w:tc>
        <w:tc>
          <w:tcPr>
            <w:tcW w:w="1804" w:type="dxa"/>
          </w:tcPr>
          <w:p w:rsidR="002E7819" w:rsidRPr="00591D83" w:rsidRDefault="002E7819" w:rsidP="00591D83">
            <w:pPr>
              <w:ind w:right="210"/>
              <w:jc w:val="center"/>
              <w:rPr>
                <w:rFonts w:ascii="Times New Roman" w:hAnsi="Times New Roman" w:cs="Times New Roman"/>
                <w:sz w:val="21"/>
                <w:szCs w:val="21"/>
              </w:rPr>
            </w:pPr>
            <w:r w:rsidRPr="00591D83">
              <w:rPr>
                <w:rFonts w:ascii="Times New Roman" w:hAnsi="Times New Roman" w:cs="Times New Roman"/>
                <w:sz w:val="21"/>
                <w:szCs w:val="21"/>
              </w:rPr>
              <w:t>1.755</w:t>
            </w:r>
          </w:p>
        </w:tc>
        <w:tc>
          <w:tcPr>
            <w:tcW w:w="1758" w:type="dxa"/>
            <w:vAlign w:val="center"/>
          </w:tcPr>
          <w:p w:rsidR="002E7819" w:rsidRPr="002E7819" w:rsidRDefault="002E7819" w:rsidP="002E7819">
            <w:pPr>
              <w:jc w:val="center"/>
              <w:rPr>
                <w:rFonts w:ascii="Times New Roman" w:eastAsia="宋体" w:hAnsi="Times New Roman" w:cs="Times New Roman"/>
                <w:color w:val="000000"/>
              </w:rPr>
            </w:pPr>
            <w:r w:rsidRPr="002E7819">
              <w:rPr>
                <w:rFonts w:ascii="Times New Roman" w:hAnsi="Times New Roman" w:cs="Times New Roman"/>
                <w:color w:val="000000"/>
              </w:rPr>
              <w:t>25.00%</w:t>
            </w:r>
          </w:p>
        </w:tc>
      </w:tr>
      <w:tr w:rsidR="00591D83" w:rsidRPr="009722BA" w:rsidTr="00591D83">
        <w:tblPrEx>
          <w:tblBorders>
            <w:top w:val="none" w:sz="0" w:space="0" w:color="auto"/>
          </w:tblBorders>
        </w:tblPrEx>
        <w:tc>
          <w:tcPr>
            <w:tcW w:w="1679" w:type="dxa"/>
          </w:tcPr>
          <w:p w:rsidR="00591D83" w:rsidRPr="00591D83" w:rsidRDefault="00591D83" w:rsidP="00591D83">
            <w:pPr>
              <w:ind w:right="210"/>
              <w:jc w:val="center"/>
              <w:rPr>
                <w:rFonts w:ascii="Times New Roman" w:hAnsi="Times New Roman" w:cs="Times New Roman"/>
                <w:sz w:val="21"/>
                <w:szCs w:val="21"/>
                <w:lang w:eastAsia="zh-CN"/>
              </w:rPr>
            </w:pPr>
            <w:r w:rsidRPr="00591D83">
              <w:rPr>
                <w:rFonts w:ascii="Times New Roman" w:hAnsi="Times New Roman" w:cs="Times New Roman"/>
                <w:sz w:val="21"/>
                <w:szCs w:val="21"/>
              </w:rPr>
              <w:t>C</w:t>
            </w:r>
            <w:r w:rsidRPr="00591D83">
              <w:rPr>
                <w:rFonts w:ascii="Times New Roman" w:hAnsi="Times New Roman" w:cs="Times New Roman"/>
                <w:sz w:val="21"/>
                <w:szCs w:val="21"/>
                <w:lang w:eastAsia="zh-CN"/>
              </w:rPr>
              <w:t>20</w:t>
            </w:r>
            <w:r w:rsidRPr="00591D83">
              <w:rPr>
                <w:rFonts w:ascii="Times New Roman" w:hAnsi="Times New Roman" w:cs="Times New Roman"/>
                <w:sz w:val="21"/>
                <w:szCs w:val="21"/>
                <w:lang w:eastAsia="zh-CN"/>
              </w:rPr>
              <w:t>混凝土</w:t>
            </w:r>
          </w:p>
        </w:tc>
        <w:tc>
          <w:tcPr>
            <w:tcW w:w="1421" w:type="dxa"/>
          </w:tcPr>
          <w:p w:rsidR="00591D83" w:rsidRPr="00591D83" w:rsidRDefault="002E7819" w:rsidP="00591D83">
            <w:pPr>
              <w:jc w:val="center"/>
              <w:rPr>
                <w:rFonts w:ascii="Times New Roman" w:eastAsia="宋体" w:hAnsi="Times New Roman" w:cs="Times New Roman"/>
                <w:color w:val="000000"/>
                <w:lang w:eastAsia="zh-CN"/>
              </w:rPr>
            </w:pPr>
            <w:r>
              <w:rPr>
                <w:rFonts w:ascii="Times New Roman" w:eastAsia="宋体" w:hAnsi="Times New Roman" w:cs="Times New Roman"/>
                <w:color w:val="000000"/>
              </w:rPr>
              <w:t>m</w:t>
            </w:r>
            <w:r w:rsidRPr="00591D83">
              <w:rPr>
                <w:rFonts w:ascii="Times New Roman" w:eastAsia="宋体" w:hAnsi="Times New Roman" w:cs="Times New Roman" w:hint="eastAsia"/>
                <w:color w:val="000000"/>
                <w:vertAlign w:val="superscript"/>
                <w:lang w:eastAsia="zh-CN"/>
              </w:rPr>
              <w:t>3</w:t>
            </w:r>
          </w:p>
        </w:tc>
        <w:tc>
          <w:tcPr>
            <w:tcW w:w="1650" w:type="dxa"/>
            <w:vAlign w:val="center"/>
          </w:tcPr>
          <w:p w:rsidR="00591D83" w:rsidRPr="00591D83" w:rsidRDefault="00591D83" w:rsidP="00591D83">
            <w:pPr>
              <w:jc w:val="center"/>
              <w:rPr>
                <w:rFonts w:ascii="Times New Roman" w:eastAsia="宋体" w:hAnsi="Times New Roman" w:cs="Times New Roman"/>
                <w:color w:val="000000"/>
              </w:rPr>
            </w:pPr>
            <w:r w:rsidRPr="00591D83">
              <w:rPr>
                <w:rFonts w:ascii="Times New Roman" w:eastAsia="宋体" w:hAnsi="Times New Roman" w:cs="Times New Roman"/>
                <w:color w:val="000000"/>
              </w:rPr>
              <w:t>0.201</w:t>
            </w:r>
          </w:p>
        </w:tc>
        <w:tc>
          <w:tcPr>
            <w:tcW w:w="1804" w:type="dxa"/>
          </w:tcPr>
          <w:p w:rsidR="00591D83" w:rsidRPr="00591D83" w:rsidRDefault="00591D83" w:rsidP="00591D83">
            <w:pPr>
              <w:ind w:right="210"/>
              <w:jc w:val="center"/>
              <w:rPr>
                <w:rFonts w:ascii="Times New Roman" w:hAnsi="Times New Roman" w:cs="Times New Roman"/>
                <w:sz w:val="21"/>
                <w:szCs w:val="21"/>
                <w:lang w:eastAsia="zh-CN"/>
              </w:rPr>
            </w:pPr>
            <w:r w:rsidRPr="00591D83">
              <w:rPr>
                <w:rFonts w:ascii="Times New Roman" w:hAnsi="Times New Roman" w:cs="Times New Roman"/>
                <w:sz w:val="21"/>
                <w:szCs w:val="21"/>
                <w:lang w:eastAsia="zh-CN"/>
              </w:rPr>
              <w:t>0.185</w:t>
            </w:r>
          </w:p>
        </w:tc>
        <w:tc>
          <w:tcPr>
            <w:tcW w:w="1758" w:type="dxa"/>
            <w:vAlign w:val="center"/>
          </w:tcPr>
          <w:p w:rsidR="00591D83" w:rsidRPr="00591D83" w:rsidRDefault="00591D83" w:rsidP="00591D83">
            <w:pPr>
              <w:jc w:val="center"/>
              <w:rPr>
                <w:rFonts w:ascii="Times New Roman" w:eastAsia="宋体" w:hAnsi="Times New Roman" w:cs="Times New Roman"/>
                <w:color w:val="000000"/>
              </w:rPr>
            </w:pPr>
            <w:r w:rsidRPr="00591D83">
              <w:rPr>
                <w:rFonts w:ascii="Times New Roman" w:hAnsi="Times New Roman" w:cs="Times New Roman"/>
                <w:color w:val="000000"/>
              </w:rPr>
              <w:t>7.96%</w:t>
            </w:r>
          </w:p>
        </w:tc>
      </w:tr>
      <w:tr w:rsidR="00591D83" w:rsidRPr="009722BA" w:rsidTr="00591D83">
        <w:tblPrEx>
          <w:tblBorders>
            <w:top w:val="none" w:sz="0" w:space="0" w:color="auto"/>
          </w:tblBorders>
        </w:tblPrEx>
        <w:tc>
          <w:tcPr>
            <w:tcW w:w="1679" w:type="dxa"/>
          </w:tcPr>
          <w:p w:rsidR="00591D83" w:rsidRPr="00591D83" w:rsidRDefault="00591D83" w:rsidP="00591D83">
            <w:pPr>
              <w:ind w:right="210"/>
              <w:jc w:val="center"/>
              <w:rPr>
                <w:rFonts w:ascii="Times New Roman" w:hAnsi="Times New Roman" w:cs="Times New Roman"/>
                <w:sz w:val="21"/>
                <w:szCs w:val="21"/>
                <w:lang w:eastAsia="zh-CN"/>
              </w:rPr>
            </w:pPr>
            <w:r w:rsidRPr="00591D83">
              <w:rPr>
                <w:rFonts w:ascii="Times New Roman" w:hAnsi="Times New Roman" w:cs="Times New Roman"/>
                <w:sz w:val="21"/>
                <w:szCs w:val="21"/>
              </w:rPr>
              <w:t>C</w:t>
            </w:r>
            <w:r w:rsidRPr="00591D83">
              <w:rPr>
                <w:rFonts w:ascii="Times New Roman" w:hAnsi="Times New Roman" w:cs="Times New Roman"/>
                <w:sz w:val="21"/>
                <w:szCs w:val="21"/>
                <w:lang w:eastAsia="zh-CN"/>
              </w:rPr>
              <w:t>25</w:t>
            </w:r>
            <w:r w:rsidRPr="00591D83">
              <w:rPr>
                <w:rFonts w:ascii="Times New Roman" w:hAnsi="Times New Roman" w:cs="Times New Roman"/>
                <w:sz w:val="21"/>
                <w:szCs w:val="21"/>
                <w:lang w:eastAsia="zh-CN"/>
              </w:rPr>
              <w:t>混凝土</w:t>
            </w:r>
          </w:p>
        </w:tc>
        <w:tc>
          <w:tcPr>
            <w:tcW w:w="1421" w:type="dxa"/>
          </w:tcPr>
          <w:p w:rsidR="00591D83" w:rsidRPr="00591D83" w:rsidRDefault="002E7819" w:rsidP="00591D83">
            <w:pPr>
              <w:jc w:val="center"/>
              <w:rPr>
                <w:rFonts w:ascii="Times New Roman" w:eastAsia="宋体" w:hAnsi="Times New Roman" w:cs="Times New Roman"/>
                <w:color w:val="000000"/>
              </w:rPr>
            </w:pPr>
            <w:r>
              <w:rPr>
                <w:rFonts w:ascii="Times New Roman" w:eastAsia="宋体" w:hAnsi="Times New Roman" w:cs="Times New Roman"/>
                <w:color w:val="000000"/>
              </w:rPr>
              <w:t>m</w:t>
            </w:r>
            <w:r w:rsidRPr="00591D83">
              <w:rPr>
                <w:rFonts w:ascii="Times New Roman" w:eastAsia="宋体" w:hAnsi="Times New Roman" w:cs="Times New Roman" w:hint="eastAsia"/>
                <w:color w:val="000000"/>
                <w:vertAlign w:val="superscript"/>
                <w:lang w:eastAsia="zh-CN"/>
              </w:rPr>
              <w:t>3</w:t>
            </w:r>
          </w:p>
        </w:tc>
        <w:tc>
          <w:tcPr>
            <w:tcW w:w="1650" w:type="dxa"/>
            <w:vAlign w:val="center"/>
          </w:tcPr>
          <w:p w:rsidR="00591D83" w:rsidRPr="00591D83" w:rsidRDefault="00591D83" w:rsidP="00591D83">
            <w:pPr>
              <w:jc w:val="center"/>
              <w:rPr>
                <w:rFonts w:ascii="Times New Roman" w:eastAsia="宋体" w:hAnsi="Times New Roman" w:cs="Times New Roman"/>
                <w:color w:val="000000"/>
              </w:rPr>
            </w:pPr>
            <w:r w:rsidRPr="00591D83">
              <w:rPr>
                <w:rFonts w:ascii="Times New Roman" w:eastAsia="宋体" w:hAnsi="Times New Roman" w:cs="Times New Roman"/>
                <w:color w:val="000000"/>
              </w:rPr>
              <w:t>0.251</w:t>
            </w:r>
          </w:p>
        </w:tc>
        <w:tc>
          <w:tcPr>
            <w:tcW w:w="1804" w:type="dxa"/>
          </w:tcPr>
          <w:p w:rsidR="00591D83" w:rsidRPr="00591D83" w:rsidRDefault="00591D83" w:rsidP="00591D83">
            <w:pPr>
              <w:ind w:right="210"/>
              <w:jc w:val="center"/>
              <w:rPr>
                <w:rFonts w:ascii="Times New Roman" w:hAnsi="Times New Roman" w:cs="Times New Roman"/>
                <w:sz w:val="21"/>
                <w:szCs w:val="21"/>
                <w:lang w:eastAsia="zh-CN"/>
              </w:rPr>
            </w:pPr>
            <w:r w:rsidRPr="00591D83">
              <w:rPr>
                <w:rFonts w:ascii="Times New Roman" w:hAnsi="Times New Roman" w:cs="Times New Roman"/>
                <w:sz w:val="21"/>
                <w:szCs w:val="21"/>
                <w:lang w:eastAsia="zh-CN"/>
              </w:rPr>
              <w:t>0.199</w:t>
            </w:r>
          </w:p>
        </w:tc>
        <w:tc>
          <w:tcPr>
            <w:tcW w:w="1758" w:type="dxa"/>
            <w:vAlign w:val="center"/>
          </w:tcPr>
          <w:p w:rsidR="00591D83" w:rsidRPr="00591D83" w:rsidRDefault="00591D83" w:rsidP="00591D83">
            <w:pPr>
              <w:jc w:val="center"/>
              <w:rPr>
                <w:rFonts w:ascii="Times New Roman" w:eastAsia="宋体" w:hAnsi="Times New Roman" w:cs="Times New Roman"/>
                <w:color w:val="000000"/>
              </w:rPr>
            </w:pPr>
            <w:r w:rsidRPr="00591D83">
              <w:rPr>
                <w:rFonts w:ascii="Times New Roman" w:hAnsi="Times New Roman" w:cs="Times New Roman"/>
                <w:color w:val="000000"/>
              </w:rPr>
              <w:t>20.72%</w:t>
            </w:r>
          </w:p>
        </w:tc>
      </w:tr>
      <w:tr w:rsidR="00591D83" w:rsidRPr="009722BA" w:rsidTr="00591D83">
        <w:tblPrEx>
          <w:tblBorders>
            <w:top w:val="none" w:sz="0" w:space="0" w:color="auto"/>
          </w:tblBorders>
        </w:tblPrEx>
        <w:tc>
          <w:tcPr>
            <w:tcW w:w="1679" w:type="dxa"/>
          </w:tcPr>
          <w:p w:rsidR="00591D83" w:rsidRPr="00591D83" w:rsidRDefault="00591D83" w:rsidP="00591D83">
            <w:pPr>
              <w:ind w:right="210"/>
              <w:jc w:val="center"/>
              <w:rPr>
                <w:rFonts w:ascii="Times New Roman" w:hAnsi="Times New Roman" w:cs="Times New Roman"/>
                <w:sz w:val="21"/>
                <w:szCs w:val="21"/>
              </w:rPr>
            </w:pPr>
            <w:r w:rsidRPr="00591D83">
              <w:rPr>
                <w:rFonts w:ascii="Times New Roman" w:hAnsi="Times New Roman" w:cs="Times New Roman"/>
                <w:sz w:val="21"/>
                <w:szCs w:val="21"/>
              </w:rPr>
              <w:t>C</w:t>
            </w:r>
            <w:r w:rsidRPr="00591D83">
              <w:rPr>
                <w:rFonts w:ascii="Times New Roman" w:hAnsi="Times New Roman" w:cs="Times New Roman"/>
                <w:sz w:val="21"/>
                <w:szCs w:val="21"/>
                <w:lang w:eastAsia="zh-CN"/>
              </w:rPr>
              <w:t>30</w:t>
            </w:r>
            <w:r w:rsidRPr="00591D83">
              <w:rPr>
                <w:rFonts w:ascii="Times New Roman" w:hAnsi="Times New Roman" w:cs="Times New Roman"/>
                <w:sz w:val="21"/>
                <w:szCs w:val="21"/>
                <w:lang w:eastAsia="zh-CN"/>
              </w:rPr>
              <w:t>混凝土</w:t>
            </w:r>
          </w:p>
        </w:tc>
        <w:tc>
          <w:tcPr>
            <w:tcW w:w="1421" w:type="dxa"/>
          </w:tcPr>
          <w:p w:rsidR="00591D83" w:rsidRPr="00591D83" w:rsidRDefault="002E7819" w:rsidP="00591D83">
            <w:pPr>
              <w:jc w:val="center"/>
              <w:rPr>
                <w:rFonts w:ascii="Times New Roman" w:eastAsia="宋体" w:hAnsi="Times New Roman" w:cs="Times New Roman"/>
                <w:color w:val="000000"/>
              </w:rPr>
            </w:pPr>
            <w:r>
              <w:rPr>
                <w:rFonts w:ascii="Times New Roman" w:eastAsia="宋体" w:hAnsi="Times New Roman" w:cs="Times New Roman"/>
                <w:color w:val="000000"/>
              </w:rPr>
              <w:t>m</w:t>
            </w:r>
            <w:r w:rsidRPr="00591D83">
              <w:rPr>
                <w:rFonts w:ascii="Times New Roman" w:eastAsia="宋体" w:hAnsi="Times New Roman" w:cs="Times New Roman" w:hint="eastAsia"/>
                <w:color w:val="000000"/>
                <w:vertAlign w:val="superscript"/>
                <w:lang w:eastAsia="zh-CN"/>
              </w:rPr>
              <w:t>3</w:t>
            </w:r>
          </w:p>
        </w:tc>
        <w:tc>
          <w:tcPr>
            <w:tcW w:w="1650" w:type="dxa"/>
            <w:vAlign w:val="center"/>
          </w:tcPr>
          <w:p w:rsidR="00591D83" w:rsidRPr="00591D83" w:rsidRDefault="00591D83" w:rsidP="00591D83">
            <w:pPr>
              <w:jc w:val="center"/>
              <w:rPr>
                <w:rFonts w:ascii="Times New Roman" w:eastAsia="宋体" w:hAnsi="Times New Roman" w:cs="Times New Roman"/>
                <w:color w:val="000000"/>
              </w:rPr>
            </w:pPr>
            <w:r w:rsidRPr="00591D83">
              <w:rPr>
                <w:rFonts w:ascii="Times New Roman" w:eastAsia="宋体" w:hAnsi="Times New Roman" w:cs="Times New Roman"/>
                <w:color w:val="000000"/>
              </w:rPr>
              <w:t>0.295</w:t>
            </w:r>
          </w:p>
        </w:tc>
        <w:tc>
          <w:tcPr>
            <w:tcW w:w="1804" w:type="dxa"/>
          </w:tcPr>
          <w:p w:rsidR="00591D83" w:rsidRPr="00591D83" w:rsidRDefault="00591D83" w:rsidP="00591D83">
            <w:pPr>
              <w:ind w:right="210"/>
              <w:jc w:val="center"/>
              <w:rPr>
                <w:rFonts w:ascii="Times New Roman" w:hAnsi="Times New Roman" w:cs="Times New Roman"/>
                <w:sz w:val="21"/>
                <w:szCs w:val="21"/>
                <w:lang w:eastAsia="zh-CN"/>
              </w:rPr>
            </w:pPr>
            <w:r w:rsidRPr="00591D83">
              <w:rPr>
                <w:rFonts w:ascii="Times New Roman" w:hAnsi="Times New Roman" w:cs="Times New Roman"/>
                <w:sz w:val="21"/>
                <w:szCs w:val="21"/>
                <w:lang w:eastAsia="zh-CN"/>
              </w:rPr>
              <w:t>0.238</w:t>
            </w:r>
          </w:p>
        </w:tc>
        <w:tc>
          <w:tcPr>
            <w:tcW w:w="1758" w:type="dxa"/>
            <w:vAlign w:val="center"/>
          </w:tcPr>
          <w:p w:rsidR="00591D83" w:rsidRPr="00591D83" w:rsidRDefault="00591D83" w:rsidP="00591D83">
            <w:pPr>
              <w:jc w:val="center"/>
              <w:rPr>
                <w:rFonts w:ascii="Times New Roman" w:eastAsia="宋体" w:hAnsi="Times New Roman" w:cs="Times New Roman"/>
                <w:color w:val="000000"/>
              </w:rPr>
            </w:pPr>
            <w:r w:rsidRPr="00591D83">
              <w:rPr>
                <w:rFonts w:ascii="Times New Roman" w:hAnsi="Times New Roman" w:cs="Times New Roman"/>
                <w:color w:val="000000"/>
              </w:rPr>
              <w:t>19.32%</w:t>
            </w:r>
          </w:p>
        </w:tc>
      </w:tr>
      <w:tr w:rsidR="00591D83" w:rsidRPr="009722BA" w:rsidTr="00591D83">
        <w:tblPrEx>
          <w:tblBorders>
            <w:top w:val="none" w:sz="0" w:space="0" w:color="auto"/>
          </w:tblBorders>
        </w:tblPrEx>
        <w:tc>
          <w:tcPr>
            <w:tcW w:w="1679" w:type="dxa"/>
          </w:tcPr>
          <w:p w:rsidR="00591D83" w:rsidRPr="00591D83" w:rsidRDefault="00591D83" w:rsidP="00591D83">
            <w:pPr>
              <w:ind w:right="210"/>
              <w:jc w:val="center"/>
              <w:rPr>
                <w:rFonts w:ascii="Times New Roman" w:hAnsi="Times New Roman" w:cs="Times New Roman"/>
                <w:sz w:val="21"/>
                <w:szCs w:val="21"/>
              </w:rPr>
            </w:pPr>
            <w:r w:rsidRPr="00591D83">
              <w:rPr>
                <w:rFonts w:ascii="Times New Roman" w:hAnsi="Times New Roman" w:cs="Times New Roman"/>
                <w:sz w:val="21"/>
                <w:szCs w:val="21"/>
              </w:rPr>
              <w:t>C</w:t>
            </w:r>
            <w:r w:rsidRPr="00591D83">
              <w:rPr>
                <w:rFonts w:ascii="Times New Roman" w:hAnsi="Times New Roman" w:cs="Times New Roman"/>
                <w:sz w:val="21"/>
                <w:szCs w:val="21"/>
                <w:lang w:eastAsia="zh-CN"/>
              </w:rPr>
              <w:t>40</w:t>
            </w:r>
            <w:r w:rsidRPr="00591D83">
              <w:rPr>
                <w:rFonts w:ascii="Times New Roman" w:hAnsi="Times New Roman" w:cs="Times New Roman"/>
                <w:sz w:val="21"/>
                <w:szCs w:val="21"/>
                <w:lang w:eastAsia="zh-CN"/>
              </w:rPr>
              <w:t>混凝土</w:t>
            </w:r>
          </w:p>
        </w:tc>
        <w:tc>
          <w:tcPr>
            <w:tcW w:w="1421" w:type="dxa"/>
          </w:tcPr>
          <w:p w:rsidR="00591D83" w:rsidRPr="00591D83" w:rsidRDefault="002E7819" w:rsidP="00591D83">
            <w:pPr>
              <w:jc w:val="center"/>
              <w:rPr>
                <w:rFonts w:ascii="Times New Roman" w:eastAsia="宋体" w:hAnsi="Times New Roman" w:cs="Times New Roman"/>
                <w:color w:val="000000"/>
              </w:rPr>
            </w:pPr>
            <w:r>
              <w:rPr>
                <w:rFonts w:ascii="Times New Roman" w:eastAsia="宋体" w:hAnsi="Times New Roman" w:cs="Times New Roman"/>
                <w:color w:val="000000"/>
              </w:rPr>
              <w:t>m</w:t>
            </w:r>
            <w:r w:rsidRPr="00591D83">
              <w:rPr>
                <w:rFonts w:ascii="Times New Roman" w:eastAsia="宋体" w:hAnsi="Times New Roman" w:cs="Times New Roman" w:hint="eastAsia"/>
                <w:color w:val="000000"/>
                <w:vertAlign w:val="superscript"/>
                <w:lang w:eastAsia="zh-CN"/>
              </w:rPr>
              <w:t>3</w:t>
            </w:r>
          </w:p>
        </w:tc>
        <w:tc>
          <w:tcPr>
            <w:tcW w:w="1650" w:type="dxa"/>
            <w:vAlign w:val="center"/>
          </w:tcPr>
          <w:p w:rsidR="00591D83" w:rsidRPr="00591D83" w:rsidRDefault="00591D83" w:rsidP="00591D83">
            <w:pPr>
              <w:jc w:val="center"/>
              <w:rPr>
                <w:rFonts w:ascii="Times New Roman" w:eastAsia="宋体" w:hAnsi="Times New Roman" w:cs="Times New Roman"/>
                <w:color w:val="000000"/>
              </w:rPr>
            </w:pPr>
            <w:r w:rsidRPr="00591D83">
              <w:rPr>
                <w:rFonts w:ascii="Times New Roman" w:eastAsia="宋体" w:hAnsi="Times New Roman" w:cs="Times New Roman"/>
                <w:color w:val="000000"/>
              </w:rPr>
              <w:t>0.391</w:t>
            </w:r>
          </w:p>
        </w:tc>
        <w:tc>
          <w:tcPr>
            <w:tcW w:w="1804" w:type="dxa"/>
          </w:tcPr>
          <w:p w:rsidR="00591D83" w:rsidRPr="00591D83" w:rsidRDefault="00591D83" w:rsidP="00591D83">
            <w:pPr>
              <w:ind w:right="210"/>
              <w:jc w:val="center"/>
              <w:rPr>
                <w:rFonts w:ascii="Times New Roman" w:hAnsi="Times New Roman" w:cs="Times New Roman"/>
                <w:sz w:val="21"/>
                <w:szCs w:val="21"/>
                <w:lang w:eastAsia="zh-CN"/>
              </w:rPr>
            </w:pPr>
            <w:r w:rsidRPr="00591D83">
              <w:rPr>
                <w:rFonts w:ascii="Times New Roman" w:hAnsi="Times New Roman" w:cs="Times New Roman"/>
                <w:sz w:val="21"/>
                <w:szCs w:val="21"/>
                <w:lang w:eastAsia="zh-CN"/>
              </w:rPr>
              <w:t>0.276</w:t>
            </w:r>
          </w:p>
        </w:tc>
        <w:tc>
          <w:tcPr>
            <w:tcW w:w="1758" w:type="dxa"/>
            <w:vAlign w:val="center"/>
          </w:tcPr>
          <w:p w:rsidR="00591D83" w:rsidRPr="00591D83" w:rsidRDefault="00591D83" w:rsidP="00591D83">
            <w:pPr>
              <w:jc w:val="center"/>
              <w:rPr>
                <w:rFonts w:ascii="Times New Roman" w:eastAsia="宋体" w:hAnsi="Times New Roman" w:cs="Times New Roman"/>
                <w:color w:val="000000"/>
              </w:rPr>
            </w:pPr>
            <w:r w:rsidRPr="00591D83">
              <w:rPr>
                <w:rFonts w:ascii="Times New Roman" w:hAnsi="Times New Roman" w:cs="Times New Roman"/>
                <w:color w:val="000000"/>
              </w:rPr>
              <w:t>29.41%</w:t>
            </w:r>
          </w:p>
        </w:tc>
      </w:tr>
    </w:tbl>
    <w:p w:rsidR="006C6F1D" w:rsidRDefault="00283EBB" w:rsidP="00F429C2">
      <w:pPr>
        <w:spacing w:line="240" w:lineRule="auto"/>
        <w:ind w:left="210" w:right="210"/>
        <w:rPr>
          <w:sz w:val="21"/>
          <w:szCs w:val="21"/>
          <w:lang w:eastAsia="zh-CN"/>
        </w:rPr>
      </w:pPr>
      <w:r w:rsidRPr="009722BA">
        <w:rPr>
          <w:rFonts w:hint="eastAsia"/>
          <w:sz w:val="21"/>
          <w:szCs w:val="21"/>
          <w:lang w:eastAsia="zh-CN"/>
        </w:rPr>
        <w:t>若市政综合体采用以上讨论的</w:t>
      </w:r>
      <w:r w:rsidR="00B1154E" w:rsidRPr="009722BA">
        <w:rPr>
          <w:rFonts w:hint="eastAsia"/>
          <w:sz w:val="21"/>
          <w:szCs w:val="21"/>
          <w:lang w:eastAsia="zh-CN"/>
        </w:rPr>
        <w:t>可回收</w:t>
      </w:r>
      <w:r w:rsidR="002E7819">
        <w:rPr>
          <w:rFonts w:hint="eastAsia"/>
          <w:sz w:val="21"/>
          <w:szCs w:val="21"/>
          <w:lang w:eastAsia="zh-CN"/>
        </w:rPr>
        <w:t>材料</w:t>
      </w:r>
      <w:r w:rsidR="00B1154E" w:rsidRPr="009722BA">
        <w:rPr>
          <w:rFonts w:hint="eastAsia"/>
          <w:sz w:val="21"/>
          <w:szCs w:val="21"/>
          <w:lang w:eastAsia="zh-CN"/>
        </w:rPr>
        <w:t>作为</w:t>
      </w:r>
      <w:r w:rsidR="002E7819">
        <w:rPr>
          <w:rFonts w:hint="eastAsia"/>
          <w:sz w:val="21"/>
          <w:szCs w:val="21"/>
          <w:lang w:eastAsia="zh-CN"/>
        </w:rPr>
        <w:t>建造时所用材料</w:t>
      </w:r>
      <w:r w:rsidR="00B1154E" w:rsidRPr="009722BA">
        <w:rPr>
          <w:rFonts w:hint="eastAsia"/>
          <w:sz w:val="21"/>
          <w:szCs w:val="21"/>
          <w:lang w:eastAsia="zh-CN"/>
        </w:rPr>
        <w:t>，则可减少建材生产阶段碳排放</w:t>
      </w:r>
      <w:r w:rsidR="00B1154E" w:rsidRPr="009722BA">
        <w:rPr>
          <w:rFonts w:hint="eastAsia"/>
          <w:sz w:val="21"/>
          <w:szCs w:val="21"/>
          <w:lang w:eastAsia="zh-CN"/>
        </w:rPr>
        <w:t>4457.4t</w:t>
      </w:r>
      <w:r w:rsidR="00B1154E" w:rsidRPr="009722BA">
        <w:rPr>
          <w:rFonts w:hint="eastAsia"/>
          <w:sz w:val="21"/>
          <w:szCs w:val="21"/>
          <w:lang w:eastAsia="zh-CN"/>
        </w:rPr>
        <w:t>，占原建筑</w:t>
      </w:r>
      <w:r w:rsidR="00A34423">
        <w:rPr>
          <w:rFonts w:hint="eastAsia"/>
          <w:sz w:val="21"/>
          <w:szCs w:val="21"/>
          <w:lang w:eastAsia="zh-CN"/>
        </w:rPr>
        <w:t>材料</w:t>
      </w:r>
      <w:r w:rsidR="00B1154E" w:rsidRPr="009722BA">
        <w:rPr>
          <w:rFonts w:hint="eastAsia"/>
          <w:sz w:val="21"/>
          <w:szCs w:val="21"/>
          <w:lang w:eastAsia="zh-CN"/>
        </w:rPr>
        <w:t>生产阶段碳排放的</w:t>
      </w:r>
      <w:r w:rsidR="00B1154E" w:rsidRPr="009722BA">
        <w:rPr>
          <w:rFonts w:hint="eastAsia"/>
          <w:sz w:val="21"/>
          <w:szCs w:val="21"/>
          <w:lang w:eastAsia="zh-CN"/>
        </w:rPr>
        <w:t>13.9%</w:t>
      </w:r>
      <w:r w:rsidR="006C6F1D" w:rsidRPr="009722BA">
        <w:rPr>
          <w:rFonts w:hint="eastAsia"/>
          <w:sz w:val="21"/>
          <w:szCs w:val="21"/>
          <w:lang w:eastAsia="zh-CN"/>
        </w:rPr>
        <w:t>。</w:t>
      </w:r>
    </w:p>
    <w:p w:rsidR="0091249B" w:rsidRPr="00F429C2" w:rsidRDefault="0091249B" w:rsidP="00F429C2">
      <w:pPr>
        <w:spacing w:line="240" w:lineRule="auto"/>
        <w:ind w:left="210" w:right="210"/>
        <w:rPr>
          <w:sz w:val="21"/>
          <w:szCs w:val="21"/>
          <w:lang w:eastAsia="zh-CN"/>
        </w:rPr>
      </w:pPr>
    </w:p>
    <w:p w:rsidR="006C6F1D" w:rsidRPr="009722BA" w:rsidRDefault="006C6F1D" w:rsidP="006C6F1D">
      <w:pPr>
        <w:pStyle w:val="a3"/>
        <w:numPr>
          <w:ilvl w:val="2"/>
          <w:numId w:val="1"/>
        </w:numPr>
        <w:spacing w:line="240" w:lineRule="auto"/>
        <w:ind w:right="210"/>
        <w:rPr>
          <w:sz w:val="21"/>
          <w:szCs w:val="21"/>
        </w:rPr>
      </w:pPr>
      <w:proofErr w:type="spellStart"/>
      <w:r w:rsidRPr="009722BA">
        <w:rPr>
          <w:rFonts w:hint="eastAsia"/>
          <w:sz w:val="21"/>
          <w:szCs w:val="21"/>
        </w:rPr>
        <w:lastRenderedPageBreak/>
        <w:t>采用装配式建筑技术</w:t>
      </w:r>
      <w:proofErr w:type="spellEnd"/>
    </w:p>
    <w:p w:rsidR="006C6F1D" w:rsidRPr="009722BA" w:rsidRDefault="006C6F1D" w:rsidP="00810B2E">
      <w:pPr>
        <w:spacing w:line="240" w:lineRule="auto"/>
        <w:ind w:right="210"/>
        <w:rPr>
          <w:rFonts w:asciiTheme="minorEastAsia" w:hAnsiTheme="minorEastAsia"/>
          <w:color w:val="222222"/>
          <w:sz w:val="21"/>
          <w:szCs w:val="21"/>
          <w:lang w:eastAsia="zh-CN"/>
        </w:rPr>
      </w:pPr>
      <w:r w:rsidRPr="009722BA">
        <w:rPr>
          <w:rFonts w:asciiTheme="minorEastAsia" w:hAnsiTheme="minorEastAsia" w:hint="eastAsia"/>
          <w:color w:val="222222"/>
          <w:sz w:val="21"/>
          <w:szCs w:val="21"/>
          <w:lang w:eastAsia="zh-CN"/>
        </w:rPr>
        <w:t>装配式建筑是一种新型建筑工业化生产方式，其利用“搭积木”的建造思路，将特定工厂生产的建筑预制件运送至现场，进行现场组装，最终形成完整的建筑。相较于传统的现浇式建筑，预制建筑的建筑构件由于统一在工厂内生产，可以实现更高效的材料利用与污染控制，并且现场施工时只需要进行构件安装，而无需再进行建筑</w:t>
      </w:r>
      <w:r w:rsidR="00F92BDE">
        <w:rPr>
          <w:rFonts w:asciiTheme="minorEastAsia" w:hAnsiTheme="minorEastAsia" w:hint="eastAsia"/>
          <w:color w:val="222222"/>
          <w:sz w:val="21"/>
          <w:szCs w:val="21"/>
          <w:lang w:eastAsia="zh-CN"/>
        </w:rPr>
        <w:t>构件</w:t>
      </w:r>
      <w:r w:rsidRPr="009722BA">
        <w:rPr>
          <w:rFonts w:asciiTheme="minorEastAsia" w:hAnsiTheme="minorEastAsia" w:hint="eastAsia"/>
          <w:color w:val="222222"/>
          <w:sz w:val="21"/>
          <w:szCs w:val="21"/>
          <w:lang w:eastAsia="zh-CN"/>
        </w:rPr>
        <w:t>的二次生产，因此省去了大量的施工机械台班用量与工人工作时间，有效降低了建筑在施工建造阶段的耗能，并显著提升建筑的建造效率。相较于现浇式建筑，装配式建筑的建造可分为三个阶段：生产制造阶段、运输阶段、现场安装阶段。其中生产制造阶段是装配式建筑所独有，该阶段的碳排放包括原材料的生产以及生产线上机器运行。这一阶段的碳排放量计算可依照下式：</w:t>
      </w:r>
    </w:p>
    <w:p w:rsidR="006C6F1D" w:rsidRPr="009722BA" w:rsidRDefault="00FE7C8B" w:rsidP="006C6F1D">
      <w:pPr>
        <w:spacing w:line="240" w:lineRule="auto"/>
        <w:ind w:right="210"/>
        <w:rPr>
          <w:rFonts w:asciiTheme="minorEastAsia" w:hAnsiTheme="minorEastAsia"/>
          <w:color w:val="222222"/>
          <w:sz w:val="21"/>
          <w:szCs w:val="21"/>
          <w:lang w:eastAsia="zh-CN"/>
        </w:rPr>
      </w:pPr>
      <m:oMath>
        <m:r>
          <m:rPr>
            <m:sty m:val="p"/>
          </m:rPr>
          <w:rPr>
            <w:rFonts w:ascii="Cambria Math" w:hAnsi="Cambria Math"/>
            <w:color w:val="222222"/>
            <w:sz w:val="21"/>
            <w:szCs w:val="21"/>
            <w:lang w:eastAsia="zh-CN"/>
          </w:rPr>
          <m:t xml:space="preserve">                                             </m:t>
        </m:r>
        <m:sSub>
          <m:sSubPr>
            <m:ctrlPr>
              <w:rPr>
                <w:rFonts w:ascii="Cambria Math" w:hAnsi="Cambria Math"/>
                <w:color w:val="222222"/>
                <w:sz w:val="21"/>
                <w:szCs w:val="21"/>
              </w:rPr>
            </m:ctrlPr>
          </m:sSubPr>
          <m:e>
            <m:r>
              <m:rPr>
                <m:sty m:val="p"/>
              </m:rPr>
              <w:rPr>
                <w:rFonts w:ascii="Cambria Math" w:hAnsi="Cambria Math" w:hint="eastAsia"/>
                <w:color w:val="222222"/>
                <w:sz w:val="21"/>
                <w:szCs w:val="21"/>
                <w:lang w:eastAsia="zh-CN"/>
              </w:rPr>
              <m:t>Q</m:t>
            </m:r>
          </m:e>
          <m:sub>
            <m:r>
              <m:rPr>
                <m:sty m:val="p"/>
              </m:rPr>
              <w:rPr>
                <w:rFonts w:ascii="Cambria Math" w:hAnsi="Cambria Math"/>
                <w:color w:val="222222"/>
                <w:sz w:val="21"/>
                <w:szCs w:val="21"/>
                <w:lang w:eastAsia="zh-CN"/>
              </w:rPr>
              <m:t>p</m:t>
            </m:r>
          </m:sub>
        </m:sSub>
        <m:r>
          <m:rPr>
            <m:sty m:val="p"/>
          </m:rPr>
          <w:rPr>
            <w:rFonts w:ascii="Cambria Math" w:hAnsi="Cambria Math" w:hint="eastAsia"/>
            <w:color w:val="222222"/>
            <w:sz w:val="21"/>
            <w:szCs w:val="21"/>
            <w:lang w:eastAsia="zh-CN"/>
          </w:rPr>
          <m:t>=</m:t>
        </m:r>
        <m:nary>
          <m:naryPr>
            <m:chr m:val="∑"/>
            <m:limLoc m:val="undOvr"/>
            <m:ctrlPr>
              <w:rPr>
                <w:rFonts w:ascii="Cambria Math" w:hAnsi="Cambria Math"/>
                <w:color w:val="222222"/>
                <w:sz w:val="21"/>
                <w:szCs w:val="21"/>
              </w:rPr>
            </m:ctrlPr>
          </m:naryPr>
          <m:sub>
            <m:r>
              <m:rPr>
                <m:sty m:val="p"/>
              </m:rPr>
              <w:rPr>
                <w:rFonts w:ascii="Cambria Math" w:hAnsi="Cambria Math"/>
                <w:color w:val="222222"/>
                <w:sz w:val="21"/>
                <w:szCs w:val="21"/>
                <w:lang w:eastAsia="zh-CN"/>
              </w:rPr>
              <m:t>i</m:t>
            </m:r>
            <m:r>
              <m:rPr>
                <m:sty m:val="p"/>
              </m:rPr>
              <w:rPr>
                <w:rFonts w:ascii="Cambria Math" w:hAnsi="Cambria Math" w:hint="eastAsia"/>
                <w:color w:val="222222"/>
                <w:sz w:val="21"/>
                <w:szCs w:val="21"/>
                <w:lang w:eastAsia="zh-CN"/>
              </w:rPr>
              <m:t>=</m:t>
            </m:r>
            <m:r>
              <m:rPr>
                <m:sty m:val="p"/>
              </m:rPr>
              <w:rPr>
                <w:rFonts w:ascii="Cambria Math" w:hAnsi="Cambria Math"/>
                <w:color w:val="222222"/>
                <w:sz w:val="21"/>
                <w:szCs w:val="21"/>
                <w:lang w:eastAsia="zh-CN"/>
              </w:rPr>
              <m:t>1</m:t>
            </m:r>
          </m:sub>
          <m:sup>
            <m:r>
              <m:rPr>
                <m:sty m:val="p"/>
              </m:rPr>
              <w:rPr>
                <w:rFonts w:ascii="Cambria Math" w:hAnsi="Cambria Math"/>
                <w:color w:val="222222"/>
                <w:sz w:val="21"/>
                <w:szCs w:val="21"/>
                <w:lang w:eastAsia="zh-CN"/>
              </w:rPr>
              <m:t>n</m:t>
            </m:r>
          </m:sup>
          <m:e>
            <m:r>
              <m:rPr>
                <m:sty m:val="p"/>
              </m:rPr>
              <w:rPr>
                <w:rFonts w:ascii="Cambria Math" w:hAnsi="Cambria Math"/>
                <w:color w:val="222222"/>
                <w:sz w:val="21"/>
                <w:szCs w:val="21"/>
                <w:lang w:eastAsia="zh-CN"/>
              </w:rPr>
              <m:t>(</m:t>
            </m:r>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di</m:t>
                    </m:r>
                  </m:e>
                </m:eqArr>
              </m:sub>
            </m:sSub>
            <m:r>
              <m:rPr>
                <m:sty m:val="p"/>
              </m:rPr>
              <w:rPr>
                <w:rFonts w:ascii="Cambria Math" w:hAnsi="Cambria Math"/>
                <w:color w:val="222222"/>
                <w:sz w:val="21"/>
                <w:szCs w:val="21"/>
                <w:lang w:eastAsia="zh-CN"/>
              </w:rPr>
              <m:t>×</m:t>
            </m:r>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d</m:t>
                </m:r>
              </m:sub>
            </m:sSub>
            <m:r>
              <m:rPr>
                <m:sty m:val="p"/>
              </m:rPr>
              <w:rPr>
                <w:rFonts w:ascii="Cambria Math" w:hAnsi="Cambria Math"/>
                <w:color w:val="222222"/>
                <w:sz w:val="21"/>
                <w:szCs w:val="21"/>
                <w:lang w:eastAsia="zh-CN"/>
              </w:rPr>
              <m:t>+</m:t>
            </m:r>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pi</m:t>
                    </m:r>
                  </m:e>
                </m:eqArr>
              </m:sub>
            </m:sSub>
            <m:r>
              <m:rPr>
                <m:sty m:val="p"/>
              </m:rPr>
              <w:rPr>
                <w:rFonts w:ascii="Cambria Math" w:hAnsi="Cambria Math"/>
                <w:color w:val="222222"/>
                <w:sz w:val="21"/>
                <w:szCs w:val="21"/>
                <w:lang w:eastAsia="zh-CN"/>
              </w:rPr>
              <m:t>×</m:t>
            </m:r>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p</m:t>
                </m:r>
              </m:sub>
            </m:sSub>
            <m:r>
              <m:rPr>
                <m:sty m:val="p"/>
              </m:rPr>
              <w:rPr>
                <w:rFonts w:ascii="Cambria Math" w:hAnsi="Cambria Math"/>
                <w:color w:val="222222"/>
                <w:sz w:val="21"/>
                <w:szCs w:val="21"/>
                <w:lang w:eastAsia="zh-CN"/>
              </w:rPr>
              <m:t>+</m:t>
            </m:r>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ei</m:t>
                    </m:r>
                  </m:e>
                </m:eqArr>
              </m:sub>
            </m:sSub>
            <m:r>
              <m:rPr>
                <m:sty m:val="p"/>
              </m:rPr>
              <w:rPr>
                <w:rFonts w:ascii="Cambria Math" w:hAnsi="Cambria Math"/>
                <w:color w:val="222222"/>
                <w:sz w:val="21"/>
                <w:szCs w:val="21"/>
                <w:lang w:eastAsia="zh-CN"/>
              </w:rPr>
              <m:t>×</m:t>
            </m:r>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e</m:t>
                </m:r>
              </m:sub>
            </m:sSub>
            <m:r>
              <m:rPr>
                <m:sty m:val="p"/>
              </m:rPr>
              <w:rPr>
                <w:rFonts w:ascii="Cambria Math" w:hAnsi="Cambria Math"/>
                <w:color w:val="222222"/>
                <w:sz w:val="21"/>
                <w:szCs w:val="21"/>
                <w:lang w:eastAsia="zh-CN"/>
              </w:rPr>
              <m:t>)</m:t>
            </m:r>
          </m:e>
        </m:nary>
      </m:oMath>
      <w:r>
        <w:rPr>
          <w:rFonts w:asciiTheme="minorEastAsia" w:hAnsiTheme="minorEastAsia" w:hint="eastAsia"/>
          <w:color w:val="222222"/>
          <w:sz w:val="21"/>
          <w:szCs w:val="21"/>
          <w:lang w:eastAsia="zh-CN"/>
        </w:rPr>
        <w:t xml:space="preserve">              （4-1）</w:t>
      </w:r>
    </w:p>
    <w:p w:rsidR="006C6F1D" w:rsidRPr="009722BA" w:rsidRDefault="006C6F1D" w:rsidP="006C6F1D">
      <w:pPr>
        <w:spacing w:line="240" w:lineRule="auto"/>
        <w:ind w:right="210"/>
        <w:rPr>
          <w:rFonts w:asciiTheme="minorEastAsia" w:hAnsiTheme="minorEastAsia"/>
          <w:color w:val="222222"/>
          <w:sz w:val="21"/>
          <w:szCs w:val="21"/>
          <w:lang w:eastAsia="zh-CN"/>
        </w:rPr>
      </w:pPr>
      <w:r w:rsidRPr="009722BA">
        <w:rPr>
          <w:rFonts w:asciiTheme="minorEastAsia" w:hAnsiTheme="minorEastAsia"/>
          <w:color w:val="222222"/>
          <w:sz w:val="21"/>
          <w:szCs w:val="21"/>
          <w:lang w:eastAsia="zh-CN"/>
        </w:rPr>
        <w:t>其中</w:t>
      </w:r>
      <m:oMath>
        <m:sSub>
          <m:sSubPr>
            <m:ctrlPr>
              <w:rPr>
                <w:rFonts w:ascii="Cambria Math" w:hAnsi="Cambria Math"/>
                <w:color w:val="222222"/>
                <w:sz w:val="21"/>
                <w:szCs w:val="21"/>
              </w:rPr>
            </m:ctrlPr>
          </m:sSubPr>
          <m:e>
            <m:r>
              <m:rPr>
                <m:sty m:val="p"/>
              </m:rPr>
              <w:rPr>
                <w:rFonts w:ascii="Cambria Math" w:hAnsi="Cambria Math" w:hint="eastAsia"/>
                <w:color w:val="222222"/>
                <w:sz w:val="21"/>
                <w:szCs w:val="21"/>
                <w:lang w:eastAsia="zh-CN"/>
              </w:rPr>
              <m:t>Q</m:t>
            </m:r>
          </m:e>
          <m:sub>
            <m:r>
              <m:rPr>
                <m:sty m:val="p"/>
              </m:rPr>
              <w:rPr>
                <w:rFonts w:ascii="Cambria Math" w:hAnsi="Cambria Math"/>
                <w:color w:val="222222"/>
                <w:sz w:val="21"/>
                <w:szCs w:val="21"/>
                <w:lang w:eastAsia="zh-CN"/>
              </w:rPr>
              <m:t>p</m:t>
            </m:r>
          </m:sub>
        </m:sSub>
      </m:oMath>
      <w:r w:rsidRPr="009722BA">
        <w:rPr>
          <w:rFonts w:asciiTheme="minorEastAsia" w:hAnsiTheme="minorEastAsia"/>
          <w:color w:val="222222"/>
          <w:sz w:val="21"/>
          <w:szCs w:val="21"/>
          <w:lang w:eastAsia="zh-CN"/>
        </w:rPr>
        <w:t>为装配式建筑在构件生产制造阶段的碳排放量</w:t>
      </w:r>
      <w:r w:rsidRPr="009722BA">
        <w:rPr>
          <w:rFonts w:asciiTheme="minorEastAsia" w:hAnsiTheme="minorEastAsia" w:hint="eastAsia"/>
          <w:color w:val="222222"/>
          <w:sz w:val="21"/>
          <w:szCs w:val="21"/>
          <w:lang w:eastAsia="zh-CN"/>
        </w:rPr>
        <w:t>；</w:t>
      </w:r>
      <m:oMath>
        <m:r>
          <m:rPr>
            <m:sty m:val="p"/>
          </m:rPr>
          <w:rPr>
            <w:rFonts w:ascii="Cambria Math" w:hAnsi="Cambria Math"/>
            <w:color w:val="222222"/>
            <w:sz w:val="21"/>
            <w:szCs w:val="21"/>
            <w:lang w:eastAsia="zh-CN"/>
          </w:rPr>
          <m:t>n</m:t>
        </m:r>
      </m:oMath>
      <w:r w:rsidRPr="009722BA">
        <w:rPr>
          <w:rFonts w:asciiTheme="minorEastAsia" w:hAnsiTheme="minorEastAsia" w:hint="eastAsia"/>
          <w:color w:val="222222"/>
          <w:sz w:val="21"/>
          <w:szCs w:val="21"/>
          <w:lang w:eastAsia="zh-CN"/>
        </w:rPr>
        <w:t>为构件的类型；</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di</m:t>
                </m:r>
              </m:e>
            </m:eqAr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pi</m:t>
                </m:r>
              </m:e>
            </m:eqAr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F</m:t>
            </m:r>
          </m:e>
          <m:sub>
            <m:eqArr>
              <m:eqArrPr>
                <m:ctrlPr>
                  <w:rPr>
                    <w:rFonts w:ascii="Cambria Math" w:hAnsi="Cambria Math"/>
                    <w:color w:val="222222"/>
                    <w:sz w:val="21"/>
                    <w:szCs w:val="21"/>
                  </w:rPr>
                </m:ctrlPr>
              </m:eqArrPr>
              <m:e>
                <m:r>
                  <m:rPr>
                    <m:sty m:val="p"/>
                  </m:rPr>
                  <w:rPr>
                    <w:rFonts w:ascii="Cambria Math" w:hAnsi="Cambria Math"/>
                    <w:color w:val="222222"/>
                    <w:sz w:val="21"/>
                    <w:szCs w:val="21"/>
                    <w:lang w:eastAsia="zh-CN"/>
                  </w:rPr>
                  <m:t>ei</m:t>
                </m:r>
              </m:e>
            </m:eqArr>
          </m:sub>
        </m:sSub>
      </m:oMath>
      <w:r w:rsidRPr="009722BA">
        <w:rPr>
          <w:rFonts w:asciiTheme="minorEastAsia" w:hAnsiTheme="minorEastAsia"/>
          <w:color w:val="222222"/>
          <w:sz w:val="21"/>
          <w:szCs w:val="21"/>
          <w:lang w:eastAsia="zh-CN"/>
        </w:rPr>
        <w:t>分别为生产第</w:t>
      </w:r>
      <m:oMath>
        <m:r>
          <m:rPr>
            <m:sty m:val="p"/>
          </m:rPr>
          <w:rPr>
            <w:rFonts w:ascii="Cambria Math" w:hAnsi="Cambria Math"/>
            <w:color w:val="222222"/>
            <w:sz w:val="21"/>
            <w:szCs w:val="21"/>
            <w:lang w:eastAsia="zh-CN"/>
          </w:rPr>
          <m:t>i</m:t>
        </m:r>
      </m:oMath>
      <w:r w:rsidRPr="009722BA">
        <w:rPr>
          <w:rFonts w:asciiTheme="minorEastAsia" w:hAnsiTheme="minorEastAsia"/>
          <w:color w:val="222222"/>
          <w:sz w:val="21"/>
          <w:szCs w:val="21"/>
          <w:lang w:eastAsia="zh-CN"/>
        </w:rPr>
        <w:t>种构件所消耗的柴油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汽油以及电能</w:t>
      </w:r>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d</m:t>
            </m: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p</m:t>
            </m:r>
          </m:sub>
        </m:sSub>
      </m:oMath>
      <w:r w:rsidRPr="009722BA">
        <w:rPr>
          <w:rFonts w:asciiTheme="minorEastAsia" w:hAnsiTheme="minorEastAsia" w:hint="eastAsia"/>
          <w:color w:val="222222"/>
          <w:sz w:val="21"/>
          <w:szCs w:val="21"/>
          <w:lang w:eastAsia="zh-CN"/>
        </w:rPr>
        <w:t>、</w:t>
      </w:r>
      <m:oMath>
        <m:sSub>
          <m:sSubPr>
            <m:ctrlPr>
              <w:rPr>
                <w:rFonts w:ascii="Cambria Math" w:hAnsi="Cambria Math"/>
                <w:color w:val="222222"/>
                <w:sz w:val="21"/>
                <w:szCs w:val="21"/>
              </w:rPr>
            </m:ctrlPr>
          </m:sSubPr>
          <m:e>
            <m:r>
              <m:rPr>
                <m:sty m:val="p"/>
              </m:rPr>
              <w:rPr>
                <w:rFonts w:ascii="Cambria Math" w:hAnsi="Cambria Math"/>
                <w:color w:val="222222"/>
                <w:sz w:val="21"/>
                <w:szCs w:val="21"/>
                <w:lang w:eastAsia="zh-CN"/>
              </w:rPr>
              <m:t>E</m:t>
            </m:r>
          </m:e>
          <m:sub>
            <m:r>
              <m:rPr>
                <m:sty m:val="p"/>
              </m:rPr>
              <w:rPr>
                <w:rFonts w:ascii="Cambria Math" w:hAnsi="Cambria Math"/>
                <w:color w:val="222222"/>
                <w:sz w:val="21"/>
                <w:szCs w:val="21"/>
                <w:lang w:eastAsia="zh-CN"/>
              </w:rPr>
              <m:t>e</m:t>
            </m:r>
          </m:sub>
        </m:sSub>
      </m:oMath>
      <w:r w:rsidRPr="009722BA">
        <w:rPr>
          <w:rFonts w:asciiTheme="minorEastAsia" w:hAnsiTheme="minorEastAsia"/>
          <w:color w:val="222222"/>
          <w:sz w:val="21"/>
          <w:szCs w:val="21"/>
          <w:lang w:eastAsia="zh-CN"/>
        </w:rPr>
        <w:t>分别为柴油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汽油</w:t>
      </w:r>
      <w:r w:rsidRPr="009722BA">
        <w:rPr>
          <w:rFonts w:asciiTheme="minorEastAsia" w:hAnsiTheme="minorEastAsia" w:hint="eastAsia"/>
          <w:color w:val="222222"/>
          <w:sz w:val="21"/>
          <w:szCs w:val="21"/>
          <w:lang w:eastAsia="zh-CN"/>
        </w:rPr>
        <w:t>、</w:t>
      </w:r>
      <w:r w:rsidRPr="009722BA">
        <w:rPr>
          <w:rFonts w:asciiTheme="minorEastAsia" w:hAnsiTheme="minorEastAsia"/>
          <w:color w:val="222222"/>
          <w:sz w:val="21"/>
          <w:szCs w:val="21"/>
          <w:lang w:eastAsia="zh-CN"/>
        </w:rPr>
        <w:t>电能的碳排放因子</w:t>
      </w:r>
      <w:r w:rsidRPr="009722BA">
        <w:rPr>
          <w:rFonts w:asciiTheme="minorEastAsia" w:hAnsiTheme="minorEastAsia" w:hint="eastAsia"/>
          <w:color w:val="222222"/>
          <w:sz w:val="21"/>
          <w:szCs w:val="21"/>
          <w:lang w:eastAsia="zh-CN"/>
        </w:rPr>
        <w:t>。</w:t>
      </w:r>
    </w:p>
    <w:p w:rsidR="006C6F1D" w:rsidRPr="009722BA" w:rsidRDefault="006C6F1D" w:rsidP="006C6F1D">
      <w:pPr>
        <w:spacing w:line="240" w:lineRule="auto"/>
        <w:ind w:right="210"/>
        <w:rPr>
          <w:rFonts w:asciiTheme="minorEastAsia" w:hAnsiTheme="minorEastAsia"/>
          <w:color w:val="222222"/>
          <w:sz w:val="21"/>
          <w:szCs w:val="21"/>
          <w:lang w:eastAsia="zh-CN"/>
        </w:rPr>
      </w:pPr>
      <w:r w:rsidRPr="009722BA">
        <w:rPr>
          <w:rFonts w:asciiTheme="minorEastAsia" w:hAnsiTheme="minorEastAsia" w:hint="eastAsia"/>
          <w:color w:val="222222"/>
          <w:sz w:val="21"/>
          <w:szCs w:val="21"/>
          <w:lang w:eastAsia="zh-CN"/>
        </w:rPr>
        <w:t>据文献调研结果，装配式建筑主要分为三种类型：1） 半装配式建筑；2）综合装配式建筑；3）整体建造式建筑；[1]半装配式建筑即实现部分建筑构件的工厂化生产并在现场组装而其余部分则在现场施工生产；综合装配式建筑实现了全部建筑构件的工厂化生产，并且建筑整体在现场装配完成；整体建造式建筑则实现建筑整体的工厂内生产，最后整体运输至现场。然而考虑到实际应用过程中的结构、强度以及可操作性等问题，目前的装配式建筑基本为半装配式建筑。为了量化建筑整体使用装配式构件的情况，引入预制率，其计算方法为[</w:t>
      </w:r>
      <w:r w:rsidR="005A4E4C" w:rsidRPr="009722BA">
        <w:rPr>
          <w:rFonts w:asciiTheme="minorEastAsia" w:hAnsiTheme="minorEastAsia" w:hint="eastAsia"/>
          <w:color w:val="222222"/>
          <w:sz w:val="21"/>
          <w:szCs w:val="21"/>
          <w:lang w:eastAsia="zh-CN"/>
        </w:rPr>
        <w:t>3</w:t>
      </w:r>
      <w:r w:rsidRPr="009722BA">
        <w:rPr>
          <w:rFonts w:asciiTheme="minorEastAsia" w:hAnsiTheme="minorEastAsia" w:hint="eastAsia"/>
          <w:color w:val="222222"/>
          <w:sz w:val="21"/>
          <w:szCs w:val="21"/>
          <w:lang w:eastAsia="zh-CN"/>
        </w:rPr>
        <w:t>]：</w:t>
      </w:r>
    </w:p>
    <w:p w:rsidR="00FE7C8B" w:rsidRDefault="00FE7C8B" w:rsidP="006C6F1D">
      <w:pPr>
        <w:spacing w:line="240" w:lineRule="auto"/>
        <w:ind w:right="210"/>
        <w:rPr>
          <w:rFonts w:asciiTheme="minorEastAsia" w:hAnsiTheme="minorEastAsia" w:cs="Times New Roman"/>
          <w:sz w:val="21"/>
          <w:szCs w:val="21"/>
          <w:lang w:eastAsia="zh-CN"/>
        </w:rPr>
      </w:pPr>
      <w:r>
        <w:rPr>
          <w:rFonts w:asciiTheme="minorEastAsia" w:hAnsiTheme="minorEastAsia" w:hint="eastAsia"/>
          <w:sz w:val="21"/>
          <w:szCs w:val="21"/>
          <w:lang w:eastAsia="zh-CN"/>
        </w:rPr>
        <w:t xml:space="preserve">                                  </w:t>
      </w:r>
      <m:oMath>
        <m:r>
          <m:rPr>
            <m:sty m:val="p"/>
          </m:rPr>
          <w:rPr>
            <w:rFonts w:ascii="Cambria Math" w:hAnsi="Cambria Math" w:cs="Times New Roman" w:hint="eastAsia"/>
            <w:sz w:val="21"/>
            <w:szCs w:val="21"/>
            <w:lang w:eastAsia="zh-CN"/>
          </w:rPr>
          <m:t>P=</m:t>
        </m:r>
        <m:f>
          <m:fPr>
            <m:ctrlPr>
              <w:rPr>
                <w:rFonts w:ascii="Cambria Math" w:hAnsi="Cambria Math" w:cs="Times New Roman"/>
                <w:sz w:val="21"/>
                <w:szCs w:val="21"/>
              </w:rPr>
            </m:ctrlPr>
          </m:fPr>
          <m:num>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num>
          <m:den>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r>
              <m:rPr>
                <m:sty m:val="p"/>
              </m:rPr>
              <w:rPr>
                <w:rFonts w:ascii="Cambria Math" w:hAnsi="Cambria Math" w:cs="Times New Roman" w:hint="eastAsia"/>
                <w:sz w:val="21"/>
                <w:szCs w:val="21"/>
                <w:lang w:eastAsia="zh-CN"/>
              </w:rPr>
              <m:t>+</m:t>
            </m:r>
            <m:sSub>
              <m:sSubPr>
                <m:ctrlPr>
                  <w:rPr>
                    <w:rFonts w:ascii="Cambria Math" w:hAnsi="Cambria Math" w:cs="Times New Roman"/>
                    <w:sz w:val="21"/>
                    <w:szCs w:val="21"/>
                  </w:rPr>
                </m:ctrlPr>
              </m:sSubPr>
              <m:e>
                <m:r>
                  <w:rPr>
                    <w:rFonts w:ascii="Cambria Math" w:hAnsi="Cambria Math" w:cs="Times New Roman" w:hint="eastAsia"/>
                    <w:sz w:val="21"/>
                    <w:szCs w:val="21"/>
                    <w:lang w:eastAsia="zh-CN"/>
                  </w:rPr>
                  <m:t>V</m:t>
                </m:r>
              </m:e>
              <m:sub>
                <m:r>
                  <m:rPr>
                    <m:sty m:val="p"/>
                  </m:rPr>
                  <w:rPr>
                    <w:rFonts w:ascii="Cambria Math" w:hAnsi="Cambria Math" w:cs="Times New Roman"/>
                    <w:sz w:val="21"/>
                    <w:szCs w:val="21"/>
                    <w:lang w:eastAsia="zh-CN"/>
                  </w:rPr>
                  <m:t>2</m:t>
                </m:r>
              </m:sub>
            </m:sSub>
          </m:den>
        </m:f>
      </m:oMath>
      <w:r>
        <w:rPr>
          <w:rFonts w:asciiTheme="minorEastAsia" w:hAnsiTheme="minorEastAsia" w:hint="eastAsia"/>
          <w:sz w:val="21"/>
          <w:szCs w:val="21"/>
          <w:lang w:eastAsia="zh-CN"/>
        </w:rPr>
        <w:t xml:space="preserve">                            </w:t>
      </w:r>
      <w:r>
        <w:rPr>
          <w:rFonts w:asciiTheme="minorEastAsia" w:hAnsiTheme="minorEastAsia" w:cs="Times New Roman" w:hint="eastAsia"/>
          <w:sz w:val="21"/>
          <w:szCs w:val="21"/>
          <w:lang w:eastAsia="zh-CN"/>
        </w:rPr>
        <w:t>（4-2）</w:t>
      </w:r>
    </w:p>
    <w:p w:rsidR="006C6F1D" w:rsidRPr="009722BA" w:rsidRDefault="006C6F1D" w:rsidP="006C6F1D">
      <w:pPr>
        <w:spacing w:line="240" w:lineRule="auto"/>
        <w:ind w:right="210"/>
        <w:rPr>
          <w:rFonts w:asciiTheme="minorEastAsia" w:hAnsiTheme="minorEastAsia" w:cs="Times New Roman"/>
          <w:sz w:val="21"/>
          <w:szCs w:val="21"/>
          <w:lang w:eastAsia="zh-CN"/>
        </w:rPr>
      </w:pPr>
      <w:r w:rsidRPr="009722BA">
        <w:rPr>
          <w:rFonts w:asciiTheme="minorEastAsia" w:hAnsiTheme="minorEastAsia" w:cs="Times New Roman" w:hint="eastAsia"/>
          <w:sz w:val="21"/>
          <w:szCs w:val="21"/>
          <w:lang w:eastAsia="zh-CN"/>
        </w:rPr>
        <w:t>其中，P为单体建筑预制率；</w:t>
      </w:r>
      <m:oMath>
        <m:sSub>
          <m:sSubPr>
            <m:ctrlPr>
              <w:rPr>
                <w:rFonts w:ascii="Cambria Math" w:hAnsi="Cambria Math" w:cs="Times New Roman"/>
                <w:sz w:val="21"/>
                <w:szCs w:val="21"/>
              </w:rPr>
            </m:ctrlPr>
          </m:sSubPr>
          <m:e>
            <m:r>
              <w:rPr>
                <w:rFonts w:ascii="Cambria Math" w:hAnsi="Cambria Math" w:cs="Times New Roman"/>
                <w:sz w:val="21"/>
                <w:szCs w:val="21"/>
                <w:lang w:eastAsia="zh-CN"/>
              </w:rPr>
              <m:t>V</m:t>
            </m:r>
          </m:e>
          <m:sub>
            <m:r>
              <m:rPr>
                <m:sty m:val="p"/>
              </m:rPr>
              <w:rPr>
                <w:rFonts w:ascii="Cambria Math" w:hAnsi="Cambria Math" w:cs="Times New Roman"/>
                <w:sz w:val="21"/>
                <w:szCs w:val="21"/>
                <w:lang w:eastAsia="zh-CN"/>
              </w:rPr>
              <m:t>1</m:t>
            </m:r>
          </m:sub>
        </m:sSub>
      </m:oMath>
      <w:r w:rsidRPr="009722BA">
        <w:rPr>
          <w:rFonts w:asciiTheme="minorEastAsia" w:hAnsiTheme="minorEastAsia" w:cs="Times New Roman"/>
          <w:sz w:val="21"/>
          <w:szCs w:val="21"/>
          <w:lang w:eastAsia="zh-CN"/>
        </w:rPr>
        <w:t>为建筑标高±</w:t>
      </w:r>
      <w:r w:rsidRPr="009722BA">
        <w:rPr>
          <w:rFonts w:asciiTheme="minorEastAsia" w:hAnsiTheme="minorEastAsia" w:cs="Times New Roman" w:hint="eastAsia"/>
          <w:sz w:val="21"/>
          <w:szCs w:val="21"/>
          <w:lang w:eastAsia="zh-CN"/>
        </w:rPr>
        <w:t>0.000以上部分结构构件采用预制件的体积；</w:t>
      </w:r>
      <m:oMath>
        <m:sSub>
          <m:sSubPr>
            <m:ctrlPr>
              <w:rPr>
                <w:rFonts w:ascii="Cambria Math" w:hAnsi="Cambria Math" w:cs="Times New Roman"/>
                <w:sz w:val="21"/>
                <w:szCs w:val="21"/>
              </w:rPr>
            </m:ctrlPr>
          </m:sSubPr>
          <m:e>
            <m:r>
              <w:rPr>
                <w:rFonts w:ascii="Cambria Math" w:hAnsi="Cambria Math" w:cs="Times New Roman" w:hint="eastAsia"/>
                <w:sz w:val="21"/>
                <w:szCs w:val="21"/>
                <w:lang w:eastAsia="zh-CN"/>
              </w:rPr>
              <m:t>V</m:t>
            </m:r>
          </m:e>
          <m:sub>
            <m:r>
              <m:rPr>
                <m:sty m:val="p"/>
              </m:rPr>
              <w:rPr>
                <w:rFonts w:ascii="Cambria Math" w:hAnsi="Cambria Math" w:cs="Times New Roman"/>
                <w:sz w:val="21"/>
                <w:szCs w:val="21"/>
                <w:lang w:eastAsia="zh-CN"/>
              </w:rPr>
              <m:t>2</m:t>
            </m:r>
          </m:sub>
        </m:sSub>
      </m:oMath>
      <w:r w:rsidRPr="009722BA">
        <w:rPr>
          <w:rFonts w:asciiTheme="minorEastAsia" w:hAnsiTheme="minorEastAsia" w:cs="Times New Roman"/>
          <w:sz w:val="21"/>
          <w:szCs w:val="21"/>
          <w:lang w:eastAsia="zh-CN"/>
        </w:rPr>
        <w:t>为建筑标高±</w:t>
      </w:r>
      <w:r w:rsidRPr="009722BA">
        <w:rPr>
          <w:rFonts w:asciiTheme="minorEastAsia" w:hAnsiTheme="minorEastAsia" w:cs="Times New Roman" w:hint="eastAsia"/>
          <w:sz w:val="21"/>
          <w:szCs w:val="21"/>
          <w:lang w:eastAsia="zh-CN"/>
        </w:rPr>
        <w:t>0.000以上部分结构构件采取现浇混凝土形式构造的体积。</w:t>
      </w:r>
    </w:p>
    <w:p w:rsidR="006C6F1D" w:rsidRPr="009722BA" w:rsidRDefault="006C6F1D" w:rsidP="006C6F1D">
      <w:pPr>
        <w:spacing w:line="240" w:lineRule="auto"/>
        <w:ind w:right="210"/>
        <w:rPr>
          <w:rFonts w:asciiTheme="minorEastAsia" w:hAnsiTheme="minorEastAsia" w:cs="Times New Roman"/>
          <w:sz w:val="21"/>
          <w:szCs w:val="21"/>
          <w:lang w:eastAsia="zh-CN"/>
        </w:rPr>
      </w:pPr>
      <w:r w:rsidRPr="009722BA">
        <w:rPr>
          <w:rFonts w:asciiTheme="minorEastAsia" w:hAnsiTheme="minorEastAsia" w:cs="Times New Roman" w:hint="eastAsia"/>
          <w:sz w:val="21"/>
          <w:szCs w:val="21"/>
          <w:lang w:eastAsia="zh-CN"/>
        </w:rPr>
        <w:t>装配式构件仅涉及基础以上的混凝土钢筋结构以及砌体结构。由于该市政综合体尚处于规划阶段，无法获得详细的建筑构件消耗量，故根据文献资料提供的装配式建筑相较于现浇式建筑的</w:t>
      </w:r>
      <w:proofErr w:type="gramStart"/>
      <w:r w:rsidRPr="009722BA">
        <w:rPr>
          <w:rFonts w:asciiTheme="minorEastAsia" w:hAnsiTheme="minorEastAsia" w:cs="Times New Roman" w:hint="eastAsia"/>
          <w:sz w:val="21"/>
          <w:szCs w:val="21"/>
          <w:lang w:eastAsia="zh-CN"/>
        </w:rPr>
        <w:t>减碳量</w:t>
      </w:r>
      <w:proofErr w:type="gramEnd"/>
      <w:r w:rsidRPr="009722BA">
        <w:rPr>
          <w:rFonts w:asciiTheme="minorEastAsia" w:hAnsiTheme="minorEastAsia" w:cs="Times New Roman" w:hint="eastAsia"/>
          <w:sz w:val="21"/>
          <w:szCs w:val="21"/>
          <w:lang w:eastAsia="zh-CN"/>
        </w:rPr>
        <w:t>对市政综合体采用装配式建筑后的</w:t>
      </w:r>
      <w:proofErr w:type="gramStart"/>
      <w:r w:rsidRPr="009722BA">
        <w:rPr>
          <w:rFonts w:asciiTheme="minorEastAsia" w:hAnsiTheme="minorEastAsia" w:cs="Times New Roman" w:hint="eastAsia"/>
          <w:sz w:val="21"/>
          <w:szCs w:val="21"/>
          <w:lang w:eastAsia="zh-CN"/>
        </w:rPr>
        <w:t>减碳量</w:t>
      </w:r>
      <w:proofErr w:type="gramEnd"/>
      <w:r w:rsidRPr="009722BA">
        <w:rPr>
          <w:rFonts w:asciiTheme="minorEastAsia" w:hAnsiTheme="minorEastAsia" w:cs="Times New Roman" w:hint="eastAsia"/>
          <w:sz w:val="21"/>
          <w:szCs w:val="21"/>
          <w:lang w:eastAsia="zh-CN"/>
        </w:rPr>
        <w:t>进行估计。</w:t>
      </w:r>
    </w:p>
    <w:p w:rsidR="006C6F1D" w:rsidRPr="009722BA" w:rsidRDefault="005A4E4C" w:rsidP="005A4E4C">
      <w:pPr>
        <w:spacing w:line="240" w:lineRule="auto"/>
        <w:ind w:right="210"/>
        <w:rPr>
          <w:sz w:val="21"/>
          <w:szCs w:val="21"/>
          <w:lang w:eastAsia="zh-CN"/>
        </w:rPr>
      </w:pPr>
      <w:r w:rsidRPr="009722BA">
        <w:rPr>
          <w:rFonts w:hint="eastAsia"/>
          <w:sz w:val="21"/>
          <w:szCs w:val="21"/>
          <w:lang w:eastAsia="zh-CN"/>
        </w:rPr>
        <w:t>根据王广明等人</w:t>
      </w:r>
      <w:r w:rsidRPr="009722BA">
        <w:rPr>
          <w:rFonts w:hint="eastAsia"/>
          <w:sz w:val="21"/>
          <w:szCs w:val="21"/>
          <w:lang w:eastAsia="zh-CN"/>
        </w:rPr>
        <w:t>[</w:t>
      </w:r>
      <w:r w:rsidR="00C93D2A" w:rsidRPr="009722BA">
        <w:rPr>
          <w:rFonts w:hint="eastAsia"/>
          <w:sz w:val="21"/>
          <w:szCs w:val="21"/>
          <w:lang w:eastAsia="zh-CN"/>
        </w:rPr>
        <w:t>4</w:t>
      </w:r>
      <w:r w:rsidRPr="009722BA">
        <w:rPr>
          <w:rFonts w:hint="eastAsia"/>
          <w:sz w:val="21"/>
          <w:szCs w:val="21"/>
          <w:lang w:eastAsia="zh-CN"/>
        </w:rPr>
        <w:t>]</w:t>
      </w:r>
      <w:r w:rsidRPr="009722BA">
        <w:rPr>
          <w:rFonts w:hint="eastAsia"/>
          <w:sz w:val="21"/>
          <w:szCs w:val="21"/>
          <w:lang w:eastAsia="zh-CN"/>
        </w:rPr>
        <w:t>的研究同等体积下预制建筑构件与现浇式建筑构件的建筑材料的节省量如表</w:t>
      </w:r>
      <w:r w:rsidRPr="009722BA">
        <w:rPr>
          <w:rFonts w:hint="eastAsia"/>
          <w:sz w:val="21"/>
          <w:szCs w:val="21"/>
          <w:lang w:eastAsia="zh-CN"/>
        </w:rPr>
        <w:t>x</w:t>
      </w:r>
      <w:r w:rsidRPr="009722BA">
        <w:rPr>
          <w:rFonts w:hint="eastAsia"/>
          <w:sz w:val="21"/>
          <w:szCs w:val="21"/>
          <w:lang w:eastAsia="zh-CN"/>
        </w:rPr>
        <w:t>所示。</w:t>
      </w:r>
    </w:p>
    <w:p w:rsidR="00406642" w:rsidRPr="009722BA" w:rsidRDefault="00406642" w:rsidP="00406642">
      <w:pPr>
        <w:spacing w:line="240" w:lineRule="auto"/>
        <w:ind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装配式建筑相较于现浇式建筑主要建筑材料的节省率</w:t>
      </w:r>
    </w:p>
    <w:tbl>
      <w:tblPr>
        <w:tblStyle w:val="a6"/>
        <w:tblW w:w="0" w:type="auto"/>
        <w:jc w:val="center"/>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61"/>
        <w:gridCol w:w="4261"/>
      </w:tblGrid>
      <w:tr w:rsidR="005A4E4C" w:rsidRPr="009722BA" w:rsidTr="00E86650">
        <w:trPr>
          <w:jc w:val="center"/>
        </w:trPr>
        <w:tc>
          <w:tcPr>
            <w:tcW w:w="4261" w:type="dxa"/>
            <w:tcBorders>
              <w:top w:val="single" w:sz="12" w:space="0" w:color="auto"/>
              <w:bottom w:val="single" w:sz="4" w:space="0" w:color="auto"/>
            </w:tcBorders>
          </w:tcPr>
          <w:p w:rsidR="005A4E4C" w:rsidRPr="009722BA" w:rsidRDefault="005A4E4C" w:rsidP="00E86650">
            <w:pPr>
              <w:ind w:right="210"/>
              <w:jc w:val="center"/>
              <w:rPr>
                <w:sz w:val="21"/>
                <w:szCs w:val="21"/>
              </w:rPr>
            </w:pPr>
            <w:proofErr w:type="spellStart"/>
            <w:r w:rsidRPr="009722BA">
              <w:rPr>
                <w:rFonts w:hint="eastAsia"/>
                <w:sz w:val="21"/>
                <w:szCs w:val="21"/>
              </w:rPr>
              <w:t>建筑材料</w:t>
            </w:r>
            <w:proofErr w:type="spellEnd"/>
          </w:p>
        </w:tc>
        <w:tc>
          <w:tcPr>
            <w:tcW w:w="4261" w:type="dxa"/>
            <w:tcBorders>
              <w:top w:val="single" w:sz="12" w:space="0" w:color="auto"/>
              <w:bottom w:val="single" w:sz="4" w:space="0" w:color="auto"/>
            </w:tcBorders>
          </w:tcPr>
          <w:p w:rsidR="005A4E4C" w:rsidRPr="009722BA" w:rsidRDefault="005A4E4C" w:rsidP="00E86650">
            <w:pPr>
              <w:ind w:right="210"/>
              <w:jc w:val="center"/>
              <w:rPr>
                <w:sz w:val="21"/>
                <w:szCs w:val="21"/>
              </w:rPr>
            </w:pPr>
            <w:proofErr w:type="gramStart"/>
            <w:r w:rsidRPr="009722BA">
              <w:rPr>
                <w:rFonts w:hint="eastAsia"/>
                <w:sz w:val="21"/>
                <w:szCs w:val="21"/>
              </w:rPr>
              <w:t>节省率</w:t>
            </w:r>
            <w:r w:rsidRPr="009722BA">
              <w:rPr>
                <w:rFonts w:hint="eastAsia"/>
                <w:sz w:val="21"/>
                <w:szCs w:val="21"/>
              </w:rPr>
              <w:t>(</w:t>
            </w:r>
            <w:proofErr w:type="gramEnd"/>
            <w:r w:rsidRPr="009722BA">
              <w:rPr>
                <w:rFonts w:hint="eastAsia"/>
                <w:sz w:val="21"/>
                <w:szCs w:val="21"/>
              </w:rPr>
              <w:t>%)</w:t>
            </w:r>
          </w:p>
        </w:tc>
      </w:tr>
      <w:tr w:rsidR="005A4E4C" w:rsidRPr="009722BA" w:rsidTr="00E86650">
        <w:trPr>
          <w:jc w:val="center"/>
        </w:trPr>
        <w:tc>
          <w:tcPr>
            <w:tcW w:w="4261" w:type="dxa"/>
            <w:tcBorders>
              <w:top w:val="single" w:sz="4" w:space="0" w:color="auto"/>
            </w:tcBorders>
          </w:tcPr>
          <w:p w:rsidR="005A4E4C" w:rsidRPr="009722BA" w:rsidRDefault="005A4E4C" w:rsidP="00E86650">
            <w:pPr>
              <w:ind w:right="210"/>
              <w:jc w:val="center"/>
              <w:rPr>
                <w:sz w:val="21"/>
                <w:szCs w:val="21"/>
              </w:rPr>
            </w:pPr>
            <w:r w:rsidRPr="009722BA">
              <w:rPr>
                <w:rFonts w:hint="eastAsia"/>
                <w:sz w:val="21"/>
                <w:szCs w:val="21"/>
              </w:rPr>
              <w:t>钢</w:t>
            </w:r>
            <w:r w:rsidR="007F088B" w:rsidRPr="009722BA">
              <w:rPr>
                <w:rFonts w:hint="eastAsia"/>
                <w:sz w:val="21"/>
                <w:szCs w:val="21"/>
              </w:rPr>
              <w:t>材</w:t>
            </w:r>
          </w:p>
        </w:tc>
        <w:tc>
          <w:tcPr>
            <w:tcW w:w="4261" w:type="dxa"/>
            <w:tcBorders>
              <w:top w:val="single" w:sz="4" w:space="0" w:color="auto"/>
            </w:tcBorders>
          </w:tcPr>
          <w:p w:rsidR="005A4E4C" w:rsidRPr="009722BA" w:rsidRDefault="005A4E4C" w:rsidP="00E86650">
            <w:pPr>
              <w:ind w:right="210"/>
              <w:jc w:val="center"/>
              <w:rPr>
                <w:sz w:val="21"/>
                <w:szCs w:val="21"/>
              </w:rPr>
            </w:pPr>
            <w:r w:rsidRPr="009722BA">
              <w:rPr>
                <w:rFonts w:hint="eastAsia"/>
                <w:sz w:val="21"/>
                <w:szCs w:val="21"/>
              </w:rPr>
              <w:t>-2.46</w:t>
            </w:r>
          </w:p>
        </w:tc>
      </w:tr>
      <w:tr w:rsidR="005A4E4C" w:rsidRPr="009722BA" w:rsidTr="00E86650">
        <w:trPr>
          <w:jc w:val="center"/>
        </w:trPr>
        <w:tc>
          <w:tcPr>
            <w:tcW w:w="4261" w:type="dxa"/>
          </w:tcPr>
          <w:p w:rsidR="005A4E4C" w:rsidRPr="009722BA" w:rsidRDefault="005A4E4C" w:rsidP="00E86650">
            <w:pPr>
              <w:ind w:right="210"/>
              <w:jc w:val="center"/>
              <w:rPr>
                <w:sz w:val="21"/>
                <w:szCs w:val="21"/>
              </w:rPr>
            </w:pPr>
            <w:r w:rsidRPr="009722BA">
              <w:rPr>
                <w:rFonts w:hint="eastAsia"/>
                <w:sz w:val="21"/>
                <w:szCs w:val="21"/>
              </w:rPr>
              <w:t>混凝土</w:t>
            </w:r>
          </w:p>
        </w:tc>
        <w:tc>
          <w:tcPr>
            <w:tcW w:w="4261" w:type="dxa"/>
          </w:tcPr>
          <w:p w:rsidR="005A4E4C" w:rsidRPr="009722BA" w:rsidRDefault="005A4E4C" w:rsidP="00E86650">
            <w:pPr>
              <w:ind w:right="210"/>
              <w:jc w:val="center"/>
              <w:rPr>
                <w:sz w:val="21"/>
                <w:szCs w:val="21"/>
              </w:rPr>
            </w:pPr>
            <w:r w:rsidRPr="009722BA">
              <w:rPr>
                <w:rFonts w:hint="eastAsia"/>
                <w:sz w:val="21"/>
                <w:szCs w:val="21"/>
              </w:rPr>
              <w:t>-2.31</w:t>
            </w:r>
          </w:p>
        </w:tc>
      </w:tr>
      <w:tr w:rsidR="005A4E4C" w:rsidRPr="009722BA" w:rsidTr="00E86650">
        <w:trPr>
          <w:jc w:val="center"/>
        </w:trPr>
        <w:tc>
          <w:tcPr>
            <w:tcW w:w="4261" w:type="dxa"/>
          </w:tcPr>
          <w:p w:rsidR="005A4E4C" w:rsidRPr="009722BA" w:rsidRDefault="00E86650" w:rsidP="00E86650">
            <w:pPr>
              <w:ind w:right="210"/>
              <w:jc w:val="center"/>
              <w:rPr>
                <w:sz w:val="21"/>
                <w:szCs w:val="21"/>
              </w:rPr>
            </w:pPr>
            <w:r w:rsidRPr="009722BA">
              <w:rPr>
                <w:rFonts w:hint="eastAsia"/>
                <w:sz w:val="21"/>
                <w:szCs w:val="21"/>
              </w:rPr>
              <w:t>木材</w:t>
            </w:r>
          </w:p>
        </w:tc>
        <w:tc>
          <w:tcPr>
            <w:tcW w:w="4261" w:type="dxa"/>
          </w:tcPr>
          <w:p w:rsidR="005A4E4C" w:rsidRPr="009722BA" w:rsidRDefault="00E86650" w:rsidP="00E86650">
            <w:pPr>
              <w:ind w:right="210"/>
              <w:jc w:val="center"/>
              <w:rPr>
                <w:sz w:val="21"/>
                <w:szCs w:val="21"/>
              </w:rPr>
            </w:pPr>
            <w:r w:rsidRPr="009722BA">
              <w:rPr>
                <w:rFonts w:hint="eastAsia"/>
                <w:sz w:val="21"/>
                <w:szCs w:val="21"/>
              </w:rPr>
              <w:t>59.3</w:t>
            </w:r>
          </w:p>
        </w:tc>
      </w:tr>
      <w:tr w:rsidR="005A4E4C" w:rsidRPr="009722BA" w:rsidTr="00E86650">
        <w:trPr>
          <w:jc w:val="center"/>
        </w:trPr>
        <w:tc>
          <w:tcPr>
            <w:tcW w:w="4261" w:type="dxa"/>
          </w:tcPr>
          <w:p w:rsidR="005A4E4C" w:rsidRPr="009722BA" w:rsidRDefault="00E86650" w:rsidP="00E86650">
            <w:pPr>
              <w:ind w:right="210"/>
              <w:jc w:val="center"/>
              <w:rPr>
                <w:sz w:val="21"/>
                <w:szCs w:val="21"/>
              </w:rPr>
            </w:pPr>
            <w:r w:rsidRPr="009722BA">
              <w:rPr>
                <w:rFonts w:hint="eastAsia"/>
                <w:sz w:val="21"/>
                <w:szCs w:val="21"/>
              </w:rPr>
              <w:lastRenderedPageBreak/>
              <w:t>水泥砂浆</w:t>
            </w:r>
          </w:p>
        </w:tc>
        <w:tc>
          <w:tcPr>
            <w:tcW w:w="4261" w:type="dxa"/>
          </w:tcPr>
          <w:p w:rsidR="005A4E4C" w:rsidRPr="009722BA" w:rsidRDefault="00E86650" w:rsidP="00E86650">
            <w:pPr>
              <w:ind w:right="210"/>
              <w:jc w:val="center"/>
              <w:rPr>
                <w:sz w:val="21"/>
                <w:szCs w:val="21"/>
              </w:rPr>
            </w:pPr>
            <w:r w:rsidRPr="009722BA">
              <w:rPr>
                <w:rFonts w:hint="eastAsia"/>
                <w:sz w:val="21"/>
                <w:szCs w:val="21"/>
              </w:rPr>
              <w:t>55.13</w:t>
            </w:r>
          </w:p>
        </w:tc>
      </w:tr>
    </w:tbl>
    <w:tbl>
      <w:tblPr>
        <w:tblW w:w="0" w:type="auto"/>
        <w:tblBorders>
          <w:bottom w:val="single" w:sz="12" w:space="0" w:color="auto"/>
        </w:tblBorders>
        <w:tblLook w:val="04A0"/>
      </w:tblPr>
      <w:tblGrid>
        <w:gridCol w:w="4261"/>
        <w:gridCol w:w="4261"/>
      </w:tblGrid>
      <w:tr w:rsidR="00E86650" w:rsidRPr="009722BA" w:rsidTr="00E86650">
        <w:tc>
          <w:tcPr>
            <w:tcW w:w="4261" w:type="dxa"/>
          </w:tcPr>
          <w:p w:rsidR="00E86650" w:rsidRPr="009722BA" w:rsidRDefault="00E86650" w:rsidP="00E86650">
            <w:pPr>
              <w:ind w:right="210"/>
              <w:jc w:val="center"/>
              <w:rPr>
                <w:sz w:val="21"/>
                <w:szCs w:val="21"/>
              </w:rPr>
            </w:pPr>
            <w:r w:rsidRPr="009722BA">
              <w:rPr>
                <w:rFonts w:hint="eastAsia"/>
                <w:sz w:val="21"/>
                <w:szCs w:val="21"/>
              </w:rPr>
              <w:t>保温材料</w:t>
            </w:r>
          </w:p>
        </w:tc>
        <w:tc>
          <w:tcPr>
            <w:tcW w:w="4261" w:type="dxa"/>
          </w:tcPr>
          <w:p w:rsidR="00E86650" w:rsidRPr="009722BA" w:rsidRDefault="00E86650" w:rsidP="00E86650">
            <w:pPr>
              <w:ind w:right="210"/>
              <w:jc w:val="center"/>
              <w:rPr>
                <w:sz w:val="21"/>
                <w:szCs w:val="21"/>
              </w:rPr>
            </w:pPr>
            <w:r w:rsidRPr="009722BA">
              <w:rPr>
                <w:rFonts w:hint="eastAsia"/>
                <w:sz w:val="21"/>
                <w:szCs w:val="21"/>
              </w:rPr>
              <w:t>51.85</w:t>
            </w:r>
          </w:p>
        </w:tc>
      </w:tr>
      <w:tr w:rsidR="00E86650" w:rsidRPr="009722BA" w:rsidTr="00E86650">
        <w:tc>
          <w:tcPr>
            <w:tcW w:w="4261" w:type="dxa"/>
          </w:tcPr>
          <w:p w:rsidR="00E86650" w:rsidRPr="009722BA" w:rsidRDefault="00E86650" w:rsidP="00E86650">
            <w:pPr>
              <w:ind w:right="210"/>
              <w:jc w:val="center"/>
              <w:rPr>
                <w:sz w:val="21"/>
                <w:szCs w:val="21"/>
              </w:rPr>
            </w:pPr>
            <w:r w:rsidRPr="009722BA">
              <w:rPr>
                <w:rFonts w:hint="eastAsia"/>
                <w:sz w:val="21"/>
                <w:szCs w:val="21"/>
              </w:rPr>
              <w:t>自来水</w:t>
            </w:r>
          </w:p>
        </w:tc>
        <w:tc>
          <w:tcPr>
            <w:tcW w:w="4261" w:type="dxa"/>
          </w:tcPr>
          <w:p w:rsidR="00E86650" w:rsidRPr="009722BA" w:rsidRDefault="00E86650" w:rsidP="00E86650">
            <w:pPr>
              <w:ind w:right="210"/>
              <w:jc w:val="center"/>
              <w:rPr>
                <w:sz w:val="21"/>
                <w:szCs w:val="21"/>
              </w:rPr>
            </w:pPr>
            <w:r w:rsidRPr="009722BA">
              <w:rPr>
                <w:rFonts w:hint="eastAsia"/>
                <w:sz w:val="21"/>
                <w:szCs w:val="21"/>
              </w:rPr>
              <w:t>24.28</w:t>
            </w:r>
          </w:p>
        </w:tc>
      </w:tr>
    </w:tbl>
    <w:p w:rsidR="005A4E4C" w:rsidRPr="009722BA" w:rsidRDefault="00C93D2A" w:rsidP="006C6F1D">
      <w:pPr>
        <w:spacing w:line="240" w:lineRule="auto"/>
        <w:ind w:left="210" w:right="210"/>
        <w:rPr>
          <w:sz w:val="21"/>
          <w:szCs w:val="21"/>
          <w:lang w:eastAsia="zh-CN"/>
        </w:rPr>
      </w:pPr>
      <w:r w:rsidRPr="009722BA">
        <w:rPr>
          <w:rFonts w:hint="eastAsia"/>
          <w:sz w:val="21"/>
          <w:szCs w:val="21"/>
          <w:lang w:eastAsia="zh-CN"/>
        </w:rPr>
        <w:t>参考地方标准以及装配式建筑案例研究，目前新建的装配式建筑的预制率</w:t>
      </w:r>
      <w:r w:rsidR="00F92BDE">
        <w:rPr>
          <w:rFonts w:hint="eastAsia"/>
          <w:sz w:val="21"/>
          <w:szCs w:val="21"/>
          <w:lang w:eastAsia="zh-CN"/>
        </w:rPr>
        <w:t>最高</w:t>
      </w:r>
      <w:r w:rsidRPr="009722BA">
        <w:rPr>
          <w:rFonts w:hint="eastAsia"/>
          <w:sz w:val="21"/>
          <w:szCs w:val="21"/>
          <w:lang w:eastAsia="zh-CN"/>
        </w:rPr>
        <w:t>已超过</w:t>
      </w:r>
      <w:r w:rsidRPr="009722BA">
        <w:rPr>
          <w:rFonts w:hint="eastAsia"/>
          <w:sz w:val="21"/>
          <w:szCs w:val="21"/>
          <w:lang w:eastAsia="zh-CN"/>
        </w:rPr>
        <w:t>50%</w:t>
      </w:r>
      <w:r w:rsidRPr="009722BA">
        <w:rPr>
          <w:rFonts w:hint="eastAsia"/>
          <w:sz w:val="21"/>
          <w:szCs w:val="21"/>
          <w:lang w:eastAsia="zh-CN"/>
        </w:rPr>
        <w:t>，因此在计算时按照</w:t>
      </w:r>
      <w:r w:rsidRPr="009722BA">
        <w:rPr>
          <w:rFonts w:hint="eastAsia"/>
          <w:sz w:val="21"/>
          <w:szCs w:val="21"/>
          <w:lang w:eastAsia="zh-CN"/>
        </w:rPr>
        <w:t>50%</w:t>
      </w:r>
      <w:r w:rsidRPr="009722BA">
        <w:rPr>
          <w:rFonts w:hint="eastAsia"/>
          <w:sz w:val="21"/>
          <w:szCs w:val="21"/>
          <w:lang w:eastAsia="zh-CN"/>
        </w:rPr>
        <w:t>的预制率</w:t>
      </w:r>
      <w:r w:rsidR="007729B3" w:rsidRPr="009722BA">
        <w:rPr>
          <w:rFonts w:hint="eastAsia"/>
          <w:sz w:val="21"/>
          <w:szCs w:val="21"/>
          <w:lang w:eastAsia="zh-CN"/>
        </w:rPr>
        <w:t>。</w:t>
      </w:r>
      <w:r w:rsidR="00E86650" w:rsidRPr="009722BA">
        <w:rPr>
          <w:rFonts w:hint="eastAsia"/>
          <w:sz w:val="21"/>
          <w:szCs w:val="21"/>
          <w:lang w:eastAsia="zh-CN"/>
        </w:rPr>
        <w:t>根据上述数据，由于部分建筑材料用量减少，可计算得市政综合体在建材生产阶段可减少碳排放</w:t>
      </w:r>
      <w:r w:rsidR="007F088B" w:rsidRPr="009722BA">
        <w:rPr>
          <w:rFonts w:hint="eastAsia"/>
          <w:sz w:val="21"/>
          <w:szCs w:val="21"/>
          <w:lang w:eastAsia="zh-CN"/>
        </w:rPr>
        <w:t>141.7</w:t>
      </w:r>
      <w:r w:rsidR="003537BB" w:rsidRPr="003537BB">
        <w:rPr>
          <w:rFonts w:hint="eastAsia"/>
          <w:sz w:val="21"/>
          <w:szCs w:val="21"/>
          <w:lang w:eastAsia="zh-CN"/>
        </w:rPr>
        <w:t xml:space="preserve"> </w:t>
      </w:r>
      <w:r w:rsidR="003537BB">
        <w:rPr>
          <w:rFonts w:hint="eastAsia"/>
          <w:sz w:val="21"/>
          <w:szCs w:val="21"/>
          <w:lang w:eastAsia="zh-CN"/>
        </w:rPr>
        <w:t>tCO</w:t>
      </w:r>
      <w:r w:rsidR="003537BB" w:rsidRPr="0098540F">
        <w:rPr>
          <w:rFonts w:hint="eastAsia"/>
          <w:sz w:val="21"/>
          <w:szCs w:val="21"/>
          <w:vertAlign w:val="subscript"/>
          <w:lang w:eastAsia="zh-CN"/>
        </w:rPr>
        <w:t>2</w:t>
      </w:r>
      <w:r w:rsidR="007F088B" w:rsidRPr="009722BA">
        <w:rPr>
          <w:rFonts w:hint="eastAsia"/>
          <w:sz w:val="21"/>
          <w:szCs w:val="21"/>
          <w:lang w:eastAsia="zh-CN"/>
        </w:rPr>
        <w:t>。由于装配式建筑尚未普及，建筑构件设计制造时强度偏于保守，因此钢材与混凝土的使用量略有增加，导致在建材用量上的</w:t>
      </w:r>
      <w:proofErr w:type="gramStart"/>
      <w:r w:rsidR="007F088B" w:rsidRPr="009722BA">
        <w:rPr>
          <w:rFonts w:hint="eastAsia"/>
          <w:sz w:val="21"/>
          <w:szCs w:val="21"/>
          <w:lang w:eastAsia="zh-CN"/>
        </w:rPr>
        <w:t>减碳量</w:t>
      </w:r>
      <w:proofErr w:type="gramEnd"/>
      <w:r w:rsidR="007F088B" w:rsidRPr="009722BA">
        <w:rPr>
          <w:rFonts w:hint="eastAsia"/>
          <w:sz w:val="21"/>
          <w:szCs w:val="21"/>
          <w:lang w:eastAsia="zh-CN"/>
        </w:rPr>
        <w:t>并不大。</w:t>
      </w:r>
    </w:p>
    <w:p w:rsidR="007729B3" w:rsidRPr="009722BA" w:rsidRDefault="00CE16E7" w:rsidP="009722BA">
      <w:pPr>
        <w:spacing w:line="240" w:lineRule="auto"/>
        <w:ind w:left="210" w:right="210"/>
        <w:rPr>
          <w:sz w:val="21"/>
          <w:szCs w:val="21"/>
          <w:lang w:eastAsia="zh-CN"/>
        </w:rPr>
      </w:pPr>
      <w:r w:rsidRPr="009722BA">
        <w:rPr>
          <w:rFonts w:hint="eastAsia"/>
          <w:sz w:val="21"/>
          <w:szCs w:val="21"/>
          <w:lang w:eastAsia="zh-CN"/>
        </w:rPr>
        <w:t>由于装配式建筑的部分建筑构件在工厂内实现规模化生产，有着更好的能源利用效率，相较于现场施工可以节约一部分施工能耗。根据文献，建筑构件的工厂化生产相较于现浇式建筑现场施工单位面积</w:t>
      </w:r>
      <w:r w:rsidR="00E87A2C" w:rsidRPr="009722BA">
        <w:rPr>
          <w:rFonts w:hint="eastAsia"/>
          <w:sz w:val="21"/>
          <w:szCs w:val="21"/>
          <w:lang w:eastAsia="zh-CN"/>
        </w:rPr>
        <w:t>电能</w:t>
      </w:r>
      <w:r w:rsidRPr="009722BA">
        <w:rPr>
          <w:rFonts w:hint="eastAsia"/>
          <w:sz w:val="21"/>
          <w:szCs w:val="21"/>
          <w:lang w:eastAsia="zh-CN"/>
        </w:rPr>
        <w:t>消耗量</w:t>
      </w:r>
      <w:r w:rsidR="00E87A2C" w:rsidRPr="009722BA">
        <w:rPr>
          <w:rFonts w:hint="eastAsia"/>
          <w:sz w:val="21"/>
          <w:szCs w:val="21"/>
          <w:lang w:eastAsia="zh-CN"/>
        </w:rPr>
        <w:t>可降低</w:t>
      </w:r>
      <w:r w:rsidR="00E87A2C" w:rsidRPr="009722BA">
        <w:rPr>
          <w:rFonts w:hint="eastAsia"/>
          <w:sz w:val="21"/>
          <w:szCs w:val="21"/>
          <w:lang w:eastAsia="zh-CN"/>
        </w:rPr>
        <w:t>20.45%</w:t>
      </w:r>
      <w:r w:rsidR="00E87A2C" w:rsidRPr="009722BA">
        <w:rPr>
          <w:rFonts w:hint="eastAsia"/>
          <w:sz w:val="21"/>
          <w:szCs w:val="21"/>
          <w:lang w:eastAsia="zh-CN"/>
        </w:rPr>
        <w:t>，自来水消耗量可降低</w:t>
      </w:r>
      <w:r w:rsidR="00E87A2C" w:rsidRPr="009722BA">
        <w:rPr>
          <w:rFonts w:hint="eastAsia"/>
          <w:sz w:val="21"/>
          <w:szCs w:val="21"/>
          <w:lang w:eastAsia="zh-CN"/>
        </w:rPr>
        <w:t>24.28%</w:t>
      </w:r>
      <w:r w:rsidR="00E87A2C" w:rsidRPr="009722BA">
        <w:rPr>
          <w:rFonts w:hint="eastAsia"/>
          <w:sz w:val="21"/>
          <w:szCs w:val="21"/>
          <w:lang w:eastAsia="zh-CN"/>
        </w:rPr>
        <w:t>。</w:t>
      </w:r>
      <w:r w:rsidR="00C93D2A" w:rsidRPr="009722BA">
        <w:rPr>
          <w:rFonts w:hint="eastAsia"/>
          <w:sz w:val="21"/>
          <w:szCs w:val="21"/>
          <w:lang w:eastAsia="zh-CN"/>
        </w:rPr>
        <w:t>根据上述数据进行计算，采用装配式建筑可在施工阶段减少碳排放</w:t>
      </w:r>
      <w:r w:rsidR="00C93D2A" w:rsidRPr="009722BA">
        <w:rPr>
          <w:rFonts w:hint="eastAsia"/>
          <w:sz w:val="21"/>
          <w:szCs w:val="21"/>
          <w:lang w:eastAsia="zh-CN"/>
        </w:rPr>
        <w:t>130.4</w:t>
      </w:r>
      <w:r w:rsidR="003537BB" w:rsidRPr="003537BB">
        <w:rPr>
          <w:rFonts w:hint="eastAsia"/>
          <w:sz w:val="21"/>
          <w:szCs w:val="21"/>
          <w:lang w:eastAsia="zh-CN"/>
        </w:rPr>
        <w:t xml:space="preserve"> </w:t>
      </w:r>
      <w:r w:rsidR="003537BB">
        <w:rPr>
          <w:rFonts w:hint="eastAsia"/>
          <w:sz w:val="21"/>
          <w:szCs w:val="21"/>
          <w:lang w:eastAsia="zh-CN"/>
        </w:rPr>
        <w:t>tCO</w:t>
      </w:r>
      <w:r w:rsidR="003537BB" w:rsidRPr="0098540F">
        <w:rPr>
          <w:rFonts w:hint="eastAsia"/>
          <w:sz w:val="21"/>
          <w:szCs w:val="21"/>
          <w:vertAlign w:val="subscript"/>
          <w:lang w:eastAsia="zh-CN"/>
        </w:rPr>
        <w:t>2</w:t>
      </w:r>
      <w:r w:rsidR="00C93D2A" w:rsidRPr="009722BA">
        <w:rPr>
          <w:rFonts w:hint="eastAsia"/>
          <w:sz w:val="21"/>
          <w:szCs w:val="21"/>
          <w:lang w:eastAsia="zh-CN"/>
        </w:rPr>
        <w:t>。综上所述采用</w:t>
      </w:r>
      <w:r w:rsidR="00C93D2A" w:rsidRPr="009722BA">
        <w:rPr>
          <w:rFonts w:hint="eastAsia"/>
          <w:sz w:val="21"/>
          <w:szCs w:val="21"/>
          <w:lang w:eastAsia="zh-CN"/>
        </w:rPr>
        <w:t>50%</w:t>
      </w:r>
      <w:r w:rsidR="00C93D2A" w:rsidRPr="009722BA">
        <w:rPr>
          <w:rFonts w:hint="eastAsia"/>
          <w:sz w:val="21"/>
          <w:szCs w:val="21"/>
          <w:lang w:eastAsia="zh-CN"/>
        </w:rPr>
        <w:t>预制率下</w:t>
      </w:r>
      <w:r w:rsidR="007729B3" w:rsidRPr="009722BA">
        <w:rPr>
          <w:rFonts w:hint="eastAsia"/>
          <w:sz w:val="21"/>
          <w:szCs w:val="21"/>
          <w:lang w:eastAsia="zh-CN"/>
        </w:rPr>
        <w:t>市政综合体的碳排放可减少</w:t>
      </w:r>
      <w:r w:rsidR="007729B3" w:rsidRPr="009722BA">
        <w:rPr>
          <w:rFonts w:hint="eastAsia"/>
          <w:sz w:val="21"/>
          <w:szCs w:val="21"/>
          <w:lang w:eastAsia="zh-CN"/>
        </w:rPr>
        <w:t>272.1</w:t>
      </w:r>
      <w:r w:rsidR="003537BB" w:rsidRPr="003537BB">
        <w:rPr>
          <w:rFonts w:hint="eastAsia"/>
          <w:sz w:val="21"/>
          <w:szCs w:val="21"/>
          <w:lang w:eastAsia="zh-CN"/>
        </w:rPr>
        <w:t xml:space="preserve"> </w:t>
      </w:r>
      <w:r w:rsidR="003537BB">
        <w:rPr>
          <w:rFonts w:hint="eastAsia"/>
          <w:sz w:val="21"/>
          <w:szCs w:val="21"/>
          <w:lang w:eastAsia="zh-CN"/>
        </w:rPr>
        <w:t>tCO</w:t>
      </w:r>
      <w:r w:rsidR="003537BB" w:rsidRPr="0098540F">
        <w:rPr>
          <w:rFonts w:hint="eastAsia"/>
          <w:sz w:val="21"/>
          <w:szCs w:val="21"/>
          <w:vertAlign w:val="subscript"/>
          <w:lang w:eastAsia="zh-CN"/>
        </w:rPr>
        <w:t>2</w:t>
      </w:r>
      <w:r w:rsidR="007729B3" w:rsidRPr="009722BA">
        <w:rPr>
          <w:rFonts w:hint="eastAsia"/>
          <w:sz w:val="21"/>
          <w:szCs w:val="21"/>
          <w:lang w:eastAsia="zh-CN"/>
        </w:rPr>
        <w:t>。</w:t>
      </w:r>
    </w:p>
    <w:p w:rsidR="007F088B" w:rsidRPr="009722BA" w:rsidRDefault="007729B3" w:rsidP="007729B3">
      <w:pPr>
        <w:pStyle w:val="a3"/>
        <w:numPr>
          <w:ilvl w:val="1"/>
          <w:numId w:val="1"/>
        </w:numPr>
        <w:spacing w:line="240" w:lineRule="auto"/>
        <w:ind w:right="210"/>
        <w:rPr>
          <w:sz w:val="21"/>
          <w:szCs w:val="21"/>
          <w:lang w:eastAsia="zh-CN"/>
        </w:rPr>
      </w:pPr>
      <w:r w:rsidRPr="009722BA">
        <w:rPr>
          <w:rFonts w:hint="eastAsia"/>
          <w:sz w:val="21"/>
          <w:szCs w:val="21"/>
          <w:lang w:eastAsia="zh-CN"/>
        </w:rPr>
        <w:t>建筑运行阶段</w:t>
      </w:r>
      <w:proofErr w:type="gramStart"/>
      <w:r w:rsidRPr="009722BA">
        <w:rPr>
          <w:rFonts w:hint="eastAsia"/>
          <w:sz w:val="21"/>
          <w:szCs w:val="21"/>
          <w:lang w:eastAsia="zh-CN"/>
        </w:rPr>
        <w:t>的减碳路径</w:t>
      </w:r>
      <w:proofErr w:type="gramEnd"/>
    </w:p>
    <w:p w:rsidR="007729B3" w:rsidRPr="009722BA" w:rsidRDefault="00BC4DD4" w:rsidP="007729B3">
      <w:pPr>
        <w:spacing w:line="240" w:lineRule="auto"/>
        <w:ind w:left="210" w:right="210"/>
        <w:rPr>
          <w:sz w:val="21"/>
          <w:szCs w:val="21"/>
          <w:lang w:eastAsia="zh-CN"/>
        </w:rPr>
      </w:pPr>
      <w:r w:rsidRPr="009722BA">
        <w:rPr>
          <w:sz w:val="21"/>
          <w:szCs w:val="21"/>
          <w:lang w:eastAsia="zh-CN"/>
        </w:rPr>
        <w:t>建筑运行阶段的碳排放主要来自</w:t>
      </w:r>
      <w:r w:rsidRPr="009722BA">
        <w:rPr>
          <w:sz w:val="21"/>
          <w:szCs w:val="21"/>
          <w:lang w:eastAsia="zh-CN"/>
        </w:rPr>
        <w:t>HVAC</w:t>
      </w:r>
      <w:r w:rsidRPr="009722BA">
        <w:rPr>
          <w:sz w:val="21"/>
          <w:szCs w:val="21"/>
          <w:lang w:eastAsia="zh-CN"/>
        </w:rPr>
        <w:t>系统</w:t>
      </w:r>
      <w:r w:rsidRPr="009722BA">
        <w:rPr>
          <w:rFonts w:hint="eastAsia"/>
          <w:sz w:val="21"/>
          <w:szCs w:val="21"/>
          <w:lang w:eastAsia="zh-CN"/>
        </w:rPr>
        <w:t>、</w:t>
      </w:r>
      <w:r w:rsidRPr="009722BA">
        <w:rPr>
          <w:sz w:val="21"/>
          <w:szCs w:val="21"/>
          <w:lang w:eastAsia="zh-CN"/>
        </w:rPr>
        <w:t>热水</w:t>
      </w:r>
      <w:r w:rsidRPr="009722BA">
        <w:rPr>
          <w:rFonts w:hint="eastAsia"/>
          <w:sz w:val="21"/>
          <w:szCs w:val="21"/>
          <w:lang w:eastAsia="zh-CN"/>
        </w:rPr>
        <w:t>、</w:t>
      </w:r>
      <w:r w:rsidRPr="009722BA">
        <w:rPr>
          <w:sz w:val="21"/>
          <w:szCs w:val="21"/>
          <w:lang w:eastAsia="zh-CN"/>
        </w:rPr>
        <w:t>照明以及室内电器设备的能源消耗</w:t>
      </w:r>
      <w:r w:rsidRPr="009722BA">
        <w:rPr>
          <w:rFonts w:hint="eastAsia"/>
          <w:sz w:val="21"/>
          <w:szCs w:val="21"/>
          <w:lang w:eastAsia="zh-CN"/>
        </w:rPr>
        <w:t>，碳排放来源复杂，影响因素众多。并且对于市政综合体建筑，其建筑内部规划了商业、办公、酒店、社区活动等</w:t>
      </w:r>
      <w:r w:rsidRPr="009722BA">
        <w:rPr>
          <w:rFonts w:hint="eastAsia"/>
          <w:sz w:val="21"/>
          <w:szCs w:val="21"/>
          <w:lang w:eastAsia="zh-CN"/>
        </w:rPr>
        <w:t>9</w:t>
      </w:r>
      <w:r w:rsidRPr="009722BA">
        <w:rPr>
          <w:rFonts w:hint="eastAsia"/>
          <w:sz w:val="21"/>
          <w:szCs w:val="21"/>
          <w:lang w:eastAsia="zh-CN"/>
        </w:rPr>
        <w:t>种市政服务业态，因使用特点不同，每种服务业态的能源消耗特征与碳排放特征也不尽相同</w:t>
      </w:r>
      <w:r w:rsidR="001A7076" w:rsidRPr="009722BA">
        <w:rPr>
          <w:rFonts w:hint="eastAsia"/>
          <w:sz w:val="21"/>
          <w:szCs w:val="21"/>
          <w:lang w:eastAsia="zh-CN"/>
        </w:rPr>
        <w:t>，若仅从建筑层面</w:t>
      </w:r>
      <w:proofErr w:type="gramStart"/>
      <w:r w:rsidR="001A7076" w:rsidRPr="009722BA">
        <w:rPr>
          <w:rFonts w:hint="eastAsia"/>
          <w:sz w:val="21"/>
          <w:szCs w:val="21"/>
          <w:lang w:eastAsia="zh-CN"/>
        </w:rPr>
        <w:t>考虑减碳路径</w:t>
      </w:r>
      <w:proofErr w:type="gramEnd"/>
      <w:r w:rsidR="001A7076" w:rsidRPr="009722BA">
        <w:rPr>
          <w:rFonts w:hint="eastAsia"/>
          <w:sz w:val="21"/>
          <w:szCs w:val="21"/>
          <w:lang w:eastAsia="zh-CN"/>
        </w:rPr>
        <w:t>则过于笼统，不利于实现综合体建筑有针对性</w:t>
      </w:r>
      <w:proofErr w:type="gramStart"/>
      <w:r w:rsidR="001A7076" w:rsidRPr="009722BA">
        <w:rPr>
          <w:rFonts w:hint="eastAsia"/>
          <w:sz w:val="21"/>
          <w:szCs w:val="21"/>
          <w:lang w:eastAsia="zh-CN"/>
        </w:rPr>
        <w:t>地减碳并且</w:t>
      </w:r>
      <w:proofErr w:type="gramEnd"/>
      <w:r w:rsidR="001A7076" w:rsidRPr="009722BA">
        <w:rPr>
          <w:rFonts w:hint="eastAsia"/>
          <w:sz w:val="21"/>
          <w:szCs w:val="21"/>
          <w:lang w:eastAsia="zh-CN"/>
        </w:rPr>
        <w:t>可能导致浪费，因此在制定市政综合体运行</w:t>
      </w:r>
      <w:proofErr w:type="gramStart"/>
      <w:r w:rsidR="001A7076" w:rsidRPr="009722BA">
        <w:rPr>
          <w:rFonts w:hint="eastAsia"/>
          <w:sz w:val="21"/>
          <w:szCs w:val="21"/>
          <w:lang w:eastAsia="zh-CN"/>
        </w:rPr>
        <w:t>阶段减碳路径</w:t>
      </w:r>
      <w:proofErr w:type="gramEnd"/>
      <w:r w:rsidR="001A7076" w:rsidRPr="009722BA">
        <w:rPr>
          <w:rFonts w:hint="eastAsia"/>
          <w:sz w:val="21"/>
          <w:szCs w:val="21"/>
          <w:lang w:eastAsia="zh-CN"/>
        </w:rPr>
        <w:t>时不仅要从整体上</w:t>
      </w:r>
      <w:proofErr w:type="gramStart"/>
      <w:r w:rsidR="001A7076" w:rsidRPr="009722BA">
        <w:rPr>
          <w:rFonts w:hint="eastAsia"/>
          <w:sz w:val="21"/>
          <w:szCs w:val="21"/>
          <w:lang w:eastAsia="zh-CN"/>
        </w:rPr>
        <w:t>制定减碳路径</w:t>
      </w:r>
      <w:proofErr w:type="gramEnd"/>
      <w:r w:rsidR="001A7076" w:rsidRPr="009722BA">
        <w:rPr>
          <w:rFonts w:hint="eastAsia"/>
          <w:sz w:val="21"/>
          <w:szCs w:val="21"/>
          <w:lang w:eastAsia="zh-CN"/>
        </w:rPr>
        <w:t>，还要将目标细化到服务业态，根据不同功能区块的特点针对性地</w:t>
      </w:r>
      <w:proofErr w:type="gramStart"/>
      <w:r w:rsidR="001A7076" w:rsidRPr="009722BA">
        <w:rPr>
          <w:rFonts w:hint="eastAsia"/>
          <w:sz w:val="21"/>
          <w:szCs w:val="21"/>
          <w:lang w:eastAsia="zh-CN"/>
        </w:rPr>
        <w:t>提出减碳路径</w:t>
      </w:r>
      <w:proofErr w:type="gramEnd"/>
      <w:r w:rsidR="001A7076" w:rsidRPr="009722BA">
        <w:rPr>
          <w:rFonts w:hint="eastAsia"/>
          <w:sz w:val="21"/>
          <w:szCs w:val="21"/>
          <w:lang w:eastAsia="zh-CN"/>
        </w:rPr>
        <w:t>。</w:t>
      </w:r>
    </w:p>
    <w:p w:rsidR="001A7076" w:rsidRPr="009722BA" w:rsidRDefault="000B5FB2" w:rsidP="001A7076">
      <w:pPr>
        <w:pStyle w:val="a3"/>
        <w:numPr>
          <w:ilvl w:val="2"/>
          <w:numId w:val="1"/>
        </w:numPr>
        <w:spacing w:line="240" w:lineRule="auto"/>
        <w:ind w:right="210"/>
        <w:rPr>
          <w:sz w:val="21"/>
          <w:szCs w:val="21"/>
          <w:lang w:eastAsia="zh-CN"/>
        </w:rPr>
      </w:pPr>
      <w:r>
        <w:rPr>
          <w:rFonts w:hint="eastAsia"/>
          <w:sz w:val="21"/>
          <w:szCs w:val="21"/>
          <w:lang w:eastAsia="zh-CN"/>
        </w:rPr>
        <w:t>建筑</w:t>
      </w:r>
      <w:proofErr w:type="gramStart"/>
      <w:r>
        <w:rPr>
          <w:rFonts w:hint="eastAsia"/>
          <w:sz w:val="21"/>
          <w:szCs w:val="21"/>
          <w:lang w:eastAsia="zh-CN"/>
        </w:rPr>
        <w:t>整体</w:t>
      </w:r>
      <w:r w:rsidR="001A7076" w:rsidRPr="009722BA">
        <w:rPr>
          <w:rFonts w:hint="eastAsia"/>
          <w:sz w:val="21"/>
          <w:szCs w:val="21"/>
          <w:lang w:eastAsia="zh-CN"/>
        </w:rPr>
        <w:t>减碳路径</w:t>
      </w:r>
      <w:proofErr w:type="gramEnd"/>
    </w:p>
    <w:p w:rsidR="001A7076" w:rsidRPr="009722BA" w:rsidRDefault="00466404" w:rsidP="00466404">
      <w:pPr>
        <w:pStyle w:val="a3"/>
        <w:numPr>
          <w:ilvl w:val="0"/>
          <w:numId w:val="3"/>
        </w:numPr>
        <w:spacing w:line="240" w:lineRule="auto"/>
        <w:ind w:right="210"/>
        <w:rPr>
          <w:sz w:val="21"/>
          <w:szCs w:val="21"/>
          <w:lang w:eastAsia="zh-CN"/>
        </w:rPr>
      </w:pPr>
      <w:r w:rsidRPr="009722BA">
        <w:rPr>
          <w:rFonts w:hint="eastAsia"/>
          <w:sz w:val="21"/>
          <w:szCs w:val="21"/>
          <w:lang w:eastAsia="zh-CN"/>
        </w:rPr>
        <w:t>提高</w:t>
      </w:r>
      <w:r w:rsidR="006D574D" w:rsidRPr="009722BA">
        <w:rPr>
          <w:rFonts w:hint="eastAsia"/>
          <w:sz w:val="21"/>
          <w:szCs w:val="21"/>
          <w:lang w:eastAsia="zh-CN"/>
        </w:rPr>
        <w:t>外</w:t>
      </w:r>
      <w:r w:rsidRPr="009722BA">
        <w:rPr>
          <w:rFonts w:hint="eastAsia"/>
          <w:sz w:val="21"/>
          <w:szCs w:val="21"/>
          <w:lang w:eastAsia="zh-CN"/>
        </w:rPr>
        <w:t>围护结构热工性能</w:t>
      </w:r>
    </w:p>
    <w:p w:rsidR="00466404" w:rsidRPr="009722BA" w:rsidRDefault="007375E6" w:rsidP="00466404">
      <w:pPr>
        <w:spacing w:line="240" w:lineRule="auto"/>
        <w:ind w:left="210" w:right="210"/>
        <w:rPr>
          <w:sz w:val="21"/>
          <w:szCs w:val="21"/>
          <w:lang w:eastAsia="zh-CN"/>
        </w:rPr>
      </w:pPr>
      <w:r w:rsidRPr="009722BA">
        <w:rPr>
          <w:rFonts w:hint="eastAsia"/>
          <w:sz w:val="21"/>
          <w:szCs w:val="21"/>
          <w:lang w:eastAsia="zh-CN"/>
        </w:rPr>
        <w:t>围护结构</w:t>
      </w:r>
      <w:r w:rsidR="009A4744" w:rsidRPr="009722BA">
        <w:rPr>
          <w:rFonts w:hint="eastAsia"/>
          <w:sz w:val="21"/>
          <w:szCs w:val="21"/>
          <w:lang w:eastAsia="zh-CN"/>
        </w:rPr>
        <w:t>热工性能</w:t>
      </w:r>
      <w:r w:rsidRPr="009722BA">
        <w:rPr>
          <w:rFonts w:hint="eastAsia"/>
          <w:sz w:val="21"/>
          <w:szCs w:val="21"/>
          <w:lang w:eastAsia="zh-CN"/>
        </w:rPr>
        <w:t>直接影响了建筑冷热负荷的大小，提高建筑的热工性能可以有效减小建筑的冷热负荷，</w:t>
      </w:r>
      <w:r w:rsidR="00CB673D">
        <w:rPr>
          <w:rFonts w:hint="eastAsia"/>
          <w:sz w:val="21"/>
          <w:szCs w:val="21"/>
          <w:lang w:eastAsia="zh-CN"/>
        </w:rPr>
        <w:t>从源头上降低建筑的能源需求，</w:t>
      </w:r>
      <w:r w:rsidRPr="009722BA">
        <w:rPr>
          <w:rFonts w:hint="eastAsia"/>
          <w:sz w:val="21"/>
          <w:szCs w:val="21"/>
          <w:lang w:eastAsia="zh-CN"/>
        </w:rPr>
        <w:t>从而</w:t>
      </w:r>
      <w:r w:rsidR="00CB673D">
        <w:rPr>
          <w:rFonts w:hint="eastAsia"/>
          <w:sz w:val="21"/>
          <w:szCs w:val="21"/>
          <w:lang w:eastAsia="zh-CN"/>
        </w:rPr>
        <w:t>减小</w:t>
      </w:r>
      <w:r w:rsidRPr="009722BA">
        <w:rPr>
          <w:rFonts w:hint="eastAsia"/>
          <w:sz w:val="21"/>
          <w:szCs w:val="21"/>
          <w:lang w:eastAsia="zh-CN"/>
        </w:rPr>
        <w:t>HVAC</w:t>
      </w:r>
      <w:r w:rsidRPr="009722BA">
        <w:rPr>
          <w:rFonts w:hint="eastAsia"/>
          <w:sz w:val="21"/>
          <w:szCs w:val="21"/>
          <w:lang w:eastAsia="zh-CN"/>
        </w:rPr>
        <w:t>系统的能耗，</w:t>
      </w:r>
      <w:r w:rsidR="00CB673D">
        <w:rPr>
          <w:rFonts w:hint="eastAsia"/>
          <w:sz w:val="21"/>
          <w:szCs w:val="21"/>
          <w:lang w:eastAsia="zh-CN"/>
        </w:rPr>
        <w:t>进而降低</w:t>
      </w:r>
      <w:r w:rsidRPr="009722BA">
        <w:rPr>
          <w:rFonts w:hint="eastAsia"/>
          <w:sz w:val="21"/>
          <w:szCs w:val="21"/>
          <w:lang w:eastAsia="zh-CN"/>
        </w:rPr>
        <w:t>建筑碳排放。</w:t>
      </w:r>
      <w:r w:rsidR="00466404" w:rsidRPr="009722BA">
        <w:rPr>
          <w:rFonts w:hint="eastAsia"/>
          <w:sz w:val="21"/>
          <w:szCs w:val="21"/>
          <w:lang w:eastAsia="zh-CN"/>
        </w:rPr>
        <w:t>在对市政综合体进行运行阶段能耗模拟时使用的围护结构热工性能标准是根据绿色建筑二星级以及近零能耗建筑标准</w:t>
      </w:r>
      <w:r w:rsidR="009A4744" w:rsidRPr="009722BA">
        <w:rPr>
          <w:rFonts w:hint="eastAsia"/>
          <w:sz w:val="21"/>
          <w:szCs w:val="21"/>
          <w:lang w:eastAsia="zh-CN"/>
        </w:rPr>
        <w:t>选择的。</w:t>
      </w:r>
      <w:r w:rsidR="00635626">
        <w:rPr>
          <w:rFonts w:hint="eastAsia"/>
          <w:sz w:val="21"/>
          <w:szCs w:val="21"/>
          <w:lang w:eastAsia="zh-CN"/>
        </w:rPr>
        <w:t>根据</w:t>
      </w:r>
      <w:r w:rsidR="006D2158">
        <w:rPr>
          <w:rFonts w:hint="eastAsia"/>
          <w:sz w:val="21"/>
          <w:szCs w:val="21"/>
          <w:lang w:eastAsia="zh-CN"/>
        </w:rPr>
        <w:t>GB</w:t>
      </w:r>
      <w:r w:rsidR="00B209AB">
        <w:rPr>
          <w:rFonts w:hint="eastAsia"/>
          <w:sz w:val="21"/>
          <w:szCs w:val="21"/>
          <w:lang w:eastAsia="zh-CN"/>
        </w:rPr>
        <w:t>51350-2019</w:t>
      </w:r>
      <w:r w:rsidR="006D2158">
        <w:rPr>
          <w:rFonts w:hint="eastAsia"/>
          <w:sz w:val="21"/>
          <w:szCs w:val="21"/>
          <w:lang w:eastAsia="zh-CN"/>
        </w:rPr>
        <w:t>《</w:t>
      </w:r>
      <w:r w:rsidR="00B209AB">
        <w:rPr>
          <w:rFonts w:hint="eastAsia"/>
          <w:sz w:val="21"/>
          <w:szCs w:val="21"/>
          <w:lang w:eastAsia="zh-CN"/>
        </w:rPr>
        <w:t>近零能耗建筑技术标准</w:t>
      </w:r>
      <w:r w:rsidR="006D2158">
        <w:rPr>
          <w:rFonts w:hint="eastAsia"/>
          <w:sz w:val="21"/>
          <w:szCs w:val="21"/>
          <w:lang w:eastAsia="zh-CN"/>
        </w:rPr>
        <w:t>》</w:t>
      </w:r>
      <w:r w:rsidR="00B209AB">
        <w:rPr>
          <w:rFonts w:hint="eastAsia"/>
          <w:sz w:val="21"/>
          <w:szCs w:val="21"/>
          <w:lang w:eastAsia="zh-CN"/>
        </w:rPr>
        <w:t>，其规定的建筑围护结构热工参数较模拟时采用的基准建筑围护结构热工参数</w:t>
      </w:r>
      <w:r w:rsidR="002E4BE6">
        <w:rPr>
          <w:rFonts w:hint="eastAsia"/>
          <w:sz w:val="21"/>
          <w:szCs w:val="21"/>
          <w:lang w:eastAsia="zh-CN"/>
        </w:rPr>
        <w:t>更高</w:t>
      </w:r>
      <w:r w:rsidR="00B209AB">
        <w:rPr>
          <w:rFonts w:hint="eastAsia"/>
          <w:sz w:val="21"/>
          <w:szCs w:val="21"/>
          <w:lang w:eastAsia="zh-CN"/>
        </w:rPr>
        <w:t>，</w:t>
      </w:r>
      <w:r w:rsidR="002E4BE6">
        <w:rPr>
          <w:rFonts w:hint="eastAsia"/>
          <w:sz w:val="21"/>
          <w:szCs w:val="21"/>
          <w:lang w:eastAsia="zh-CN"/>
        </w:rPr>
        <w:t>该标准给出了围护结构热工参数的区间值，宜采用区间的下限值作为围护结构热工性能提升的目标</w:t>
      </w:r>
      <w:r w:rsidR="00B209AB">
        <w:rPr>
          <w:rFonts w:hint="eastAsia"/>
          <w:sz w:val="21"/>
          <w:szCs w:val="21"/>
          <w:lang w:eastAsia="zh-CN"/>
        </w:rPr>
        <w:t>。</w:t>
      </w:r>
      <w:r w:rsidR="007F3123">
        <w:rPr>
          <w:rFonts w:hint="eastAsia"/>
          <w:sz w:val="21"/>
          <w:szCs w:val="21"/>
          <w:lang w:eastAsia="zh-CN"/>
        </w:rPr>
        <w:t>查阅文献资料，可得到</w:t>
      </w:r>
      <w:r w:rsidR="006D574D" w:rsidRPr="009722BA">
        <w:rPr>
          <w:rFonts w:hint="eastAsia"/>
          <w:sz w:val="21"/>
          <w:szCs w:val="21"/>
          <w:lang w:eastAsia="zh-CN"/>
        </w:rPr>
        <w:t>若将建筑外围护结构的热工性能按表</w:t>
      </w:r>
      <w:r w:rsidR="006D574D" w:rsidRPr="009722BA">
        <w:rPr>
          <w:rFonts w:hint="eastAsia"/>
          <w:sz w:val="21"/>
          <w:szCs w:val="21"/>
          <w:lang w:eastAsia="zh-CN"/>
        </w:rPr>
        <w:t>x</w:t>
      </w:r>
      <w:r w:rsidR="006D574D" w:rsidRPr="009722BA">
        <w:rPr>
          <w:rFonts w:hint="eastAsia"/>
          <w:sz w:val="21"/>
          <w:szCs w:val="21"/>
          <w:lang w:eastAsia="zh-CN"/>
        </w:rPr>
        <w:t>进行提升，则可</w:t>
      </w:r>
      <w:r w:rsidR="007C59B8" w:rsidRPr="009722BA">
        <w:rPr>
          <w:rFonts w:hint="eastAsia"/>
          <w:sz w:val="21"/>
          <w:szCs w:val="21"/>
          <w:lang w:eastAsia="zh-CN"/>
        </w:rPr>
        <w:t>使</w:t>
      </w:r>
      <w:r w:rsidR="007C59B8" w:rsidRPr="009722BA">
        <w:rPr>
          <w:rFonts w:hint="eastAsia"/>
          <w:sz w:val="21"/>
          <w:szCs w:val="21"/>
          <w:lang w:eastAsia="zh-CN"/>
        </w:rPr>
        <w:t>HVAC</w:t>
      </w:r>
      <w:r w:rsidR="007C59B8" w:rsidRPr="009722BA">
        <w:rPr>
          <w:rFonts w:hint="eastAsia"/>
          <w:sz w:val="21"/>
          <w:szCs w:val="21"/>
          <w:lang w:eastAsia="zh-CN"/>
        </w:rPr>
        <w:t>系统能耗降低</w:t>
      </w:r>
      <w:r w:rsidR="00C231CB" w:rsidRPr="009722BA">
        <w:rPr>
          <w:rFonts w:hint="eastAsia"/>
          <w:sz w:val="21"/>
          <w:szCs w:val="21"/>
          <w:lang w:eastAsia="zh-CN"/>
        </w:rPr>
        <w:t>9.5%</w:t>
      </w:r>
      <w:r w:rsidR="00C231CB" w:rsidRPr="009722BA">
        <w:rPr>
          <w:rFonts w:hint="eastAsia"/>
          <w:sz w:val="21"/>
          <w:szCs w:val="21"/>
          <w:lang w:eastAsia="zh-CN"/>
        </w:rPr>
        <w:t>，每年可</w:t>
      </w:r>
      <w:proofErr w:type="gramStart"/>
      <w:r w:rsidR="00C231CB" w:rsidRPr="009722BA">
        <w:rPr>
          <w:rFonts w:hint="eastAsia"/>
          <w:sz w:val="21"/>
          <w:szCs w:val="21"/>
          <w:lang w:eastAsia="zh-CN"/>
        </w:rPr>
        <w:t>实现碳减排</w:t>
      </w:r>
      <w:proofErr w:type="gramEnd"/>
      <w:r w:rsidR="00425F13" w:rsidRPr="009722BA">
        <w:rPr>
          <w:rFonts w:hint="eastAsia"/>
          <w:sz w:val="21"/>
          <w:szCs w:val="21"/>
          <w:lang w:eastAsia="zh-CN"/>
        </w:rPr>
        <w:t>155.6</w:t>
      </w:r>
      <w:r w:rsidR="003537BB" w:rsidRPr="003537BB">
        <w:rPr>
          <w:rFonts w:hint="eastAsia"/>
          <w:sz w:val="21"/>
          <w:szCs w:val="21"/>
          <w:lang w:eastAsia="zh-CN"/>
        </w:rPr>
        <w:t xml:space="preserve"> </w:t>
      </w:r>
      <w:r w:rsidR="003537BB">
        <w:rPr>
          <w:rFonts w:hint="eastAsia"/>
          <w:sz w:val="21"/>
          <w:szCs w:val="21"/>
          <w:lang w:eastAsia="zh-CN"/>
        </w:rPr>
        <w:t>tCO</w:t>
      </w:r>
      <w:r w:rsidR="003537BB" w:rsidRPr="0098540F">
        <w:rPr>
          <w:rFonts w:hint="eastAsia"/>
          <w:sz w:val="21"/>
          <w:szCs w:val="21"/>
          <w:vertAlign w:val="subscript"/>
          <w:lang w:eastAsia="zh-CN"/>
        </w:rPr>
        <w:t>2</w:t>
      </w:r>
      <w:r w:rsidR="00A34423">
        <w:rPr>
          <w:rFonts w:hint="eastAsia"/>
          <w:sz w:val="21"/>
          <w:szCs w:val="21"/>
          <w:lang w:eastAsia="zh-CN"/>
        </w:rPr>
        <w:t>，生命周期内实现</w:t>
      </w:r>
      <w:proofErr w:type="gramStart"/>
      <w:r w:rsidR="00A34423">
        <w:rPr>
          <w:rFonts w:hint="eastAsia"/>
          <w:sz w:val="21"/>
          <w:szCs w:val="21"/>
          <w:lang w:eastAsia="zh-CN"/>
        </w:rPr>
        <w:t>的碳减排量占总碳排放量</w:t>
      </w:r>
      <w:proofErr w:type="gramEnd"/>
      <w:r w:rsidR="00A34423">
        <w:rPr>
          <w:rFonts w:hint="eastAsia"/>
          <w:sz w:val="21"/>
          <w:szCs w:val="21"/>
          <w:lang w:eastAsia="zh-CN"/>
        </w:rPr>
        <w:t>的</w:t>
      </w:r>
      <w:r w:rsidR="00A34423">
        <w:rPr>
          <w:rFonts w:hint="eastAsia"/>
          <w:sz w:val="21"/>
          <w:szCs w:val="21"/>
          <w:lang w:eastAsia="zh-CN"/>
        </w:rPr>
        <w:t>3.28%</w:t>
      </w:r>
      <w:r w:rsidR="00425F13" w:rsidRPr="009722BA">
        <w:rPr>
          <w:rFonts w:hint="eastAsia"/>
          <w:sz w:val="21"/>
          <w:szCs w:val="21"/>
          <w:lang w:eastAsia="zh-CN"/>
        </w:rPr>
        <w:t>。</w:t>
      </w:r>
    </w:p>
    <w:p w:rsidR="007C59B8" w:rsidRPr="009722BA" w:rsidRDefault="007C59B8" w:rsidP="007C59B8">
      <w:pPr>
        <w:spacing w:line="240" w:lineRule="auto"/>
        <w:ind w:left="210" w:right="210"/>
        <w:jc w:val="center"/>
        <w:rPr>
          <w:sz w:val="21"/>
          <w:szCs w:val="21"/>
          <w:lang w:eastAsia="zh-CN"/>
        </w:rPr>
      </w:pPr>
      <w:r w:rsidRPr="009722BA">
        <w:rPr>
          <w:rFonts w:hint="eastAsia"/>
          <w:sz w:val="21"/>
          <w:szCs w:val="21"/>
          <w:lang w:eastAsia="zh-CN"/>
        </w:rPr>
        <w:t>表</w:t>
      </w:r>
      <w:r w:rsidRPr="009722BA">
        <w:rPr>
          <w:rFonts w:hint="eastAsia"/>
          <w:sz w:val="21"/>
          <w:szCs w:val="21"/>
          <w:lang w:eastAsia="zh-CN"/>
        </w:rPr>
        <w:t xml:space="preserve">x </w:t>
      </w:r>
      <w:r w:rsidRPr="009722BA">
        <w:rPr>
          <w:rFonts w:hint="eastAsia"/>
          <w:sz w:val="21"/>
          <w:szCs w:val="21"/>
          <w:lang w:eastAsia="zh-CN"/>
        </w:rPr>
        <w:t>外围护结构热工性能提升</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tblPr>
      <w:tblGrid>
        <w:gridCol w:w="2038"/>
        <w:gridCol w:w="1630"/>
        <w:gridCol w:w="1631"/>
        <w:gridCol w:w="1613"/>
        <w:gridCol w:w="1612"/>
      </w:tblGrid>
      <w:tr w:rsidR="002C2F16" w:rsidRPr="009722BA" w:rsidTr="002271B4">
        <w:tc>
          <w:tcPr>
            <w:tcW w:w="2038" w:type="dxa"/>
            <w:vMerge w:val="restart"/>
            <w:tcBorders>
              <w:top w:val="single" w:sz="12" w:space="0" w:color="auto"/>
            </w:tcBorders>
            <w:vAlign w:val="center"/>
          </w:tcPr>
          <w:p w:rsidR="002C2F16" w:rsidRPr="009722BA" w:rsidRDefault="002C2F16" w:rsidP="002271B4">
            <w:pPr>
              <w:ind w:right="210"/>
              <w:jc w:val="center"/>
              <w:rPr>
                <w:sz w:val="21"/>
                <w:szCs w:val="21"/>
              </w:rPr>
            </w:pPr>
            <w:proofErr w:type="spellStart"/>
            <w:r w:rsidRPr="009722BA">
              <w:rPr>
                <w:sz w:val="21"/>
                <w:szCs w:val="21"/>
              </w:rPr>
              <w:t>维护结构类型</w:t>
            </w:r>
            <w:proofErr w:type="spellEnd"/>
          </w:p>
        </w:tc>
        <w:tc>
          <w:tcPr>
            <w:tcW w:w="3261" w:type="dxa"/>
            <w:gridSpan w:val="2"/>
            <w:tcBorders>
              <w:top w:val="single" w:sz="12"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基准围护结构热工参数</w:t>
            </w:r>
          </w:p>
        </w:tc>
        <w:tc>
          <w:tcPr>
            <w:tcW w:w="3223" w:type="dxa"/>
            <w:gridSpan w:val="2"/>
            <w:tcBorders>
              <w:top w:val="single" w:sz="12"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高性能围护结构热工参数</w:t>
            </w:r>
          </w:p>
        </w:tc>
      </w:tr>
      <w:tr w:rsidR="002C2F16" w:rsidRPr="009722BA" w:rsidTr="002271B4">
        <w:tc>
          <w:tcPr>
            <w:tcW w:w="2038" w:type="dxa"/>
            <w:vMerge/>
            <w:tcBorders>
              <w:bottom w:val="single" w:sz="4" w:space="0" w:color="auto"/>
            </w:tcBorders>
            <w:vAlign w:val="center"/>
          </w:tcPr>
          <w:p w:rsidR="002C2F16" w:rsidRPr="009722BA" w:rsidRDefault="002C2F16" w:rsidP="002271B4">
            <w:pPr>
              <w:ind w:right="210"/>
              <w:jc w:val="center"/>
              <w:rPr>
                <w:sz w:val="21"/>
                <w:szCs w:val="21"/>
                <w:lang w:eastAsia="zh-CN"/>
              </w:rPr>
            </w:pPr>
          </w:p>
        </w:tc>
        <w:tc>
          <w:tcPr>
            <w:tcW w:w="1630"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传热系数</w:t>
            </w:r>
            <w:r w:rsidRPr="009722BA">
              <w:rPr>
                <w:rFonts w:hint="eastAsia"/>
                <w:sz w:val="21"/>
                <w:szCs w:val="21"/>
                <w:lang w:eastAsia="zh-CN"/>
              </w:rPr>
              <w:t>（</w:t>
            </w:r>
            <w:r w:rsidRPr="009722BA">
              <w:rPr>
                <w:rFonts w:hint="eastAsia"/>
                <w:sz w:val="21"/>
                <w:szCs w:val="21"/>
                <w:lang w:eastAsia="zh-CN"/>
              </w:rPr>
              <w:t>W/(m</w:t>
            </w:r>
            <w:r w:rsidRPr="009722BA">
              <w:rPr>
                <w:rFonts w:hint="eastAsia"/>
                <w:sz w:val="21"/>
                <w:szCs w:val="21"/>
                <w:vertAlign w:val="superscript"/>
                <w:lang w:eastAsia="zh-CN"/>
              </w:rPr>
              <w:t>2</w:t>
            </w:r>
            <w:r w:rsidRPr="009722BA">
              <w:rPr>
                <w:rFonts w:hint="eastAsia"/>
                <w:sz w:val="21"/>
                <w:szCs w:val="21"/>
                <w:lang w:eastAsia="zh-CN"/>
              </w:rPr>
              <w:t>·</w:t>
            </w:r>
            <w:r w:rsidRPr="009722BA">
              <w:rPr>
                <w:rFonts w:hint="eastAsia"/>
                <w:sz w:val="21"/>
                <w:szCs w:val="21"/>
                <w:lang w:eastAsia="zh-CN"/>
              </w:rPr>
              <w:t>K)</w:t>
            </w:r>
            <w:r w:rsidRPr="009722BA">
              <w:rPr>
                <w:rFonts w:hint="eastAsia"/>
                <w:sz w:val="21"/>
                <w:szCs w:val="21"/>
                <w:lang w:eastAsia="zh-CN"/>
              </w:rPr>
              <w:t>）</w:t>
            </w:r>
          </w:p>
        </w:tc>
        <w:tc>
          <w:tcPr>
            <w:tcW w:w="1631" w:type="dxa"/>
            <w:tcBorders>
              <w:top w:val="single" w:sz="4" w:space="0" w:color="auto"/>
              <w:bottom w:val="single" w:sz="4" w:space="0" w:color="auto"/>
            </w:tcBorders>
            <w:vAlign w:val="center"/>
          </w:tcPr>
          <w:p w:rsidR="002C2F16" w:rsidRPr="009722BA" w:rsidRDefault="002C2F16" w:rsidP="007D4555">
            <w:pPr>
              <w:ind w:right="210"/>
              <w:jc w:val="center"/>
              <w:rPr>
                <w:sz w:val="21"/>
                <w:szCs w:val="21"/>
                <w:lang w:eastAsia="zh-CN"/>
              </w:rPr>
            </w:pPr>
            <w:r w:rsidRPr="009722BA">
              <w:rPr>
                <w:sz w:val="21"/>
                <w:szCs w:val="21"/>
                <w:lang w:eastAsia="zh-CN"/>
              </w:rPr>
              <w:t>太阳能</w:t>
            </w:r>
            <w:r w:rsidR="007D4555">
              <w:rPr>
                <w:rFonts w:hint="eastAsia"/>
                <w:sz w:val="21"/>
                <w:szCs w:val="21"/>
                <w:lang w:eastAsia="zh-CN"/>
              </w:rPr>
              <w:t>得</w:t>
            </w:r>
            <w:r w:rsidRPr="009722BA">
              <w:rPr>
                <w:sz w:val="21"/>
                <w:szCs w:val="21"/>
                <w:lang w:eastAsia="zh-CN"/>
              </w:rPr>
              <w:t>热系数</w:t>
            </w:r>
            <w:r w:rsidRPr="009722BA">
              <w:rPr>
                <w:rFonts w:hint="eastAsia"/>
                <w:sz w:val="21"/>
                <w:szCs w:val="21"/>
                <w:lang w:eastAsia="zh-CN"/>
              </w:rPr>
              <w:t>（</w:t>
            </w:r>
            <w:r w:rsidRPr="009722BA">
              <w:rPr>
                <w:sz w:val="21"/>
                <w:szCs w:val="21"/>
                <w:lang w:eastAsia="zh-CN"/>
              </w:rPr>
              <w:t>SHGC</w:t>
            </w:r>
            <w:r w:rsidRPr="009722BA">
              <w:rPr>
                <w:rFonts w:hint="eastAsia"/>
                <w:sz w:val="21"/>
                <w:szCs w:val="21"/>
                <w:lang w:eastAsia="zh-CN"/>
              </w:rPr>
              <w:t>）</w:t>
            </w:r>
          </w:p>
        </w:tc>
        <w:tc>
          <w:tcPr>
            <w:tcW w:w="1613"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传热系数</w:t>
            </w:r>
            <w:r w:rsidRPr="009722BA">
              <w:rPr>
                <w:rFonts w:hint="eastAsia"/>
                <w:sz w:val="21"/>
                <w:szCs w:val="21"/>
                <w:lang w:eastAsia="zh-CN"/>
              </w:rPr>
              <w:t>（</w:t>
            </w:r>
            <w:r w:rsidRPr="009722BA">
              <w:rPr>
                <w:rFonts w:hint="eastAsia"/>
                <w:sz w:val="21"/>
                <w:szCs w:val="21"/>
                <w:lang w:eastAsia="zh-CN"/>
              </w:rPr>
              <w:t>W/(m</w:t>
            </w:r>
            <w:r w:rsidRPr="009722BA">
              <w:rPr>
                <w:rFonts w:hint="eastAsia"/>
                <w:sz w:val="21"/>
                <w:szCs w:val="21"/>
                <w:vertAlign w:val="superscript"/>
                <w:lang w:eastAsia="zh-CN"/>
              </w:rPr>
              <w:t>2</w:t>
            </w:r>
            <w:r w:rsidRPr="009722BA">
              <w:rPr>
                <w:rFonts w:hint="eastAsia"/>
                <w:sz w:val="21"/>
                <w:szCs w:val="21"/>
                <w:lang w:eastAsia="zh-CN"/>
              </w:rPr>
              <w:t>·</w:t>
            </w:r>
            <w:r w:rsidRPr="009722BA">
              <w:rPr>
                <w:rFonts w:hint="eastAsia"/>
                <w:sz w:val="21"/>
                <w:szCs w:val="21"/>
                <w:lang w:eastAsia="zh-CN"/>
              </w:rPr>
              <w:t>K)</w:t>
            </w:r>
            <w:r w:rsidRPr="009722BA">
              <w:rPr>
                <w:rFonts w:hint="eastAsia"/>
                <w:sz w:val="21"/>
                <w:szCs w:val="21"/>
                <w:lang w:eastAsia="zh-CN"/>
              </w:rPr>
              <w:t>）</w:t>
            </w:r>
          </w:p>
        </w:tc>
        <w:tc>
          <w:tcPr>
            <w:tcW w:w="1610" w:type="dxa"/>
            <w:tcBorders>
              <w:top w:val="single" w:sz="4" w:space="0" w:color="auto"/>
              <w:bottom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t>太阳能</w:t>
            </w:r>
            <w:r w:rsidR="007D4555">
              <w:rPr>
                <w:rFonts w:hint="eastAsia"/>
                <w:sz w:val="21"/>
                <w:szCs w:val="21"/>
                <w:lang w:eastAsia="zh-CN"/>
              </w:rPr>
              <w:t>得</w:t>
            </w:r>
            <w:r w:rsidRPr="009722BA">
              <w:rPr>
                <w:sz w:val="21"/>
                <w:szCs w:val="21"/>
                <w:lang w:eastAsia="zh-CN"/>
              </w:rPr>
              <w:t>热系数</w:t>
            </w:r>
            <w:r w:rsidRPr="009722BA">
              <w:rPr>
                <w:rFonts w:hint="eastAsia"/>
                <w:sz w:val="21"/>
                <w:szCs w:val="21"/>
                <w:lang w:eastAsia="zh-CN"/>
              </w:rPr>
              <w:t>（</w:t>
            </w:r>
            <w:r w:rsidRPr="009722BA">
              <w:rPr>
                <w:sz w:val="21"/>
                <w:szCs w:val="21"/>
                <w:lang w:eastAsia="zh-CN"/>
              </w:rPr>
              <w:t>SHGC</w:t>
            </w:r>
            <w:r w:rsidRPr="009722BA">
              <w:rPr>
                <w:rFonts w:hint="eastAsia"/>
                <w:sz w:val="21"/>
                <w:szCs w:val="21"/>
                <w:lang w:eastAsia="zh-CN"/>
              </w:rPr>
              <w:t>）</w:t>
            </w:r>
          </w:p>
        </w:tc>
      </w:tr>
      <w:tr w:rsidR="002C2F16" w:rsidRPr="009722BA" w:rsidTr="002271B4">
        <w:tc>
          <w:tcPr>
            <w:tcW w:w="2038"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sz w:val="21"/>
                <w:szCs w:val="21"/>
                <w:lang w:eastAsia="zh-CN"/>
              </w:rPr>
              <w:lastRenderedPageBreak/>
              <w:t>非透光外墙</w:t>
            </w:r>
          </w:p>
        </w:tc>
        <w:tc>
          <w:tcPr>
            <w:tcW w:w="1630"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rFonts w:hint="eastAsia"/>
                <w:sz w:val="21"/>
                <w:szCs w:val="21"/>
                <w:lang w:eastAsia="zh-CN"/>
              </w:rPr>
              <w:t>0.5</w:t>
            </w:r>
            <w:r w:rsidR="00C231CB" w:rsidRPr="009722BA">
              <w:rPr>
                <w:rFonts w:hint="eastAsia"/>
                <w:sz w:val="21"/>
                <w:szCs w:val="21"/>
                <w:lang w:eastAsia="zh-CN"/>
              </w:rPr>
              <w:t>0</w:t>
            </w:r>
          </w:p>
        </w:tc>
        <w:tc>
          <w:tcPr>
            <w:tcW w:w="1631" w:type="dxa"/>
            <w:tcBorders>
              <w:top w:val="single" w:sz="4" w:space="0" w:color="auto"/>
            </w:tcBorders>
            <w:vAlign w:val="center"/>
          </w:tcPr>
          <w:p w:rsidR="002C2F16" w:rsidRPr="009722BA" w:rsidRDefault="002C2F16" w:rsidP="002271B4">
            <w:pPr>
              <w:ind w:right="210"/>
              <w:jc w:val="center"/>
              <w:rPr>
                <w:sz w:val="21"/>
                <w:szCs w:val="21"/>
                <w:lang w:eastAsia="zh-CN"/>
              </w:rPr>
            </w:pPr>
            <w:r w:rsidRPr="009722BA">
              <w:rPr>
                <w:rFonts w:hint="eastAsia"/>
                <w:sz w:val="21"/>
                <w:szCs w:val="21"/>
                <w:lang w:eastAsia="zh-CN"/>
              </w:rPr>
              <w:t>-</w:t>
            </w:r>
          </w:p>
        </w:tc>
        <w:tc>
          <w:tcPr>
            <w:tcW w:w="1611" w:type="dxa"/>
            <w:tcBorders>
              <w:top w:val="single" w:sz="4" w:space="0" w:color="auto"/>
            </w:tcBorders>
            <w:vAlign w:val="center"/>
          </w:tcPr>
          <w:p w:rsidR="002C2F16" w:rsidRPr="009722BA" w:rsidRDefault="00C231CB" w:rsidP="002E4BE6">
            <w:pPr>
              <w:ind w:right="210"/>
              <w:jc w:val="center"/>
              <w:rPr>
                <w:sz w:val="21"/>
                <w:szCs w:val="21"/>
                <w:lang w:eastAsia="zh-CN"/>
              </w:rPr>
            </w:pPr>
            <w:r w:rsidRPr="009722BA">
              <w:rPr>
                <w:rFonts w:hint="eastAsia"/>
                <w:sz w:val="21"/>
                <w:szCs w:val="21"/>
                <w:lang w:eastAsia="zh-CN"/>
              </w:rPr>
              <w:t>0.</w:t>
            </w:r>
            <w:r w:rsidR="002E4BE6">
              <w:rPr>
                <w:rFonts w:hint="eastAsia"/>
                <w:sz w:val="21"/>
                <w:szCs w:val="21"/>
                <w:lang w:eastAsia="zh-CN"/>
              </w:rPr>
              <w:t>15</w:t>
            </w:r>
          </w:p>
        </w:tc>
        <w:tc>
          <w:tcPr>
            <w:tcW w:w="1612" w:type="dxa"/>
            <w:tcBorders>
              <w:top w:val="single" w:sz="4" w:space="0" w:color="auto"/>
            </w:tcBorders>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w:t>
            </w:r>
          </w:p>
        </w:tc>
      </w:tr>
      <w:tr w:rsidR="002C2F16" w:rsidRPr="009722BA" w:rsidTr="002271B4">
        <w:tc>
          <w:tcPr>
            <w:tcW w:w="2038" w:type="dxa"/>
            <w:vAlign w:val="center"/>
          </w:tcPr>
          <w:p w:rsidR="002C2F16" w:rsidRPr="009722BA" w:rsidRDefault="002C2F16" w:rsidP="002271B4">
            <w:pPr>
              <w:ind w:right="210"/>
              <w:jc w:val="center"/>
              <w:rPr>
                <w:sz w:val="21"/>
                <w:szCs w:val="21"/>
                <w:lang w:eastAsia="zh-CN"/>
              </w:rPr>
            </w:pPr>
            <w:r w:rsidRPr="009722BA">
              <w:rPr>
                <w:sz w:val="21"/>
                <w:szCs w:val="21"/>
                <w:lang w:eastAsia="zh-CN"/>
              </w:rPr>
              <w:t>非透光屋面</w:t>
            </w:r>
          </w:p>
        </w:tc>
        <w:tc>
          <w:tcPr>
            <w:tcW w:w="1630"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0.48</w:t>
            </w:r>
          </w:p>
        </w:tc>
        <w:tc>
          <w:tcPr>
            <w:tcW w:w="163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w:t>
            </w:r>
          </w:p>
        </w:tc>
        <w:tc>
          <w:tcPr>
            <w:tcW w:w="161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0.15</w:t>
            </w:r>
          </w:p>
        </w:tc>
        <w:tc>
          <w:tcPr>
            <w:tcW w:w="1612" w:type="dxa"/>
            <w:vAlign w:val="center"/>
          </w:tcPr>
          <w:p w:rsidR="002C2F16" w:rsidRPr="009722BA" w:rsidRDefault="002C2F16" w:rsidP="002271B4">
            <w:pPr>
              <w:ind w:right="210"/>
              <w:jc w:val="center"/>
              <w:rPr>
                <w:sz w:val="21"/>
                <w:szCs w:val="21"/>
                <w:lang w:eastAsia="zh-CN"/>
              </w:rPr>
            </w:pPr>
          </w:p>
        </w:tc>
      </w:tr>
      <w:tr w:rsidR="002C2F16" w:rsidRPr="009722BA" w:rsidTr="002271B4">
        <w:tc>
          <w:tcPr>
            <w:tcW w:w="2038" w:type="dxa"/>
            <w:vAlign w:val="center"/>
          </w:tcPr>
          <w:p w:rsidR="002C2F16" w:rsidRPr="009722BA" w:rsidRDefault="002C2F16" w:rsidP="002271B4">
            <w:pPr>
              <w:ind w:right="210"/>
              <w:jc w:val="center"/>
              <w:rPr>
                <w:sz w:val="21"/>
                <w:szCs w:val="21"/>
                <w:lang w:eastAsia="zh-CN"/>
              </w:rPr>
            </w:pPr>
            <w:r w:rsidRPr="009722BA">
              <w:rPr>
                <w:sz w:val="21"/>
                <w:szCs w:val="21"/>
                <w:lang w:eastAsia="zh-CN"/>
              </w:rPr>
              <w:t>窗户与玻璃幕墙</w:t>
            </w:r>
          </w:p>
        </w:tc>
        <w:tc>
          <w:tcPr>
            <w:tcW w:w="1630"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2.27</w:t>
            </w:r>
          </w:p>
        </w:tc>
        <w:tc>
          <w:tcPr>
            <w:tcW w:w="1631"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0.4</w:t>
            </w:r>
          </w:p>
        </w:tc>
        <w:tc>
          <w:tcPr>
            <w:tcW w:w="1611" w:type="dxa"/>
            <w:vAlign w:val="center"/>
          </w:tcPr>
          <w:p w:rsidR="002C2F16" w:rsidRPr="009722BA" w:rsidRDefault="00635626" w:rsidP="002271B4">
            <w:pPr>
              <w:ind w:right="210"/>
              <w:jc w:val="center"/>
              <w:rPr>
                <w:sz w:val="21"/>
                <w:szCs w:val="21"/>
                <w:lang w:eastAsia="zh-CN"/>
              </w:rPr>
            </w:pPr>
            <w:r>
              <w:rPr>
                <w:rFonts w:hint="eastAsia"/>
                <w:sz w:val="21"/>
                <w:szCs w:val="21"/>
                <w:lang w:eastAsia="zh-CN"/>
              </w:rPr>
              <w:t>1.8</w:t>
            </w:r>
          </w:p>
        </w:tc>
        <w:tc>
          <w:tcPr>
            <w:tcW w:w="1612" w:type="dxa"/>
            <w:vAlign w:val="center"/>
          </w:tcPr>
          <w:p w:rsidR="002C2F16" w:rsidRPr="009722BA" w:rsidRDefault="00C231CB" w:rsidP="002271B4">
            <w:pPr>
              <w:ind w:right="210"/>
              <w:jc w:val="center"/>
              <w:rPr>
                <w:sz w:val="21"/>
                <w:szCs w:val="21"/>
                <w:lang w:eastAsia="zh-CN"/>
              </w:rPr>
            </w:pPr>
            <w:r w:rsidRPr="009722BA">
              <w:rPr>
                <w:rFonts w:hint="eastAsia"/>
                <w:sz w:val="21"/>
                <w:szCs w:val="21"/>
                <w:lang w:eastAsia="zh-CN"/>
              </w:rPr>
              <w:t>0.25</w:t>
            </w:r>
          </w:p>
        </w:tc>
      </w:tr>
    </w:tbl>
    <w:p w:rsidR="007C59B8" w:rsidRPr="009722BA" w:rsidRDefault="00425F13" w:rsidP="00425F13">
      <w:pPr>
        <w:spacing w:line="240" w:lineRule="auto"/>
        <w:ind w:left="210" w:right="210"/>
        <w:rPr>
          <w:sz w:val="21"/>
          <w:szCs w:val="21"/>
          <w:lang w:eastAsia="zh-CN"/>
        </w:rPr>
      </w:pPr>
      <w:r w:rsidRPr="009722BA">
        <w:rPr>
          <w:rFonts w:hint="eastAsia"/>
          <w:sz w:val="21"/>
          <w:szCs w:val="21"/>
          <w:lang w:eastAsia="zh-CN"/>
        </w:rPr>
        <w:t>需要注意的是维护结果热工性能的提升往往意味着建筑材料消耗的增大，这将带来建材生产阶段以及施工阶段的碳排放增长，但经估算，这一部分的碳排放增长占</w:t>
      </w:r>
      <w:proofErr w:type="gramStart"/>
      <w:r w:rsidRPr="009722BA">
        <w:rPr>
          <w:rFonts w:hint="eastAsia"/>
          <w:sz w:val="21"/>
          <w:szCs w:val="21"/>
          <w:lang w:eastAsia="zh-CN"/>
        </w:rPr>
        <w:t>生命周期总碳排放量</w:t>
      </w:r>
      <w:proofErr w:type="gramEnd"/>
      <w:r w:rsidRPr="009722BA">
        <w:rPr>
          <w:rFonts w:hint="eastAsia"/>
          <w:sz w:val="21"/>
          <w:szCs w:val="21"/>
          <w:lang w:eastAsia="zh-CN"/>
        </w:rPr>
        <w:t>不足</w:t>
      </w:r>
      <w:r w:rsidRPr="009722BA">
        <w:rPr>
          <w:rFonts w:hint="eastAsia"/>
          <w:sz w:val="21"/>
          <w:szCs w:val="21"/>
          <w:lang w:eastAsia="zh-CN"/>
        </w:rPr>
        <w:t>0.5%</w:t>
      </w:r>
      <w:r w:rsidRPr="009722BA">
        <w:rPr>
          <w:rFonts w:hint="eastAsia"/>
          <w:sz w:val="21"/>
          <w:szCs w:val="21"/>
          <w:lang w:eastAsia="zh-CN"/>
        </w:rPr>
        <w:t>，远小于因此而带来的</w:t>
      </w:r>
      <w:proofErr w:type="gramStart"/>
      <w:r w:rsidRPr="009722BA">
        <w:rPr>
          <w:rFonts w:hint="eastAsia"/>
          <w:sz w:val="21"/>
          <w:szCs w:val="21"/>
          <w:lang w:eastAsia="zh-CN"/>
        </w:rPr>
        <w:t>减碳量</w:t>
      </w:r>
      <w:proofErr w:type="gramEnd"/>
      <w:r w:rsidRPr="009722BA">
        <w:rPr>
          <w:rFonts w:hint="eastAsia"/>
          <w:sz w:val="21"/>
          <w:szCs w:val="21"/>
          <w:lang w:eastAsia="zh-CN"/>
        </w:rPr>
        <w:t>，因此该部分的碳排放增长可以忽略不计。</w:t>
      </w:r>
    </w:p>
    <w:p w:rsidR="00425F13" w:rsidRPr="00F429C2" w:rsidRDefault="00425F13" w:rsidP="00F429C2">
      <w:pPr>
        <w:pStyle w:val="a3"/>
        <w:numPr>
          <w:ilvl w:val="0"/>
          <w:numId w:val="3"/>
        </w:numPr>
        <w:spacing w:line="240" w:lineRule="auto"/>
        <w:ind w:right="210"/>
        <w:rPr>
          <w:sz w:val="21"/>
          <w:szCs w:val="21"/>
          <w:lang w:eastAsia="zh-CN"/>
        </w:rPr>
      </w:pPr>
      <w:r w:rsidRPr="00F429C2">
        <w:rPr>
          <w:rFonts w:hint="eastAsia"/>
          <w:sz w:val="21"/>
          <w:szCs w:val="21"/>
          <w:lang w:eastAsia="zh-CN"/>
        </w:rPr>
        <w:t>提高空调系统冷热源设备效率</w:t>
      </w:r>
    </w:p>
    <w:p w:rsidR="002052D2" w:rsidRPr="0091249B" w:rsidRDefault="00F429C2" w:rsidP="0091249B">
      <w:pPr>
        <w:spacing w:line="240" w:lineRule="auto"/>
        <w:ind w:right="210"/>
        <w:rPr>
          <w:sz w:val="21"/>
          <w:szCs w:val="21"/>
          <w:lang w:eastAsia="zh-CN"/>
        </w:rPr>
      </w:pPr>
      <w:r w:rsidRPr="0091249B">
        <w:rPr>
          <w:rFonts w:hint="eastAsia"/>
          <w:sz w:val="21"/>
          <w:szCs w:val="21"/>
          <w:lang w:eastAsia="zh-CN"/>
        </w:rPr>
        <w:t>在</w:t>
      </w:r>
      <w:r w:rsidRPr="0091249B">
        <w:rPr>
          <w:rFonts w:hint="eastAsia"/>
          <w:sz w:val="21"/>
          <w:szCs w:val="21"/>
          <w:lang w:eastAsia="zh-CN"/>
        </w:rPr>
        <w:t>HVAC</w:t>
      </w:r>
      <w:r w:rsidRPr="0091249B">
        <w:rPr>
          <w:rFonts w:hint="eastAsia"/>
          <w:sz w:val="21"/>
          <w:szCs w:val="21"/>
          <w:lang w:eastAsia="zh-CN"/>
        </w:rPr>
        <w:t>系统中，冷热源设备是最主要的能源消耗者。根据模拟数据，冷热源设备的能耗占</w:t>
      </w:r>
      <w:r w:rsidRPr="0091249B">
        <w:rPr>
          <w:rFonts w:hint="eastAsia"/>
          <w:sz w:val="21"/>
          <w:szCs w:val="21"/>
          <w:lang w:eastAsia="zh-CN"/>
        </w:rPr>
        <w:t>HVAC</w:t>
      </w:r>
      <w:r w:rsidRPr="0091249B">
        <w:rPr>
          <w:rFonts w:hint="eastAsia"/>
          <w:sz w:val="21"/>
          <w:szCs w:val="21"/>
          <w:lang w:eastAsia="zh-CN"/>
        </w:rPr>
        <w:t>系统总能耗的</w:t>
      </w:r>
      <w:r w:rsidRPr="0091249B">
        <w:rPr>
          <w:rFonts w:hint="eastAsia"/>
          <w:sz w:val="21"/>
          <w:szCs w:val="21"/>
          <w:lang w:eastAsia="zh-CN"/>
        </w:rPr>
        <w:t>82%</w:t>
      </w:r>
      <w:r w:rsidRPr="0091249B">
        <w:rPr>
          <w:rFonts w:hint="eastAsia"/>
          <w:sz w:val="21"/>
          <w:szCs w:val="21"/>
          <w:lang w:eastAsia="zh-CN"/>
        </w:rPr>
        <w:t>，因此提高冷热源设备的效率是降低</w:t>
      </w:r>
      <w:r w:rsidRPr="0091249B">
        <w:rPr>
          <w:rFonts w:hint="eastAsia"/>
          <w:sz w:val="21"/>
          <w:szCs w:val="21"/>
          <w:lang w:eastAsia="zh-CN"/>
        </w:rPr>
        <w:t>HVAC</w:t>
      </w:r>
      <w:r w:rsidRPr="0091249B">
        <w:rPr>
          <w:rFonts w:hint="eastAsia"/>
          <w:sz w:val="21"/>
          <w:szCs w:val="21"/>
          <w:lang w:eastAsia="zh-CN"/>
        </w:rPr>
        <w:t>系统能耗、</w:t>
      </w:r>
      <w:r w:rsidR="00E55BE4" w:rsidRPr="0091249B">
        <w:rPr>
          <w:rFonts w:hint="eastAsia"/>
          <w:sz w:val="21"/>
          <w:szCs w:val="21"/>
          <w:lang w:eastAsia="zh-CN"/>
        </w:rPr>
        <w:t>减少运营过程阶段碳排放的关键。</w:t>
      </w:r>
      <w:r w:rsidR="00835AEE" w:rsidRPr="0091249B">
        <w:rPr>
          <w:rFonts w:hint="eastAsia"/>
          <w:sz w:val="21"/>
          <w:szCs w:val="21"/>
          <w:lang w:eastAsia="zh-CN"/>
        </w:rPr>
        <w:t>根据项目规划，该市政综合体项目以污水源热泵作为空调及热水的冷热源，其属于水源热泵的一种。在进行市政综合体基准能耗模拟时，采用的绿色建筑二星级标准规定冷热源设备较国家标准所规定的</w:t>
      </w:r>
      <w:r w:rsidR="00E45431" w:rsidRPr="0091249B">
        <w:rPr>
          <w:rFonts w:hint="eastAsia"/>
          <w:sz w:val="21"/>
          <w:szCs w:val="21"/>
          <w:lang w:eastAsia="zh-CN"/>
        </w:rPr>
        <w:t>能效提升</w:t>
      </w:r>
      <w:r w:rsidR="00E45431" w:rsidRPr="0091249B">
        <w:rPr>
          <w:rFonts w:hint="eastAsia"/>
          <w:sz w:val="21"/>
          <w:szCs w:val="21"/>
          <w:lang w:eastAsia="zh-CN"/>
        </w:rPr>
        <w:t>6%</w:t>
      </w:r>
      <w:r w:rsidR="00E45431" w:rsidRPr="0091249B">
        <w:rPr>
          <w:rFonts w:hint="eastAsia"/>
          <w:sz w:val="21"/>
          <w:szCs w:val="21"/>
          <w:lang w:eastAsia="zh-CN"/>
        </w:rPr>
        <w:t>。</w:t>
      </w:r>
      <w:proofErr w:type="gramStart"/>
      <w:r w:rsidR="00E45431" w:rsidRPr="0091249B">
        <w:rPr>
          <w:rFonts w:hint="eastAsia"/>
          <w:sz w:val="21"/>
          <w:szCs w:val="21"/>
          <w:lang w:eastAsia="zh-CN"/>
        </w:rPr>
        <w:t>若参</w:t>
      </w:r>
      <w:proofErr w:type="gramEnd"/>
      <w:r w:rsidR="00E45431" w:rsidRPr="0091249B">
        <w:rPr>
          <w:rFonts w:hint="eastAsia"/>
          <w:sz w:val="21"/>
          <w:szCs w:val="21"/>
          <w:lang w:eastAsia="zh-CN"/>
        </w:rPr>
        <w:t>照绿色建筑三星级建筑，则要求提升</w:t>
      </w:r>
      <w:r w:rsidR="00E45431" w:rsidRPr="0091249B">
        <w:rPr>
          <w:rFonts w:hint="eastAsia"/>
          <w:sz w:val="21"/>
          <w:szCs w:val="21"/>
          <w:lang w:eastAsia="zh-CN"/>
        </w:rPr>
        <w:t>12%</w:t>
      </w:r>
      <w:r w:rsidR="00E45431" w:rsidRPr="0091249B">
        <w:rPr>
          <w:rFonts w:hint="eastAsia"/>
          <w:sz w:val="21"/>
          <w:szCs w:val="21"/>
          <w:lang w:eastAsia="zh-CN"/>
        </w:rPr>
        <w:t>。而根据</w:t>
      </w:r>
      <w:r w:rsidR="00E45431" w:rsidRPr="0091249B">
        <w:rPr>
          <w:rFonts w:hint="eastAsia"/>
          <w:sz w:val="21"/>
          <w:szCs w:val="21"/>
          <w:lang w:eastAsia="zh-CN"/>
        </w:rPr>
        <w:t>GB51350-2019</w:t>
      </w:r>
      <w:r w:rsidR="00E45431" w:rsidRPr="0091249B">
        <w:rPr>
          <w:rFonts w:hint="eastAsia"/>
          <w:sz w:val="21"/>
          <w:szCs w:val="21"/>
          <w:lang w:eastAsia="zh-CN"/>
        </w:rPr>
        <w:t>《近零能耗建筑技术标准》规定，近零能耗建筑的水源热泵机组的制冷性能系数应达到</w:t>
      </w:r>
      <w:r w:rsidR="00E45431" w:rsidRPr="0091249B">
        <w:rPr>
          <w:rFonts w:hint="eastAsia"/>
          <w:sz w:val="21"/>
          <w:szCs w:val="21"/>
          <w:lang w:eastAsia="zh-CN"/>
        </w:rPr>
        <w:t>6.0</w:t>
      </w:r>
      <w:r w:rsidR="00E45431" w:rsidRPr="0091249B">
        <w:rPr>
          <w:rFonts w:hint="eastAsia"/>
          <w:sz w:val="21"/>
          <w:szCs w:val="21"/>
          <w:lang w:eastAsia="zh-CN"/>
        </w:rPr>
        <w:t>。综上，结合</w:t>
      </w:r>
      <w:r w:rsidR="00E45431" w:rsidRPr="0091249B">
        <w:rPr>
          <w:rFonts w:hint="eastAsia"/>
          <w:sz w:val="21"/>
          <w:szCs w:val="21"/>
          <w:lang w:eastAsia="zh-CN"/>
        </w:rPr>
        <w:t>GB 19409-2013</w:t>
      </w:r>
      <w:r w:rsidR="00E45431" w:rsidRPr="0091249B">
        <w:rPr>
          <w:rFonts w:hint="eastAsia"/>
          <w:sz w:val="21"/>
          <w:szCs w:val="21"/>
          <w:lang w:eastAsia="zh-CN"/>
        </w:rPr>
        <w:t>《水（地）源热泵》中的规定，可得到各标准下的热泵机组</w:t>
      </w:r>
      <w:r w:rsidR="002271B4" w:rsidRPr="0091249B">
        <w:rPr>
          <w:rFonts w:hint="eastAsia"/>
          <w:sz w:val="21"/>
          <w:szCs w:val="21"/>
          <w:lang w:eastAsia="zh-CN"/>
        </w:rPr>
        <w:t>综合</w:t>
      </w:r>
      <w:r w:rsidR="00E45431" w:rsidRPr="0091249B">
        <w:rPr>
          <w:rFonts w:hint="eastAsia"/>
          <w:sz w:val="21"/>
          <w:szCs w:val="21"/>
          <w:lang w:eastAsia="zh-CN"/>
        </w:rPr>
        <w:t>性能</w:t>
      </w:r>
      <w:r w:rsidR="00EA4C9A" w:rsidRPr="0091249B">
        <w:rPr>
          <w:rFonts w:hint="eastAsia"/>
          <w:sz w:val="21"/>
          <w:szCs w:val="21"/>
          <w:lang w:eastAsia="zh-CN"/>
        </w:rPr>
        <w:t>参数，其数据如表</w:t>
      </w:r>
      <w:r w:rsidR="00EA4C9A" w:rsidRPr="0091249B">
        <w:rPr>
          <w:rFonts w:hint="eastAsia"/>
          <w:sz w:val="21"/>
          <w:szCs w:val="21"/>
          <w:lang w:eastAsia="zh-CN"/>
        </w:rPr>
        <w:t>x</w:t>
      </w:r>
      <w:r w:rsidR="00EA4C9A" w:rsidRPr="0091249B">
        <w:rPr>
          <w:rFonts w:hint="eastAsia"/>
          <w:sz w:val="21"/>
          <w:szCs w:val="21"/>
          <w:lang w:eastAsia="zh-CN"/>
        </w:rPr>
        <w:t>所示。</w:t>
      </w:r>
    </w:p>
    <w:p w:rsidR="00EA4C9A" w:rsidRDefault="00EA4C9A" w:rsidP="00EA4C9A">
      <w:pPr>
        <w:pStyle w:val="a3"/>
        <w:spacing w:line="240" w:lineRule="auto"/>
        <w:ind w:left="615" w:right="210"/>
        <w:jc w:val="center"/>
        <w:rPr>
          <w:sz w:val="21"/>
          <w:szCs w:val="21"/>
          <w:lang w:eastAsia="zh-CN"/>
        </w:rPr>
      </w:pPr>
      <w:r>
        <w:rPr>
          <w:rFonts w:hint="eastAsia"/>
          <w:sz w:val="21"/>
          <w:szCs w:val="21"/>
          <w:lang w:eastAsia="zh-CN"/>
        </w:rPr>
        <w:t>表</w:t>
      </w:r>
      <w:r>
        <w:rPr>
          <w:rFonts w:hint="eastAsia"/>
          <w:sz w:val="21"/>
          <w:szCs w:val="21"/>
          <w:lang w:eastAsia="zh-CN"/>
        </w:rPr>
        <w:t xml:space="preserve">x </w:t>
      </w:r>
      <w:r>
        <w:rPr>
          <w:rFonts w:hint="eastAsia"/>
          <w:sz w:val="21"/>
          <w:szCs w:val="21"/>
          <w:lang w:eastAsia="zh-CN"/>
        </w:rPr>
        <w:t>热泵机组在不同标准下的</w:t>
      </w:r>
      <w:r w:rsidR="002271B4">
        <w:rPr>
          <w:rFonts w:hint="eastAsia"/>
          <w:sz w:val="21"/>
          <w:szCs w:val="21"/>
          <w:lang w:eastAsia="zh-CN"/>
        </w:rPr>
        <w:t>综合</w:t>
      </w:r>
      <w:r>
        <w:rPr>
          <w:rFonts w:hint="eastAsia"/>
          <w:sz w:val="21"/>
          <w:szCs w:val="21"/>
          <w:lang w:eastAsia="zh-CN"/>
        </w:rPr>
        <w:t>性能参数（名义）约束值</w:t>
      </w:r>
    </w:p>
    <w:tbl>
      <w:tblPr>
        <w:tblStyle w:val="a6"/>
        <w:tblW w:w="0" w:type="auto"/>
        <w:tblInd w:w="61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1567"/>
        <w:gridCol w:w="1574"/>
        <w:gridCol w:w="1588"/>
        <w:gridCol w:w="1589"/>
        <w:gridCol w:w="1589"/>
      </w:tblGrid>
      <w:tr w:rsidR="00EA4C9A" w:rsidTr="002052D2">
        <w:tc>
          <w:tcPr>
            <w:tcW w:w="1704"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运行模式</w:t>
            </w:r>
          </w:p>
        </w:tc>
        <w:tc>
          <w:tcPr>
            <w:tcW w:w="1704"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标准基准值</w:t>
            </w:r>
          </w:p>
        </w:tc>
        <w:tc>
          <w:tcPr>
            <w:tcW w:w="1704"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proofErr w:type="gramStart"/>
            <w:r>
              <w:rPr>
                <w:rFonts w:hint="eastAsia"/>
                <w:sz w:val="21"/>
                <w:szCs w:val="21"/>
                <w:lang w:eastAsia="zh-CN"/>
              </w:rPr>
              <w:t>绿建</w:t>
            </w:r>
            <w:r>
              <w:rPr>
                <w:sz w:val="21"/>
                <w:szCs w:val="21"/>
                <w:lang w:eastAsia="zh-CN"/>
              </w:rPr>
              <w:t>二</w:t>
            </w:r>
            <w:proofErr w:type="gramEnd"/>
            <w:r>
              <w:rPr>
                <w:sz w:val="21"/>
                <w:szCs w:val="21"/>
                <w:lang w:eastAsia="zh-CN"/>
              </w:rPr>
              <w:t>星级</w:t>
            </w:r>
          </w:p>
        </w:tc>
        <w:tc>
          <w:tcPr>
            <w:tcW w:w="1705"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proofErr w:type="gramStart"/>
            <w:r>
              <w:rPr>
                <w:rFonts w:hint="eastAsia"/>
                <w:sz w:val="21"/>
                <w:szCs w:val="21"/>
                <w:lang w:eastAsia="zh-CN"/>
              </w:rPr>
              <w:t>绿建三</w:t>
            </w:r>
            <w:proofErr w:type="gramEnd"/>
            <w:r>
              <w:rPr>
                <w:rFonts w:hint="eastAsia"/>
                <w:sz w:val="21"/>
                <w:szCs w:val="21"/>
                <w:lang w:eastAsia="zh-CN"/>
              </w:rPr>
              <w:t>星级</w:t>
            </w:r>
          </w:p>
        </w:tc>
        <w:tc>
          <w:tcPr>
            <w:tcW w:w="1705" w:type="dxa"/>
            <w:tcBorders>
              <w:top w:val="single" w:sz="12" w:space="0" w:color="auto"/>
              <w:bottom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近零能耗建筑</w:t>
            </w:r>
          </w:p>
        </w:tc>
      </w:tr>
      <w:tr w:rsidR="00EA4C9A" w:rsidTr="002052D2">
        <w:tc>
          <w:tcPr>
            <w:tcW w:w="1704" w:type="dxa"/>
            <w:tcBorders>
              <w:top w:val="single" w:sz="4" w:space="0" w:color="auto"/>
            </w:tcBorders>
          </w:tcPr>
          <w:p w:rsidR="00EA4C9A" w:rsidRDefault="00EA4C9A" w:rsidP="00EA4C9A">
            <w:pPr>
              <w:pStyle w:val="a3"/>
              <w:ind w:left="0" w:right="210"/>
              <w:jc w:val="center"/>
              <w:rPr>
                <w:sz w:val="21"/>
                <w:szCs w:val="21"/>
                <w:lang w:eastAsia="zh-CN"/>
              </w:rPr>
            </w:pPr>
            <w:r>
              <w:rPr>
                <w:sz w:val="21"/>
                <w:szCs w:val="21"/>
                <w:lang w:eastAsia="zh-CN"/>
              </w:rPr>
              <w:t>制冷</w:t>
            </w:r>
          </w:p>
        </w:tc>
        <w:tc>
          <w:tcPr>
            <w:tcW w:w="1704"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4.8</w:t>
            </w:r>
          </w:p>
        </w:tc>
        <w:tc>
          <w:tcPr>
            <w:tcW w:w="1704"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5.09</w:t>
            </w:r>
          </w:p>
        </w:tc>
        <w:tc>
          <w:tcPr>
            <w:tcW w:w="1705"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5.38</w:t>
            </w:r>
          </w:p>
        </w:tc>
        <w:tc>
          <w:tcPr>
            <w:tcW w:w="1705" w:type="dxa"/>
            <w:tcBorders>
              <w:top w:val="single" w:sz="4" w:space="0" w:color="auto"/>
            </w:tcBorders>
          </w:tcPr>
          <w:p w:rsidR="00EA4C9A" w:rsidRDefault="00EA4C9A" w:rsidP="00EA4C9A">
            <w:pPr>
              <w:pStyle w:val="a3"/>
              <w:ind w:left="0" w:right="210"/>
              <w:jc w:val="center"/>
              <w:rPr>
                <w:sz w:val="21"/>
                <w:szCs w:val="21"/>
                <w:lang w:eastAsia="zh-CN"/>
              </w:rPr>
            </w:pPr>
            <w:r>
              <w:rPr>
                <w:rFonts w:hint="eastAsia"/>
                <w:sz w:val="21"/>
                <w:szCs w:val="21"/>
                <w:lang w:eastAsia="zh-CN"/>
              </w:rPr>
              <w:t>6.00</w:t>
            </w:r>
          </w:p>
        </w:tc>
      </w:tr>
      <w:tr w:rsidR="00EA4C9A" w:rsidTr="002052D2">
        <w:tc>
          <w:tcPr>
            <w:tcW w:w="1704" w:type="dxa"/>
          </w:tcPr>
          <w:p w:rsidR="00EA4C9A" w:rsidRDefault="00EA4C9A" w:rsidP="00EA4C9A">
            <w:pPr>
              <w:pStyle w:val="a3"/>
              <w:ind w:left="0" w:right="210"/>
              <w:jc w:val="center"/>
              <w:rPr>
                <w:sz w:val="21"/>
                <w:szCs w:val="21"/>
                <w:lang w:eastAsia="zh-CN"/>
              </w:rPr>
            </w:pPr>
            <w:r>
              <w:rPr>
                <w:sz w:val="21"/>
                <w:szCs w:val="21"/>
                <w:lang w:eastAsia="zh-CN"/>
              </w:rPr>
              <w:t>制热</w:t>
            </w:r>
          </w:p>
        </w:tc>
        <w:tc>
          <w:tcPr>
            <w:tcW w:w="1704" w:type="dxa"/>
          </w:tcPr>
          <w:p w:rsidR="00EA4C9A" w:rsidRDefault="00EA4C9A" w:rsidP="00EA4C9A">
            <w:pPr>
              <w:pStyle w:val="a3"/>
              <w:ind w:left="0" w:right="210"/>
              <w:jc w:val="center"/>
              <w:rPr>
                <w:sz w:val="21"/>
                <w:szCs w:val="21"/>
                <w:lang w:eastAsia="zh-CN"/>
              </w:rPr>
            </w:pPr>
            <w:r>
              <w:rPr>
                <w:rFonts w:hint="eastAsia"/>
                <w:sz w:val="21"/>
                <w:szCs w:val="21"/>
                <w:lang w:eastAsia="zh-CN"/>
              </w:rPr>
              <w:t>4.4</w:t>
            </w:r>
          </w:p>
        </w:tc>
        <w:tc>
          <w:tcPr>
            <w:tcW w:w="1704" w:type="dxa"/>
          </w:tcPr>
          <w:p w:rsidR="00EA4C9A" w:rsidRDefault="00EA4C9A" w:rsidP="00EA4C9A">
            <w:pPr>
              <w:pStyle w:val="a3"/>
              <w:ind w:left="0" w:right="210"/>
              <w:jc w:val="center"/>
              <w:rPr>
                <w:sz w:val="21"/>
                <w:szCs w:val="21"/>
                <w:lang w:eastAsia="zh-CN"/>
              </w:rPr>
            </w:pPr>
            <w:r>
              <w:rPr>
                <w:rFonts w:hint="eastAsia"/>
                <w:sz w:val="21"/>
                <w:szCs w:val="21"/>
                <w:lang w:eastAsia="zh-CN"/>
              </w:rPr>
              <w:t>4.66</w:t>
            </w:r>
          </w:p>
        </w:tc>
        <w:tc>
          <w:tcPr>
            <w:tcW w:w="1705" w:type="dxa"/>
          </w:tcPr>
          <w:p w:rsidR="00EA4C9A" w:rsidRDefault="00EA4C9A" w:rsidP="00EA4C9A">
            <w:pPr>
              <w:pStyle w:val="a3"/>
              <w:ind w:left="0" w:right="210"/>
              <w:jc w:val="center"/>
              <w:rPr>
                <w:sz w:val="21"/>
                <w:szCs w:val="21"/>
                <w:lang w:eastAsia="zh-CN"/>
              </w:rPr>
            </w:pPr>
            <w:r>
              <w:rPr>
                <w:rFonts w:hint="eastAsia"/>
                <w:sz w:val="21"/>
                <w:szCs w:val="21"/>
                <w:lang w:eastAsia="zh-CN"/>
              </w:rPr>
              <w:t>4.93</w:t>
            </w:r>
          </w:p>
        </w:tc>
        <w:tc>
          <w:tcPr>
            <w:tcW w:w="1705" w:type="dxa"/>
          </w:tcPr>
          <w:p w:rsidR="00EA4C9A" w:rsidRDefault="00EA4C9A" w:rsidP="00EA4C9A">
            <w:pPr>
              <w:pStyle w:val="a3"/>
              <w:ind w:left="0" w:right="210"/>
              <w:jc w:val="center"/>
              <w:rPr>
                <w:sz w:val="21"/>
                <w:szCs w:val="21"/>
                <w:lang w:eastAsia="zh-CN"/>
              </w:rPr>
            </w:pPr>
            <w:r>
              <w:rPr>
                <w:rFonts w:hint="eastAsia"/>
                <w:sz w:val="21"/>
                <w:szCs w:val="21"/>
                <w:lang w:eastAsia="zh-CN"/>
              </w:rPr>
              <w:t>-</w:t>
            </w:r>
          </w:p>
        </w:tc>
      </w:tr>
    </w:tbl>
    <w:p w:rsidR="00EA4C9A" w:rsidRPr="0091249B" w:rsidRDefault="002271B4" w:rsidP="0091249B">
      <w:pPr>
        <w:spacing w:line="240" w:lineRule="auto"/>
        <w:ind w:right="210"/>
        <w:rPr>
          <w:sz w:val="21"/>
          <w:szCs w:val="21"/>
          <w:lang w:eastAsia="zh-CN"/>
        </w:rPr>
      </w:pPr>
      <w:r w:rsidRPr="0091249B">
        <w:rPr>
          <w:rFonts w:hint="eastAsia"/>
          <w:sz w:val="21"/>
          <w:szCs w:val="21"/>
          <w:lang w:eastAsia="zh-CN"/>
        </w:rPr>
        <w:t>采取高效的污水源热泵机组虽然会增加项目的初投资，可以有效降低</w:t>
      </w:r>
      <w:r w:rsidRPr="0091249B">
        <w:rPr>
          <w:rFonts w:hint="eastAsia"/>
          <w:sz w:val="21"/>
          <w:szCs w:val="21"/>
          <w:lang w:eastAsia="zh-CN"/>
        </w:rPr>
        <w:t>HVAC</w:t>
      </w:r>
      <w:r w:rsidRPr="0091249B">
        <w:rPr>
          <w:rFonts w:hint="eastAsia"/>
          <w:sz w:val="21"/>
          <w:szCs w:val="21"/>
          <w:lang w:eastAsia="zh-CN"/>
        </w:rPr>
        <w:t>系统的能耗，在降低运行成本的同时减少碳排放，长期来看符合市政综合体规划中提出的构建“零碳”建筑目标要求。</w:t>
      </w:r>
      <w:r w:rsidR="00AA771D" w:rsidRPr="0091249B">
        <w:rPr>
          <w:rFonts w:hint="eastAsia"/>
          <w:sz w:val="21"/>
          <w:szCs w:val="21"/>
          <w:lang w:eastAsia="zh-CN"/>
        </w:rPr>
        <w:t>根据模拟结果，</w:t>
      </w:r>
      <w:proofErr w:type="gramStart"/>
      <w:r w:rsidR="00AA771D" w:rsidRPr="0091249B">
        <w:rPr>
          <w:rFonts w:hint="eastAsia"/>
          <w:sz w:val="21"/>
          <w:szCs w:val="21"/>
          <w:lang w:eastAsia="zh-CN"/>
        </w:rPr>
        <w:t>按照绿建三</w:t>
      </w:r>
      <w:proofErr w:type="gramEnd"/>
      <w:r w:rsidR="00AA771D" w:rsidRPr="0091249B">
        <w:rPr>
          <w:rFonts w:hint="eastAsia"/>
          <w:sz w:val="21"/>
          <w:szCs w:val="21"/>
          <w:lang w:eastAsia="zh-CN"/>
        </w:rPr>
        <w:t>星级的约束值选用冷热源设备时相较于基准建筑，其</w:t>
      </w:r>
      <w:r w:rsidR="00AA771D" w:rsidRPr="0091249B">
        <w:rPr>
          <w:rFonts w:hint="eastAsia"/>
          <w:sz w:val="21"/>
          <w:szCs w:val="21"/>
          <w:lang w:eastAsia="zh-CN"/>
        </w:rPr>
        <w:t>HVAC</w:t>
      </w:r>
      <w:r w:rsidR="00703BD5" w:rsidRPr="0091249B">
        <w:rPr>
          <w:rFonts w:hint="eastAsia"/>
          <w:sz w:val="21"/>
          <w:szCs w:val="21"/>
          <w:lang w:eastAsia="zh-CN"/>
        </w:rPr>
        <w:t>系统（含热水加热）的能耗下降</w:t>
      </w:r>
      <w:r w:rsidR="00703BD5" w:rsidRPr="0091249B">
        <w:rPr>
          <w:rFonts w:hint="eastAsia"/>
          <w:sz w:val="21"/>
          <w:szCs w:val="21"/>
          <w:lang w:eastAsia="zh-CN"/>
        </w:rPr>
        <w:t>12.63%</w:t>
      </w:r>
      <w:r w:rsidR="00703BD5" w:rsidRPr="0091249B">
        <w:rPr>
          <w:rFonts w:hint="eastAsia"/>
          <w:sz w:val="21"/>
          <w:szCs w:val="21"/>
          <w:lang w:eastAsia="zh-CN"/>
        </w:rPr>
        <w:t>，每年可减少运营阶段</w:t>
      </w:r>
      <w:r w:rsidR="00102C48" w:rsidRPr="0091249B">
        <w:rPr>
          <w:rFonts w:hint="eastAsia"/>
          <w:sz w:val="21"/>
          <w:szCs w:val="21"/>
          <w:lang w:eastAsia="zh-CN"/>
        </w:rPr>
        <w:t>电能消耗</w:t>
      </w:r>
      <w:r w:rsidR="00A34423" w:rsidRPr="0091249B">
        <w:rPr>
          <w:rFonts w:hint="eastAsia"/>
          <w:sz w:val="21"/>
          <w:szCs w:val="21"/>
          <w:lang w:eastAsia="zh-CN"/>
        </w:rPr>
        <w:t>350980</w:t>
      </w:r>
      <w:r w:rsidR="00102C48" w:rsidRPr="0091249B">
        <w:rPr>
          <w:rFonts w:hint="eastAsia"/>
          <w:sz w:val="21"/>
          <w:szCs w:val="21"/>
          <w:lang w:eastAsia="zh-CN"/>
        </w:rPr>
        <w:t>kWh</w:t>
      </w:r>
      <w:r w:rsidR="00703BD5" w:rsidRPr="0091249B">
        <w:rPr>
          <w:rFonts w:hint="eastAsia"/>
          <w:sz w:val="21"/>
          <w:szCs w:val="21"/>
          <w:lang w:eastAsia="zh-CN"/>
        </w:rPr>
        <w:t>，</w:t>
      </w:r>
      <w:r w:rsidR="00102C48" w:rsidRPr="0091249B">
        <w:rPr>
          <w:rFonts w:hint="eastAsia"/>
          <w:sz w:val="21"/>
          <w:szCs w:val="21"/>
          <w:lang w:eastAsia="zh-CN"/>
        </w:rPr>
        <w:t>每年可减少碳排放</w:t>
      </w:r>
      <w:r w:rsidR="00102C48" w:rsidRPr="0091249B">
        <w:rPr>
          <w:rFonts w:hint="eastAsia"/>
          <w:sz w:val="21"/>
          <w:szCs w:val="21"/>
          <w:lang w:eastAsia="zh-CN"/>
        </w:rPr>
        <w:t>206.92tCO</w:t>
      </w:r>
      <w:r w:rsidR="00102C48" w:rsidRPr="0091249B">
        <w:rPr>
          <w:rFonts w:hint="eastAsia"/>
          <w:sz w:val="21"/>
          <w:szCs w:val="21"/>
          <w:vertAlign w:val="subscript"/>
          <w:lang w:eastAsia="zh-CN"/>
        </w:rPr>
        <w:t>2</w:t>
      </w:r>
      <w:r w:rsidR="00703BD5" w:rsidRPr="0091249B">
        <w:rPr>
          <w:rFonts w:hint="eastAsia"/>
          <w:sz w:val="21"/>
          <w:szCs w:val="21"/>
          <w:lang w:eastAsia="zh-CN"/>
        </w:rPr>
        <w:t>占全生命周期碳排放的</w:t>
      </w:r>
      <w:r w:rsidR="00A34423" w:rsidRPr="0091249B">
        <w:rPr>
          <w:rFonts w:hint="eastAsia"/>
          <w:sz w:val="21"/>
          <w:szCs w:val="21"/>
          <w:lang w:eastAsia="zh-CN"/>
        </w:rPr>
        <w:t>4.36</w:t>
      </w:r>
      <w:r w:rsidR="00703BD5" w:rsidRPr="0091249B">
        <w:rPr>
          <w:rFonts w:hint="eastAsia"/>
          <w:sz w:val="21"/>
          <w:szCs w:val="21"/>
          <w:lang w:eastAsia="zh-CN"/>
        </w:rPr>
        <w:t>%</w:t>
      </w:r>
      <w:r w:rsidR="00703BD5" w:rsidRPr="0091249B">
        <w:rPr>
          <w:rFonts w:hint="eastAsia"/>
          <w:sz w:val="21"/>
          <w:szCs w:val="21"/>
          <w:lang w:eastAsia="zh-CN"/>
        </w:rPr>
        <w:t>。</w:t>
      </w:r>
    </w:p>
    <w:p w:rsidR="002271B4" w:rsidRPr="00B76E54" w:rsidRDefault="00B76E54" w:rsidP="00B76E54">
      <w:pPr>
        <w:pStyle w:val="a3"/>
        <w:numPr>
          <w:ilvl w:val="0"/>
          <w:numId w:val="3"/>
        </w:numPr>
        <w:spacing w:line="240" w:lineRule="auto"/>
        <w:ind w:right="210"/>
        <w:rPr>
          <w:sz w:val="21"/>
          <w:szCs w:val="21"/>
          <w:lang w:eastAsia="zh-CN"/>
        </w:rPr>
      </w:pPr>
      <w:r w:rsidRPr="00B76E54">
        <w:rPr>
          <w:rFonts w:hint="eastAsia"/>
          <w:sz w:val="21"/>
          <w:szCs w:val="21"/>
          <w:lang w:eastAsia="zh-CN"/>
        </w:rPr>
        <w:t>优化</w:t>
      </w:r>
      <w:r w:rsidRPr="00B76E54">
        <w:rPr>
          <w:rFonts w:hint="eastAsia"/>
          <w:sz w:val="21"/>
          <w:szCs w:val="21"/>
          <w:lang w:eastAsia="zh-CN"/>
        </w:rPr>
        <w:t>HVAC</w:t>
      </w:r>
      <w:r w:rsidRPr="00B76E54">
        <w:rPr>
          <w:rFonts w:hint="eastAsia"/>
          <w:sz w:val="21"/>
          <w:szCs w:val="21"/>
          <w:lang w:eastAsia="zh-CN"/>
        </w:rPr>
        <w:t>系统控制策略</w:t>
      </w:r>
    </w:p>
    <w:p w:rsidR="00B76E54" w:rsidRDefault="00B76E54" w:rsidP="00B76E54">
      <w:pPr>
        <w:spacing w:line="240" w:lineRule="auto"/>
        <w:ind w:left="210" w:right="210"/>
        <w:rPr>
          <w:sz w:val="21"/>
          <w:szCs w:val="21"/>
          <w:lang w:eastAsia="zh-CN"/>
        </w:rPr>
      </w:pPr>
      <w:r>
        <w:rPr>
          <w:rFonts w:hint="eastAsia"/>
          <w:sz w:val="21"/>
          <w:szCs w:val="21"/>
          <w:lang w:eastAsia="zh-CN"/>
        </w:rPr>
        <w:t>HVAC</w:t>
      </w:r>
      <w:r>
        <w:rPr>
          <w:rFonts w:hint="eastAsia"/>
          <w:sz w:val="21"/>
          <w:szCs w:val="21"/>
          <w:lang w:eastAsia="zh-CN"/>
        </w:rPr>
        <w:t>系统的能耗不仅与设备的能效参数有关，也与</w:t>
      </w:r>
      <w:r>
        <w:rPr>
          <w:rFonts w:hint="eastAsia"/>
          <w:sz w:val="21"/>
          <w:szCs w:val="21"/>
          <w:lang w:eastAsia="zh-CN"/>
        </w:rPr>
        <w:t>HVAC</w:t>
      </w:r>
      <w:r>
        <w:rPr>
          <w:rFonts w:hint="eastAsia"/>
          <w:sz w:val="21"/>
          <w:szCs w:val="21"/>
          <w:lang w:eastAsia="zh-CN"/>
        </w:rPr>
        <w:t>系统的控制策略有很大的关系。目前的大型综合体建筑多采用中央空调系统实现室内环境的调节，</w:t>
      </w:r>
      <w:proofErr w:type="gramStart"/>
      <w:r>
        <w:rPr>
          <w:rFonts w:hint="eastAsia"/>
          <w:sz w:val="21"/>
          <w:szCs w:val="21"/>
          <w:lang w:eastAsia="zh-CN"/>
        </w:rPr>
        <w:t>其有着</w:t>
      </w:r>
      <w:proofErr w:type="gramEnd"/>
      <w:r>
        <w:rPr>
          <w:rFonts w:hint="eastAsia"/>
          <w:sz w:val="21"/>
          <w:szCs w:val="21"/>
          <w:lang w:eastAsia="zh-CN"/>
        </w:rPr>
        <w:t>全年运行时间长，季节间、昼夜间运行情况差异明显等特点，以上特点意味着</w:t>
      </w:r>
      <w:r>
        <w:rPr>
          <w:rFonts w:hint="eastAsia"/>
          <w:sz w:val="21"/>
          <w:szCs w:val="21"/>
          <w:lang w:eastAsia="zh-CN"/>
        </w:rPr>
        <w:t>HVAC</w:t>
      </w:r>
      <w:r>
        <w:rPr>
          <w:rFonts w:hint="eastAsia"/>
          <w:sz w:val="21"/>
          <w:szCs w:val="21"/>
          <w:lang w:eastAsia="zh-CN"/>
        </w:rPr>
        <w:t>系统所面对的工作状态与工作目标处于动态变化中，若无法有效调整系统的运行状态以适应</w:t>
      </w:r>
      <w:r w:rsidR="000F355F">
        <w:rPr>
          <w:rFonts w:hint="eastAsia"/>
          <w:sz w:val="21"/>
          <w:szCs w:val="21"/>
          <w:lang w:eastAsia="zh-CN"/>
        </w:rPr>
        <w:t>需求侧的变化，则会导致大量的能源浪费或者室内环境调节失效。控制策略的核心思想是“减少冷热源设备工作时间，尽可能使设备运行在部分负荷状态，随室内符合调整系统出力”。</w:t>
      </w:r>
    </w:p>
    <w:p w:rsidR="000F355F" w:rsidRDefault="000F355F" w:rsidP="00B76E54">
      <w:pPr>
        <w:spacing w:line="240" w:lineRule="auto"/>
        <w:ind w:left="210" w:right="210"/>
        <w:rPr>
          <w:sz w:val="21"/>
          <w:szCs w:val="21"/>
          <w:lang w:eastAsia="zh-CN"/>
        </w:rPr>
      </w:pPr>
      <w:r>
        <w:rPr>
          <w:sz w:val="21"/>
          <w:szCs w:val="21"/>
          <w:lang w:eastAsia="zh-CN"/>
        </w:rPr>
        <w:t>为了实现以上的控制思想</w:t>
      </w:r>
      <w:r>
        <w:rPr>
          <w:rFonts w:hint="eastAsia"/>
          <w:sz w:val="21"/>
          <w:szCs w:val="21"/>
          <w:lang w:eastAsia="zh-CN"/>
        </w:rPr>
        <w:t>，</w:t>
      </w:r>
      <w:r>
        <w:rPr>
          <w:sz w:val="21"/>
          <w:szCs w:val="21"/>
          <w:lang w:eastAsia="zh-CN"/>
        </w:rPr>
        <w:t>可采取的具体控制方案</w:t>
      </w:r>
      <w:r w:rsidR="00C14C05">
        <w:rPr>
          <w:sz w:val="21"/>
          <w:szCs w:val="21"/>
          <w:lang w:eastAsia="zh-CN"/>
        </w:rPr>
        <w:t>如表</w:t>
      </w:r>
      <w:r w:rsidR="00C14C05">
        <w:rPr>
          <w:sz w:val="21"/>
          <w:szCs w:val="21"/>
          <w:lang w:eastAsia="zh-CN"/>
        </w:rPr>
        <w:t>x</w:t>
      </w:r>
      <w:r w:rsidR="00C14C05">
        <w:rPr>
          <w:sz w:val="21"/>
          <w:szCs w:val="21"/>
          <w:lang w:eastAsia="zh-CN"/>
        </w:rPr>
        <w:t>所示</w:t>
      </w:r>
      <w:r>
        <w:rPr>
          <w:rFonts w:hint="eastAsia"/>
          <w:sz w:val="21"/>
          <w:szCs w:val="21"/>
          <w:lang w:eastAsia="zh-CN"/>
        </w:rPr>
        <w:t>：</w:t>
      </w:r>
    </w:p>
    <w:p w:rsidR="00192B4A" w:rsidRDefault="00192B4A" w:rsidP="00192B4A">
      <w:pPr>
        <w:spacing w:line="240" w:lineRule="auto"/>
        <w:ind w:left="210" w:right="210"/>
        <w:jc w:val="center"/>
        <w:rPr>
          <w:sz w:val="21"/>
          <w:szCs w:val="21"/>
          <w:lang w:eastAsia="zh-CN"/>
        </w:rPr>
      </w:pPr>
      <w:r>
        <w:rPr>
          <w:rFonts w:hint="eastAsia"/>
          <w:sz w:val="21"/>
          <w:szCs w:val="21"/>
          <w:lang w:eastAsia="zh-CN"/>
        </w:rPr>
        <w:t>表</w:t>
      </w:r>
      <w:r>
        <w:rPr>
          <w:rFonts w:hint="eastAsia"/>
          <w:sz w:val="21"/>
          <w:szCs w:val="21"/>
          <w:lang w:eastAsia="zh-CN"/>
        </w:rPr>
        <w:t>x HVAC</w:t>
      </w:r>
      <w:r>
        <w:rPr>
          <w:rFonts w:hint="eastAsia"/>
          <w:sz w:val="21"/>
          <w:szCs w:val="21"/>
          <w:lang w:eastAsia="zh-CN"/>
        </w:rPr>
        <w:t>系统控制目标及实现方法</w:t>
      </w:r>
    </w:p>
    <w:tbl>
      <w:tblPr>
        <w:tblStyle w:val="a6"/>
        <w:tblW w:w="0" w:type="auto"/>
        <w:tblInd w:w="21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4153"/>
        <w:gridCol w:w="4159"/>
      </w:tblGrid>
      <w:tr w:rsidR="00C407A3" w:rsidTr="00FE7C8B">
        <w:tc>
          <w:tcPr>
            <w:tcW w:w="4261" w:type="dxa"/>
            <w:tcBorders>
              <w:top w:val="single" w:sz="12" w:space="0" w:color="auto"/>
              <w:bottom w:val="single" w:sz="4" w:space="0" w:color="auto"/>
            </w:tcBorders>
          </w:tcPr>
          <w:p w:rsidR="00C407A3" w:rsidRDefault="00C407A3" w:rsidP="00FE7C8B">
            <w:pPr>
              <w:ind w:right="210"/>
              <w:jc w:val="center"/>
              <w:rPr>
                <w:sz w:val="21"/>
                <w:szCs w:val="21"/>
                <w:lang w:eastAsia="zh-CN"/>
              </w:rPr>
            </w:pPr>
            <w:r>
              <w:rPr>
                <w:rFonts w:hint="eastAsia"/>
                <w:sz w:val="21"/>
                <w:szCs w:val="21"/>
                <w:lang w:eastAsia="zh-CN"/>
              </w:rPr>
              <w:lastRenderedPageBreak/>
              <w:t>控制目标</w:t>
            </w:r>
          </w:p>
        </w:tc>
        <w:tc>
          <w:tcPr>
            <w:tcW w:w="4261" w:type="dxa"/>
            <w:tcBorders>
              <w:top w:val="single" w:sz="12" w:space="0" w:color="auto"/>
              <w:bottom w:val="single" w:sz="4" w:space="0" w:color="auto"/>
            </w:tcBorders>
          </w:tcPr>
          <w:p w:rsidR="00C407A3" w:rsidRDefault="00C407A3" w:rsidP="00FE7C8B">
            <w:pPr>
              <w:ind w:right="210"/>
              <w:jc w:val="center"/>
              <w:rPr>
                <w:sz w:val="21"/>
                <w:szCs w:val="21"/>
                <w:lang w:eastAsia="zh-CN"/>
              </w:rPr>
            </w:pPr>
            <w:r>
              <w:rPr>
                <w:sz w:val="21"/>
                <w:szCs w:val="21"/>
                <w:lang w:eastAsia="zh-CN"/>
              </w:rPr>
              <w:t>实现方法</w:t>
            </w:r>
          </w:p>
        </w:tc>
      </w:tr>
      <w:tr w:rsidR="00C407A3" w:rsidTr="00FE7C8B">
        <w:tc>
          <w:tcPr>
            <w:tcW w:w="4261" w:type="dxa"/>
            <w:tcBorders>
              <w:top w:val="single" w:sz="4" w:space="0" w:color="auto"/>
            </w:tcBorders>
          </w:tcPr>
          <w:p w:rsidR="00C407A3" w:rsidRDefault="00C407A3" w:rsidP="00FE7C8B">
            <w:pPr>
              <w:ind w:right="210"/>
              <w:jc w:val="center"/>
              <w:rPr>
                <w:sz w:val="21"/>
                <w:szCs w:val="21"/>
                <w:lang w:eastAsia="zh-CN"/>
              </w:rPr>
            </w:pPr>
            <w:r>
              <w:rPr>
                <w:sz w:val="21"/>
                <w:szCs w:val="21"/>
                <w:lang w:eastAsia="zh-CN"/>
              </w:rPr>
              <w:t>减少冷热源设备工作时间</w:t>
            </w:r>
          </w:p>
        </w:tc>
        <w:tc>
          <w:tcPr>
            <w:tcW w:w="4261" w:type="dxa"/>
            <w:tcBorders>
              <w:top w:val="single" w:sz="4" w:space="0" w:color="auto"/>
            </w:tcBorders>
          </w:tcPr>
          <w:p w:rsidR="00C407A3" w:rsidRDefault="00C407A3" w:rsidP="00FE7C8B">
            <w:pPr>
              <w:ind w:right="210"/>
              <w:jc w:val="center"/>
              <w:rPr>
                <w:sz w:val="21"/>
                <w:szCs w:val="21"/>
                <w:lang w:eastAsia="zh-CN"/>
              </w:rPr>
            </w:pPr>
            <w:r>
              <w:rPr>
                <w:sz w:val="21"/>
                <w:szCs w:val="21"/>
                <w:lang w:eastAsia="zh-CN"/>
              </w:rPr>
              <w:t>过渡季节引入新风满足冷热负荷</w:t>
            </w:r>
          </w:p>
        </w:tc>
      </w:tr>
      <w:tr w:rsidR="00C407A3" w:rsidTr="00FE7C8B">
        <w:tc>
          <w:tcPr>
            <w:tcW w:w="4261" w:type="dxa"/>
          </w:tcPr>
          <w:p w:rsidR="00C407A3" w:rsidRDefault="00C407A3" w:rsidP="00FE7C8B">
            <w:pPr>
              <w:ind w:right="210"/>
              <w:jc w:val="center"/>
              <w:rPr>
                <w:sz w:val="21"/>
                <w:szCs w:val="21"/>
                <w:lang w:eastAsia="zh-CN"/>
              </w:rPr>
            </w:pPr>
            <w:r>
              <w:rPr>
                <w:sz w:val="21"/>
                <w:szCs w:val="21"/>
                <w:lang w:eastAsia="zh-CN"/>
              </w:rPr>
              <w:t>使设备尽可能运行在部分负荷状态</w:t>
            </w:r>
          </w:p>
        </w:tc>
        <w:tc>
          <w:tcPr>
            <w:tcW w:w="4261" w:type="dxa"/>
          </w:tcPr>
          <w:p w:rsidR="00C407A3" w:rsidRDefault="000D1464" w:rsidP="00FE7C8B">
            <w:pPr>
              <w:ind w:right="210"/>
              <w:jc w:val="center"/>
              <w:rPr>
                <w:sz w:val="21"/>
                <w:szCs w:val="21"/>
                <w:lang w:eastAsia="zh-CN"/>
              </w:rPr>
            </w:pPr>
            <w:r>
              <w:rPr>
                <w:rFonts w:hint="eastAsia"/>
                <w:sz w:val="21"/>
                <w:szCs w:val="21"/>
                <w:lang w:eastAsia="zh-CN"/>
              </w:rPr>
              <w:t>优化多机组控制策略；</w:t>
            </w:r>
            <w:r w:rsidR="00C407A3">
              <w:rPr>
                <w:sz w:val="21"/>
                <w:szCs w:val="21"/>
                <w:lang w:eastAsia="zh-CN"/>
              </w:rPr>
              <w:t>高峰时段</w:t>
            </w:r>
            <w:r w:rsidR="002D54EC">
              <w:rPr>
                <w:sz w:val="21"/>
                <w:szCs w:val="21"/>
                <w:lang w:eastAsia="zh-CN"/>
              </w:rPr>
              <w:t>引入蓄冷</w:t>
            </w:r>
            <w:r w:rsidR="002D54EC">
              <w:rPr>
                <w:rFonts w:hint="eastAsia"/>
                <w:sz w:val="21"/>
                <w:szCs w:val="21"/>
                <w:lang w:eastAsia="zh-CN"/>
              </w:rPr>
              <w:t>、</w:t>
            </w:r>
            <w:r w:rsidR="002D54EC">
              <w:rPr>
                <w:sz w:val="21"/>
                <w:szCs w:val="21"/>
                <w:lang w:eastAsia="zh-CN"/>
              </w:rPr>
              <w:t>热量抵消部分尖峰负荷</w:t>
            </w:r>
          </w:p>
        </w:tc>
      </w:tr>
      <w:tr w:rsidR="00C407A3" w:rsidTr="00FE7C8B">
        <w:tc>
          <w:tcPr>
            <w:tcW w:w="4261" w:type="dxa"/>
          </w:tcPr>
          <w:p w:rsidR="00C407A3" w:rsidRDefault="00171B55" w:rsidP="00FE7C8B">
            <w:pPr>
              <w:ind w:right="210"/>
              <w:jc w:val="center"/>
              <w:rPr>
                <w:sz w:val="21"/>
                <w:szCs w:val="21"/>
                <w:lang w:eastAsia="zh-CN"/>
              </w:rPr>
            </w:pPr>
            <w:r>
              <w:rPr>
                <w:rFonts w:hint="eastAsia"/>
                <w:sz w:val="21"/>
                <w:szCs w:val="21"/>
                <w:lang w:eastAsia="zh-CN"/>
              </w:rPr>
              <w:t>动态调整</w:t>
            </w:r>
            <w:r w:rsidR="002D54EC">
              <w:rPr>
                <w:sz w:val="21"/>
                <w:szCs w:val="21"/>
                <w:lang w:eastAsia="zh-CN"/>
              </w:rPr>
              <w:t>系统出力</w:t>
            </w:r>
          </w:p>
        </w:tc>
        <w:tc>
          <w:tcPr>
            <w:tcW w:w="4261" w:type="dxa"/>
          </w:tcPr>
          <w:p w:rsidR="00C407A3" w:rsidRDefault="002D54EC" w:rsidP="00FE7C8B">
            <w:pPr>
              <w:ind w:right="210"/>
              <w:jc w:val="center"/>
              <w:rPr>
                <w:sz w:val="21"/>
                <w:szCs w:val="21"/>
                <w:lang w:eastAsia="zh-CN"/>
              </w:rPr>
            </w:pPr>
            <w:r>
              <w:rPr>
                <w:sz w:val="21"/>
                <w:szCs w:val="21"/>
                <w:lang w:eastAsia="zh-CN"/>
              </w:rPr>
              <w:t>变频空调系统</w:t>
            </w:r>
            <w:r w:rsidR="00CB673D">
              <w:rPr>
                <w:sz w:val="21"/>
                <w:szCs w:val="21"/>
                <w:lang w:eastAsia="zh-CN"/>
              </w:rPr>
              <w:t>与室内负荷动态监测</w:t>
            </w:r>
          </w:p>
        </w:tc>
      </w:tr>
    </w:tbl>
    <w:p w:rsidR="000F355F" w:rsidRDefault="00AB2378" w:rsidP="00B76E54">
      <w:pPr>
        <w:spacing w:line="240" w:lineRule="auto"/>
        <w:ind w:left="210" w:right="210"/>
        <w:rPr>
          <w:sz w:val="21"/>
          <w:szCs w:val="21"/>
          <w:lang w:eastAsia="zh-CN"/>
        </w:rPr>
      </w:pPr>
      <w:r>
        <w:rPr>
          <w:sz w:val="21"/>
          <w:szCs w:val="21"/>
          <w:lang w:eastAsia="zh-CN"/>
        </w:rPr>
        <w:t>过渡季节引入新风满足热负荷</w:t>
      </w:r>
      <w:r>
        <w:rPr>
          <w:rFonts w:hint="eastAsia"/>
          <w:sz w:val="21"/>
          <w:szCs w:val="21"/>
          <w:lang w:eastAsia="zh-CN"/>
        </w:rPr>
        <w:t>，</w:t>
      </w:r>
      <w:r>
        <w:rPr>
          <w:sz w:val="21"/>
          <w:szCs w:val="21"/>
          <w:lang w:eastAsia="zh-CN"/>
        </w:rPr>
        <w:t>是依据在过渡季节室内的冷热负荷不大</w:t>
      </w:r>
      <w:r>
        <w:rPr>
          <w:rFonts w:hint="eastAsia"/>
          <w:sz w:val="21"/>
          <w:szCs w:val="21"/>
          <w:lang w:eastAsia="zh-CN"/>
        </w:rPr>
        <w:t>，</w:t>
      </w:r>
      <w:r>
        <w:rPr>
          <w:sz w:val="21"/>
          <w:szCs w:val="21"/>
          <w:lang w:eastAsia="zh-CN"/>
        </w:rPr>
        <w:t>而室外新风与室内状态点之间的</w:t>
      </w:r>
      <w:proofErr w:type="gramStart"/>
      <w:r>
        <w:rPr>
          <w:sz w:val="21"/>
          <w:szCs w:val="21"/>
          <w:lang w:eastAsia="zh-CN"/>
        </w:rPr>
        <w:t>焓差恰</w:t>
      </w:r>
      <w:proofErr w:type="gramEnd"/>
      <w:r>
        <w:rPr>
          <w:sz w:val="21"/>
          <w:szCs w:val="21"/>
          <w:lang w:eastAsia="zh-CN"/>
        </w:rPr>
        <w:t>能满足或近似满足室内冷热负荷的原理实现室内环境调节</w:t>
      </w:r>
      <w:r>
        <w:rPr>
          <w:rFonts w:hint="eastAsia"/>
          <w:sz w:val="21"/>
          <w:szCs w:val="21"/>
          <w:lang w:eastAsia="zh-CN"/>
        </w:rPr>
        <w:t>。</w:t>
      </w:r>
      <w:r>
        <w:rPr>
          <w:sz w:val="21"/>
          <w:szCs w:val="21"/>
          <w:lang w:eastAsia="zh-CN"/>
        </w:rPr>
        <w:t>在此中运行策略下</w:t>
      </w:r>
      <w:r>
        <w:rPr>
          <w:rFonts w:hint="eastAsia"/>
          <w:sz w:val="21"/>
          <w:szCs w:val="21"/>
          <w:lang w:eastAsia="zh-CN"/>
        </w:rPr>
        <w:t>，</w:t>
      </w:r>
      <w:r>
        <w:rPr>
          <w:sz w:val="21"/>
          <w:szCs w:val="21"/>
          <w:lang w:eastAsia="zh-CN"/>
        </w:rPr>
        <w:t>只有通风系统运行</w:t>
      </w:r>
      <w:r>
        <w:rPr>
          <w:rFonts w:hint="eastAsia"/>
          <w:sz w:val="21"/>
          <w:szCs w:val="21"/>
          <w:lang w:eastAsia="zh-CN"/>
        </w:rPr>
        <w:t>，</w:t>
      </w:r>
      <w:r>
        <w:rPr>
          <w:sz w:val="21"/>
          <w:szCs w:val="21"/>
          <w:lang w:eastAsia="zh-CN"/>
        </w:rPr>
        <w:t>冷热源设备无需运行</w:t>
      </w:r>
      <w:r>
        <w:rPr>
          <w:rFonts w:hint="eastAsia"/>
          <w:sz w:val="21"/>
          <w:szCs w:val="21"/>
          <w:lang w:eastAsia="zh-CN"/>
        </w:rPr>
        <w:t>，</w:t>
      </w:r>
      <w:r>
        <w:rPr>
          <w:sz w:val="21"/>
          <w:szCs w:val="21"/>
          <w:lang w:eastAsia="zh-CN"/>
        </w:rPr>
        <w:t>因而可以降低冷热源设备的全年工作时间</w:t>
      </w:r>
      <w:r>
        <w:rPr>
          <w:rFonts w:hint="eastAsia"/>
          <w:sz w:val="21"/>
          <w:szCs w:val="21"/>
          <w:lang w:eastAsia="zh-CN"/>
        </w:rPr>
        <w:t>，</w:t>
      </w:r>
      <w:r>
        <w:rPr>
          <w:sz w:val="21"/>
          <w:szCs w:val="21"/>
          <w:lang w:eastAsia="zh-CN"/>
        </w:rPr>
        <w:t>降低</w:t>
      </w:r>
      <w:r>
        <w:rPr>
          <w:sz w:val="21"/>
          <w:szCs w:val="21"/>
          <w:lang w:eastAsia="zh-CN"/>
        </w:rPr>
        <w:t>HVAC</w:t>
      </w:r>
      <w:r>
        <w:rPr>
          <w:sz w:val="21"/>
          <w:szCs w:val="21"/>
          <w:lang w:eastAsia="zh-CN"/>
        </w:rPr>
        <w:t>系统能耗</w:t>
      </w:r>
      <w:r>
        <w:rPr>
          <w:rFonts w:hint="eastAsia"/>
          <w:sz w:val="21"/>
          <w:szCs w:val="21"/>
          <w:lang w:eastAsia="zh-CN"/>
        </w:rPr>
        <w:t>。此种控制策略需要加入传感器网络对室内外环境的状态进行监测，并由控制系统判断是否开启新风供冷</w:t>
      </w:r>
      <w:r>
        <w:rPr>
          <w:rFonts w:hint="eastAsia"/>
          <w:sz w:val="21"/>
          <w:szCs w:val="21"/>
          <w:lang w:eastAsia="zh-CN"/>
        </w:rPr>
        <w:t>/</w:t>
      </w:r>
      <w:r>
        <w:rPr>
          <w:rFonts w:hint="eastAsia"/>
          <w:sz w:val="21"/>
          <w:szCs w:val="21"/>
          <w:lang w:eastAsia="zh-CN"/>
        </w:rPr>
        <w:t>热模式。</w:t>
      </w:r>
    </w:p>
    <w:p w:rsidR="00AB2378" w:rsidRDefault="00857770" w:rsidP="00B76E54">
      <w:pPr>
        <w:spacing w:line="240" w:lineRule="auto"/>
        <w:ind w:left="210" w:right="210"/>
        <w:rPr>
          <w:sz w:val="21"/>
          <w:szCs w:val="21"/>
          <w:lang w:eastAsia="zh-CN"/>
        </w:rPr>
      </w:pPr>
      <w:r>
        <w:rPr>
          <w:rFonts w:hint="eastAsia"/>
          <w:sz w:val="21"/>
          <w:szCs w:val="21"/>
          <w:lang w:eastAsia="zh-CN"/>
        </w:rPr>
        <w:t>对于冷热源设备，相较于满负荷运行</w:t>
      </w:r>
      <w:r w:rsidR="000D1464">
        <w:rPr>
          <w:rFonts w:hint="eastAsia"/>
          <w:sz w:val="21"/>
          <w:szCs w:val="21"/>
          <w:lang w:eastAsia="zh-CN"/>
        </w:rPr>
        <w:t>，其在</w:t>
      </w:r>
      <w:r>
        <w:rPr>
          <w:rFonts w:hint="eastAsia"/>
          <w:sz w:val="21"/>
          <w:szCs w:val="21"/>
          <w:lang w:eastAsia="zh-CN"/>
        </w:rPr>
        <w:t>一定范围内的</w:t>
      </w:r>
      <w:r w:rsidR="000D1464">
        <w:rPr>
          <w:rFonts w:hint="eastAsia"/>
          <w:sz w:val="21"/>
          <w:szCs w:val="21"/>
          <w:lang w:eastAsia="zh-CN"/>
        </w:rPr>
        <w:t>部分负荷下运行时拥有更高的性能系数</w:t>
      </w:r>
      <w:r w:rsidR="000D1464">
        <w:rPr>
          <w:rFonts w:hint="eastAsia"/>
          <w:sz w:val="21"/>
          <w:szCs w:val="21"/>
          <w:lang w:eastAsia="zh-CN"/>
        </w:rPr>
        <w:t>[5]</w:t>
      </w:r>
      <w:r w:rsidR="000D1464">
        <w:rPr>
          <w:rFonts w:hint="eastAsia"/>
          <w:sz w:val="21"/>
          <w:szCs w:val="21"/>
          <w:lang w:eastAsia="zh-CN"/>
        </w:rPr>
        <w:t>。因此，在对冷热源设备进行控制时应尽量使机组工作在较高效率的部分负荷下。实现这一目标可依靠合理设定多机组控制</w:t>
      </w:r>
      <w:proofErr w:type="gramStart"/>
      <w:r w:rsidR="000D1464">
        <w:rPr>
          <w:rFonts w:hint="eastAsia"/>
          <w:sz w:val="21"/>
          <w:szCs w:val="21"/>
          <w:lang w:eastAsia="zh-CN"/>
        </w:rPr>
        <w:t>策略与蓄冷</w:t>
      </w:r>
      <w:proofErr w:type="gramEnd"/>
      <w:r w:rsidR="000D1464">
        <w:rPr>
          <w:rFonts w:hint="eastAsia"/>
          <w:sz w:val="21"/>
          <w:szCs w:val="21"/>
          <w:lang w:eastAsia="zh-CN"/>
        </w:rPr>
        <w:t>、蓄热设备介入两种方法</w:t>
      </w:r>
      <w:r w:rsidR="003B48EB">
        <w:rPr>
          <w:rFonts w:hint="eastAsia"/>
          <w:sz w:val="21"/>
          <w:szCs w:val="21"/>
          <w:lang w:eastAsia="zh-CN"/>
        </w:rPr>
        <w:t>。通过合理分配负荷可以使各机组工作在在理想的部分负荷区间内，而蓄冷、蓄热设备的介入可以在高峰期承担部分负荷，减轻机组承担的负荷，提高机组运行能效。</w:t>
      </w:r>
      <w:r w:rsidR="008655C3">
        <w:rPr>
          <w:rFonts w:hint="eastAsia"/>
          <w:sz w:val="21"/>
          <w:szCs w:val="21"/>
          <w:lang w:eastAsia="zh-CN"/>
        </w:rPr>
        <w:t>根据市政综合体规划，拟采用地下消防水池作为蓄冷设施，经计算消防水池可存储</w:t>
      </w:r>
      <w:r w:rsidR="008655C3">
        <w:rPr>
          <w:rFonts w:hint="eastAsia"/>
          <w:sz w:val="21"/>
          <w:szCs w:val="21"/>
          <w:lang w:eastAsia="zh-CN"/>
        </w:rPr>
        <w:t>5292kWh</w:t>
      </w:r>
      <w:r w:rsidR="008655C3">
        <w:rPr>
          <w:rFonts w:hint="eastAsia"/>
          <w:sz w:val="21"/>
          <w:szCs w:val="21"/>
          <w:lang w:eastAsia="zh-CN"/>
        </w:rPr>
        <w:t>的冷量，模拟时按照晚间</w:t>
      </w:r>
      <w:r w:rsidR="008655C3">
        <w:rPr>
          <w:rFonts w:hint="eastAsia"/>
          <w:sz w:val="21"/>
          <w:szCs w:val="21"/>
          <w:lang w:eastAsia="zh-CN"/>
        </w:rPr>
        <w:t>22</w:t>
      </w:r>
      <w:r w:rsidR="008655C3">
        <w:rPr>
          <w:rFonts w:hint="eastAsia"/>
          <w:sz w:val="21"/>
          <w:szCs w:val="21"/>
          <w:lang w:eastAsia="zh-CN"/>
        </w:rPr>
        <w:t>时至次日</w:t>
      </w:r>
      <w:r w:rsidR="008655C3">
        <w:rPr>
          <w:rFonts w:hint="eastAsia"/>
          <w:sz w:val="21"/>
          <w:szCs w:val="21"/>
          <w:lang w:eastAsia="zh-CN"/>
        </w:rPr>
        <w:t>6</w:t>
      </w:r>
      <w:r w:rsidR="008655C3">
        <w:rPr>
          <w:rFonts w:hint="eastAsia"/>
          <w:sz w:val="21"/>
          <w:szCs w:val="21"/>
          <w:lang w:eastAsia="zh-CN"/>
        </w:rPr>
        <w:t>时进行蓄冷。</w:t>
      </w:r>
      <w:r w:rsidR="00BB3B8D">
        <w:rPr>
          <w:rFonts w:hint="eastAsia"/>
          <w:sz w:val="21"/>
          <w:szCs w:val="21"/>
          <w:lang w:eastAsia="zh-CN"/>
        </w:rPr>
        <w:t>引入蓄冷装置后在夏季典型设计日的制冷机组耗电量逐时变化情况如图</w:t>
      </w:r>
      <w:r w:rsidR="00BB3B8D">
        <w:rPr>
          <w:rFonts w:hint="eastAsia"/>
          <w:sz w:val="21"/>
          <w:szCs w:val="21"/>
          <w:lang w:eastAsia="zh-CN"/>
        </w:rPr>
        <w:t>x</w:t>
      </w:r>
      <w:r w:rsidR="00BB3B8D">
        <w:rPr>
          <w:rFonts w:hint="eastAsia"/>
          <w:sz w:val="21"/>
          <w:szCs w:val="21"/>
          <w:lang w:eastAsia="zh-CN"/>
        </w:rPr>
        <w:t>所示。蓄冷装置的加入可以减小尖峰时刻的制冷机组负荷，并在晚间维持一个较高的负荷，使制冷机组</w:t>
      </w:r>
      <w:r w:rsidR="00755E7D">
        <w:rPr>
          <w:rFonts w:hint="eastAsia"/>
          <w:sz w:val="21"/>
          <w:szCs w:val="21"/>
          <w:lang w:eastAsia="zh-CN"/>
        </w:rPr>
        <w:t>功率输出情况更平稳。但从耗电量的角度引入蓄</w:t>
      </w:r>
      <w:proofErr w:type="gramStart"/>
      <w:r w:rsidR="00755E7D">
        <w:rPr>
          <w:rFonts w:hint="eastAsia"/>
          <w:sz w:val="21"/>
          <w:szCs w:val="21"/>
          <w:lang w:eastAsia="zh-CN"/>
        </w:rPr>
        <w:t>冷并不</w:t>
      </w:r>
      <w:proofErr w:type="gramEnd"/>
      <w:r w:rsidR="00755E7D">
        <w:rPr>
          <w:rFonts w:hint="eastAsia"/>
          <w:sz w:val="21"/>
          <w:szCs w:val="21"/>
          <w:lang w:eastAsia="zh-CN"/>
        </w:rPr>
        <w:t>会显著降低空调能耗，这是由于蓄</w:t>
      </w:r>
      <w:proofErr w:type="gramStart"/>
      <w:r w:rsidR="00755E7D">
        <w:rPr>
          <w:rFonts w:hint="eastAsia"/>
          <w:sz w:val="21"/>
          <w:szCs w:val="21"/>
          <w:lang w:eastAsia="zh-CN"/>
        </w:rPr>
        <w:t>冷过程</w:t>
      </w:r>
      <w:proofErr w:type="gramEnd"/>
      <w:r w:rsidR="00755E7D">
        <w:rPr>
          <w:rFonts w:hint="eastAsia"/>
          <w:sz w:val="21"/>
          <w:szCs w:val="21"/>
          <w:lang w:eastAsia="zh-CN"/>
        </w:rPr>
        <w:t>中需要维持较低的蒸发温度，机组的效率降低，再加之蓄</w:t>
      </w:r>
      <w:proofErr w:type="gramStart"/>
      <w:r w:rsidR="00755E7D">
        <w:rPr>
          <w:rFonts w:hint="eastAsia"/>
          <w:sz w:val="21"/>
          <w:szCs w:val="21"/>
          <w:lang w:eastAsia="zh-CN"/>
        </w:rPr>
        <w:t>冷设备</w:t>
      </w:r>
      <w:proofErr w:type="gramEnd"/>
      <w:r w:rsidR="00755E7D">
        <w:rPr>
          <w:rFonts w:hint="eastAsia"/>
          <w:sz w:val="21"/>
          <w:szCs w:val="21"/>
          <w:lang w:eastAsia="zh-CN"/>
        </w:rPr>
        <w:t>供冷时存在着较大损耗，因此无法显著降低能耗。</w:t>
      </w:r>
      <w:proofErr w:type="gramStart"/>
      <w:r w:rsidR="00755E7D">
        <w:rPr>
          <w:rFonts w:hint="eastAsia"/>
          <w:sz w:val="21"/>
          <w:szCs w:val="21"/>
          <w:lang w:eastAsia="zh-CN"/>
        </w:rPr>
        <w:t>但蓄冷</w:t>
      </w:r>
      <w:proofErr w:type="gramEnd"/>
      <w:r w:rsidR="00755E7D">
        <w:rPr>
          <w:rFonts w:hint="eastAsia"/>
          <w:sz w:val="21"/>
          <w:szCs w:val="21"/>
          <w:lang w:eastAsia="zh-CN"/>
        </w:rPr>
        <w:t>装置的加入提高了建筑的能源消纳能力，使建筑有能力将电网提供但无法及时用的可再生能源储存，以备需要时使用，从而降低碳排放量。</w:t>
      </w:r>
    </w:p>
    <w:p w:rsidR="008655C3" w:rsidRDefault="008655C3" w:rsidP="00B76E54">
      <w:pPr>
        <w:spacing w:line="240" w:lineRule="auto"/>
        <w:ind w:left="210" w:right="210"/>
        <w:rPr>
          <w:sz w:val="21"/>
          <w:szCs w:val="21"/>
          <w:lang w:eastAsia="zh-CN"/>
        </w:rPr>
      </w:pPr>
    </w:p>
    <w:p w:rsidR="008655C3" w:rsidRDefault="008655C3" w:rsidP="008655C3">
      <w:pPr>
        <w:keepNext/>
        <w:spacing w:line="240" w:lineRule="auto"/>
        <w:ind w:left="210" w:right="210"/>
      </w:pPr>
      <w:r>
        <w:rPr>
          <w:noProof/>
          <w:sz w:val="21"/>
          <w:szCs w:val="21"/>
          <w:lang w:eastAsia="zh-CN" w:bidi="ar-SA"/>
        </w:rPr>
        <w:lastRenderedPageBreak/>
        <w:drawing>
          <wp:inline distT="0" distB="0" distL="0" distR="0">
            <wp:extent cx="4855648" cy="3560770"/>
            <wp:effectExtent l="19050" t="0" r="2102" b="0"/>
            <wp:docPr id="1" name="图片 0" descr="蓄冷参与.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蓄冷参与.jpg"/>
                    <pic:cNvPicPr/>
                  </pic:nvPicPr>
                  <pic:blipFill>
                    <a:blip r:embed="rId8" cstate="print"/>
                    <a:stretch>
                      <a:fillRect/>
                    </a:stretch>
                  </pic:blipFill>
                  <pic:spPr>
                    <a:xfrm>
                      <a:off x="0" y="0"/>
                      <a:ext cx="4855367" cy="3560564"/>
                    </a:xfrm>
                    <a:prstGeom prst="rect">
                      <a:avLst/>
                    </a:prstGeom>
                  </pic:spPr>
                </pic:pic>
              </a:graphicData>
            </a:graphic>
          </wp:inline>
        </w:drawing>
      </w:r>
    </w:p>
    <w:p w:rsidR="008655C3" w:rsidRPr="008655C3" w:rsidRDefault="008655C3" w:rsidP="008655C3">
      <w:pPr>
        <w:pStyle w:val="a8"/>
        <w:jc w:val="center"/>
        <w:rPr>
          <w:rFonts w:ascii="黑体" w:eastAsia="黑体" w:hAnsi="黑体"/>
          <w:b w:val="0"/>
          <w:color w:val="auto"/>
          <w:sz w:val="21"/>
          <w:szCs w:val="21"/>
          <w:lang w:eastAsia="zh-CN"/>
        </w:rPr>
      </w:pPr>
      <w:r w:rsidRPr="008655C3">
        <w:rPr>
          <w:rFonts w:ascii="黑体" w:eastAsia="黑体" w:hAnsi="黑体" w:hint="eastAsia"/>
          <w:b w:val="0"/>
          <w:color w:val="auto"/>
          <w:lang w:eastAsia="zh-CN"/>
        </w:rPr>
        <w:t>图x 蓄</w:t>
      </w:r>
      <w:proofErr w:type="gramStart"/>
      <w:r w:rsidRPr="008655C3">
        <w:rPr>
          <w:rFonts w:ascii="黑体" w:eastAsia="黑体" w:hAnsi="黑体" w:hint="eastAsia"/>
          <w:b w:val="0"/>
          <w:color w:val="auto"/>
          <w:lang w:eastAsia="zh-CN"/>
        </w:rPr>
        <w:t>冷参与</w:t>
      </w:r>
      <w:proofErr w:type="gramEnd"/>
      <w:r w:rsidRPr="008655C3">
        <w:rPr>
          <w:rFonts w:ascii="黑体" w:eastAsia="黑体" w:hAnsi="黑体" w:hint="eastAsia"/>
          <w:b w:val="0"/>
          <w:color w:val="auto"/>
          <w:lang w:eastAsia="zh-CN"/>
        </w:rPr>
        <w:t>前后制冷机组逐时耗能情况</w:t>
      </w:r>
    </w:p>
    <w:p w:rsidR="008655C3" w:rsidRPr="00C7261A" w:rsidRDefault="008408A9" w:rsidP="00C7261A">
      <w:pPr>
        <w:spacing w:line="240" w:lineRule="auto"/>
        <w:ind w:left="210" w:right="210"/>
        <w:rPr>
          <w:sz w:val="21"/>
          <w:szCs w:val="21"/>
          <w:lang w:eastAsia="zh-CN"/>
        </w:rPr>
      </w:pPr>
      <w:r>
        <w:rPr>
          <w:rFonts w:hint="eastAsia"/>
          <w:sz w:val="21"/>
          <w:szCs w:val="21"/>
          <w:lang w:eastAsia="zh-CN"/>
        </w:rPr>
        <w:t>传统的中央空调系统多采用人工根据环境或者经验的方法手动控制机组的启停，控制精度较低，可能会造成大量的能源浪费，徒增碳排放。因此应建立实时负荷监测系统，对各区域的实际符合情况进行统计评估，如</w:t>
      </w:r>
      <w:r w:rsidR="00BB3B8D">
        <w:rPr>
          <w:rFonts w:hint="eastAsia"/>
          <w:sz w:val="21"/>
          <w:szCs w:val="21"/>
          <w:lang w:eastAsia="zh-CN"/>
        </w:rPr>
        <w:t>某区域人员较少或处于休息状态，则可调低机组输出功率或者关闭机组，以实现机组功率输出与实际负荷的精确匹配。</w:t>
      </w:r>
    </w:p>
    <w:p w:rsidR="00BB3B8D" w:rsidRDefault="00BB3B8D" w:rsidP="00B76E54">
      <w:pPr>
        <w:spacing w:line="240" w:lineRule="auto"/>
        <w:ind w:left="210" w:right="210"/>
        <w:rPr>
          <w:sz w:val="21"/>
          <w:szCs w:val="21"/>
          <w:lang w:eastAsia="zh-CN"/>
        </w:rPr>
      </w:pPr>
      <w:r>
        <w:rPr>
          <w:rFonts w:hint="eastAsia"/>
          <w:sz w:val="21"/>
          <w:szCs w:val="21"/>
          <w:lang w:eastAsia="zh-CN"/>
        </w:rPr>
        <w:t>根据模拟结果，</w:t>
      </w:r>
      <w:r w:rsidR="00464D77">
        <w:rPr>
          <w:rFonts w:hint="eastAsia"/>
          <w:sz w:val="21"/>
          <w:szCs w:val="21"/>
          <w:lang w:eastAsia="zh-CN"/>
        </w:rPr>
        <w:t>采取优化后的运行策略</w:t>
      </w:r>
      <w:r w:rsidR="00464D77">
        <w:rPr>
          <w:rFonts w:hint="eastAsia"/>
          <w:sz w:val="21"/>
          <w:szCs w:val="21"/>
          <w:lang w:eastAsia="zh-CN"/>
        </w:rPr>
        <w:t>HVAC</w:t>
      </w:r>
      <w:r w:rsidR="00464D77">
        <w:rPr>
          <w:rFonts w:hint="eastAsia"/>
          <w:sz w:val="21"/>
          <w:szCs w:val="21"/>
          <w:lang w:eastAsia="zh-CN"/>
        </w:rPr>
        <w:t>系统可降低能耗</w:t>
      </w:r>
      <w:r w:rsidR="00464D77">
        <w:rPr>
          <w:rFonts w:hint="eastAsia"/>
          <w:sz w:val="21"/>
          <w:szCs w:val="21"/>
          <w:lang w:eastAsia="zh-CN"/>
        </w:rPr>
        <w:t>7.2%</w:t>
      </w:r>
      <w:r w:rsidR="00464D77">
        <w:rPr>
          <w:rFonts w:hint="eastAsia"/>
          <w:sz w:val="21"/>
          <w:szCs w:val="21"/>
          <w:lang w:eastAsia="zh-CN"/>
        </w:rPr>
        <w:t>，等效于每年减少</w:t>
      </w:r>
      <w:r w:rsidR="00464D77">
        <w:rPr>
          <w:rFonts w:hint="eastAsia"/>
          <w:sz w:val="21"/>
          <w:szCs w:val="21"/>
          <w:lang w:eastAsia="zh-CN"/>
        </w:rPr>
        <w:t>78.6</w:t>
      </w:r>
      <w:r w:rsidR="003537BB" w:rsidRPr="003537BB">
        <w:rPr>
          <w:rFonts w:hint="eastAsia"/>
          <w:sz w:val="21"/>
          <w:szCs w:val="21"/>
          <w:lang w:eastAsia="zh-CN"/>
        </w:rPr>
        <w:t xml:space="preserve"> </w:t>
      </w:r>
      <w:r w:rsidR="003537BB">
        <w:rPr>
          <w:rFonts w:hint="eastAsia"/>
          <w:sz w:val="21"/>
          <w:szCs w:val="21"/>
          <w:lang w:eastAsia="zh-CN"/>
        </w:rPr>
        <w:t>tCO</w:t>
      </w:r>
      <w:r w:rsidR="003537BB" w:rsidRPr="0098540F">
        <w:rPr>
          <w:rFonts w:hint="eastAsia"/>
          <w:sz w:val="21"/>
          <w:szCs w:val="21"/>
          <w:vertAlign w:val="subscript"/>
          <w:lang w:eastAsia="zh-CN"/>
        </w:rPr>
        <w:t>2</w:t>
      </w:r>
      <w:r w:rsidR="00464D77">
        <w:rPr>
          <w:rFonts w:hint="eastAsia"/>
          <w:sz w:val="21"/>
          <w:szCs w:val="21"/>
          <w:lang w:eastAsia="zh-CN"/>
        </w:rPr>
        <w:t>碳排放。在</w:t>
      </w:r>
      <w:r w:rsidR="00464D77">
        <w:rPr>
          <w:rFonts w:hint="eastAsia"/>
          <w:sz w:val="21"/>
          <w:szCs w:val="21"/>
          <w:lang w:eastAsia="zh-CN"/>
        </w:rPr>
        <w:t>50</w:t>
      </w:r>
      <w:r w:rsidR="00464D77">
        <w:rPr>
          <w:rFonts w:hint="eastAsia"/>
          <w:sz w:val="21"/>
          <w:szCs w:val="21"/>
          <w:lang w:eastAsia="zh-CN"/>
        </w:rPr>
        <w:t>年的运行期限内可减少</w:t>
      </w:r>
      <w:r w:rsidR="00464D77">
        <w:rPr>
          <w:rFonts w:hint="eastAsia"/>
          <w:sz w:val="21"/>
          <w:szCs w:val="21"/>
          <w:lang w:eastAsia="zh-CN"/>
        </w:rPr>
        <w:t>3930.7</w:t>
      </w:r>
      <w:r w:rsidR="00703BD5">
        <w:rPr>
          <w:rFonts w:hint="eastAsia"/>
          <w:sz w:val="21"/>
          <w:szCs w:val="21"/>
          <w:lang w:eastAsia="zh-CN"/>
        </w:rPr>
        <w:t>tCO</w:t>
      </w:r>
      <w:r w:rsidR="00703BD5" w:rsidRPr="0098540F">
        <w:rPr>
          <w:rFonts w:hint="eastAsia"/>
          <w:sz w:val="21"/>
          <w:szCs w:val="21"/>
          <w:vertAlign w:val="subscript"/>
          <w:lang w:eastAsia="zh-CN"/>
        </w:rPr>
        <w:t>2</w:t>
      </w:r>
      <w:r w:rsidR="00464D77">
        <w:rPr>
          <w:rFonts w:hint="eastAsia"/>
          <w:sz w:val="21"/>
          <w:szCs w:val="21"/>
          <w:lang w:eastAsia="zh-CN"/>
        </w:rPr>
        <w:t>碳排放，约占运营阶段碳排放的</w:t>
      </w:r>
      <w:r w:rsidR="00464D77">
        <w:rPr>
          <w:rFonts w:hint="eastAsia"/>
          <w:sz w:val="21"/>
          <w:szCs w:val="21"/>
          <w:lang w:eastAsia="zh-CN"/>
        </w:rPr>
        <w:t>2%</w:t>
      </w:r>
      <w:r w:rsidR="00464D77">
        <w:rPr>
          <w:rFonts w:hint="eastAsia"/>
          <w:sz w:val="21"/>
          <w:szCs w:val="21"/>
          <w:lang w:eastAsia="zh-CN"/>
        </w:rPr>
        <w:t>。</w:t>
      </w:r>
    </w:p>
    <w:p w:rsidR="000B5FB2" w:rsidRPr="00776877" w:rsidRDefault="000B5FB2" w:rsidP="00776877">
      <w:pPr>
        <w:pStyle w:val="a3"/>
        <w:numPr>
          <w:ilvl w:val="0"/>
          <w:numId w:val="3"/>
        </w:numPr>
        <w:spacing w:line="240" w:lineRule="auto"/>
        <w:ind w:right="210"/>
        <w:rPr>
          <w:sz w:val="21"/>
          <w:szCs w:val="21"/>
          <w:lang w:eastAsia="zh-CN"/>
        </w:rPr>
      </w:pPr>
      <w:r w:rsidRPr="00776877">
        <w:rPr>
          <w:rFonts w:hint="eastAsia"/>
          <w:sz w:val="21"/>
          <w:szCs w:val="21"/>
          <w:lang w:eastAsia="zh-CN"/>
        </w:rPr>
        <w:t>太阳能资源利用</w:t>
      </w:r>
    </w:p>
    <w:p w:rsidR="00AB2378" w:rsidRDefault="000B5FB2" w:rsidP="00B76E54">
      <w:pPr>
        <w:spacing w:line="240" w:lineRule="auto"/>
        <w:ind w:left="210" w:right="210"/>
        <w:rPr>
          <w:sz w:val="21"/>
          <w:szCs w:val="21"/>
          <w:lang w:eastAsia="zh-CN"/>
        </w:rPr>
      </w:pPr>
      <w:r>
        <w:rPr>
          <w:rFonts w:hint="eastAsia"/>
          <w:sz w:val="21"/>
          <w:szCs w:val="21"/>
          <w:lang w:eastAsia="zh-CN"/>
        </w:rPr>
        <w:t>在目前</w:t>
      </w:r>
      <w:r>
        <w:rPr>
          <w:sz w:val="21"/>
          <w:szCs w:val="21"/>
          <w:lang w:eastAsia="zh-CN"/>
        </w:rPr>
        <w:t>大规模应用的可再生能源中</w:t>
      </w:r>
      <w:r>
        <w:rPr>
          <w:rFonts w:hint="eastAsia"/>
          <w:sz w:val="21"/>
          <w:szCs w:val="21"/>
          <w:lang w:eastAsia="zh-CN"/>
        </w:rPr>
        <w:t>，</w:t>
      </w:r>
      <w:r>
        <w:rPr>
          <w:sz w:val="21"/>
          <w:szCs w:val="21"/>
          <w:lang w:eastAsia="zh-CN"/>
        </w:rPr>
        <w:t>太阳能资源因其清洁</w:t>
      </w:r>
      <w:r>
        <w:rPr>
          <w:rFonts w:hint="eastAsia"/>
          <w:sz w:val="21"/>
          <w:szCs w:val="21"/>
          <w:lang w:eastAsia="zh-CN"/>
        </w:rPr>
        <w:t>、</w:t>
      </w:r>
      <w:r>
        <w:rPr>
          <w:sz w:val="21"/>
          <w:szCs w:val="21"/>
          <w:lang w:eastAsia="zh-CN"/>
        </w:rPr>
        <w:t>高效</w:t>
      </w:r>
      <w:r>
        <w:rPr>
          <w:rFonts w:hint="eastAsia"/>
          <w:sz w:val="21"/>
          <w:szCs w:val="21"/>
          <w:lang w:eastAsia="zh-CN"/>
        </w:rPr>
        <w:t>、</w:t>
      </w:r>
      <w:r>
        <w:rPr>
          <w:sz w:val="21"/>
          <w:szCs w:val="21"/>
          <w:lang w:eastAsia="zh-CN"/>
        </w:rPr>
        <w:t>安全性好的特点受到研究人员的广泛关注</w:t>
      </w:r>
      <w:r>
        <w:rPr>
          <w:rFonts w:hint="eastAsia"/>
          <w:sz w:val="21"/>
          <w:szCs w:val="21"/>
          <w:lang w:eastAsia="zh-CN"/>
        </w:rPr>
        <w:t>，</w:t>
      </w:r>
      <w:r>
        <w:rPr>
          <w:sz w:val="21"/>
          <w:szCs w:val="21"/>
          <w:lang w:eastAsia="zh-CN"/>
        </w:rPr>
        <w:t>并且太阳能因其易于获取与易于布置的特点也成为了</w:t>
      </w:r>
      <w:r w:rsidR="007F098A">
        <w:rPr>
          <w:sz w:val="21"/>
          <w:szCs w:val="21"/>
          <w:lang w:eastAsia="zh-CN"/>
        </w:rPr>
        <w:t>最适合</w:t>
      </w:r>
      <w:r w:rsidR="006107C5">
        <w:rPr>
          <w:rFonts w:hint="eastAsia"/>
          <w:sz w:val="21"/>
          <w:szCs w:val="21"/>
          <w:lang w:eastAsia="zh-CN"/>
        </w:rPr>
        <w:t>与</w:t>
      </w:r>
      <w:r w:rsidR="007F098A">
        <w:rPr>
          <w:sz w:val="21"/>
          <w:szCs w:val="21"/>
          <w:lang w:eastAsia="zh-CN"/>
        </w:rPr>
        <w:t>建筑结合的可再生能源利用形式</w:t>
      </w:r>
      <w:r w:rsidR="007F098A">
        <w:rPr>
          <w:rFonts w:hint="eastAsia"/>
          <w:sz w:val="21"/>
          <w:szCs w:val="21"/>
          <w:lang w:eastAsia="zh-CN"/>
        </w:rPr>
        <w:t>。</w:t>
      </w:r>
      <w:r w:rsidR="007F098A">
        <w:rPr>
          <w:sz w:val="21"/>
          <w:szCs w:val="21"/>
          <w:lang w:eastAsia="zh-CN"/>
        </w:rPr>
        <w:t>目前太阳能在建筑中较为成熟的应用形式有太阳能光伏</w:t>
      </w:r>
      <w:r w:rsidR="007F098A">
        <w:rPr>
          <w:rFonts w:hint="eastAsia"/>
          <w:sz w:val="21"/>
          <w:szCs w:val="21"/>
          <w:lang w:eastAsia="zh-CN"/>
        </w:rPr>
        <w:t>、</w:t>
      </w:r>
      <w:r w:rsidR="007F098A">
        <w:rPr>
          <w:sz w:val="21"/>
          <w:szCs w:val="21"/>
          <w:lang w:eastAsia="zh-CN"/>
        </w:rPr>
        <w:t>太阳能光热以及光伏光热一体化</w:t>
      </w:r>
      <w:r w:rsidR="007F098A">
        <w:rPr>
          <w:rFonts w:hint="eastAsia"/>
          <w:sz w:val="21"/>
          <w:szCs w:val="21"/>
          <w:lang w:eastAsia="zh-CN"/>
        </w:rPr>
        <w:t>三种。</w:t>
      </w:r>
      <w:r w:rsidR="006144ED">
        <w:rPr>
          <w:rFonts w:hint="eastAsia"/>
          <w:sz w:val="21"/>
          <w:szCs w:val="21"/>
          <w:lang w:eastAsia="zh-CN"/>
        </w:rPr>
        <w:t>太阳能光伏利用特定半导体材料的</w:t>
      </w:r>
      <w:proofErr w:type="gramStart"/>
      <w:r w:rsidR="006144ED">
        <w:rPr>
          <w:rFonts w:hint="eastAsia"/>
          <w:sz w:val="21"/>
          <w:szCs w:val="21"/>
          <w:lang w:eastAsia="zh-CN"/>
        </w:rPr>
        <w:t>的</w:t>
      </w:r>
      <w:proofErr w:type="gramEnd"/>
      <w:r w:rsidR="006144ED">
        <w:rPr>
          <w:rFonts w:hint="eastAsia"/>
          <w:sz w:val="21"/>
          <w:szCs w:val="21"/>
          <w:lang w:eastAsia="zh-CN"/>
        </w:rPr>
        <w:t>光生伏打效应将外界太阳能吸收后转化并处理后得到可利用的电能；太阳能光热则利用</w:t>
      </w:r>
      <w:proofErr w:type="gramStart"/>
      <w:r w:rsidR="006144ED">
        <w:rPr>
          <w:rFonts w:hint="eastAsia"/>
          <w:sz w:val="21"/>
          <w:szCs w:val="21"/>
          <w:lang w:eastAsia="zh-CN"/>
        </w:rPr>
        <w:t>集热器收集</w:t>
      </w:r>
      <w:proofErr w:type="gramEnd"/>
      <w:r w:rsidR="006144ED">
        <w:rPr>
          <w:rFonts w:hint="eastAsia"/>
          <w:sz w:val="21"/>
          <w:szCs w:val="21"/>
          <w:lang w:eastAsia="zh-CN"/>
        </w:rPr>
        <w:t>热能用于加热空气或水等介质，满足建筑的采暖、热水等需求；而光伏光热一体化则是将上述两种技术合二为一，在光</w:t>
      </w:r>
      <w:proofErr w:type="gramStart"/>
      <w:r w:rsidR="006144ED">
        <w:rPr>
          <w:rFonts w:hint="eastAsia"/>
          <w:sz w:val="21"/>
          <w:szCs w:val="21"/>
          <w:lang w:eastAsia="zh-CN"/>
        </w:rPr>
        <w:t>伏产生</w:t>
      </w:r>
      <w:proofErr w:type="gramEnd"/>
      <w:r w:rsidR="006144ED">
        <w:rPr>
          <w:rFonts w:hint="eastAsia"/>
          <w:sz w:val="21"/>
          <w:szCs w:val="21"/>
          <w:lang w:eastAsia="zh-CN"/>
        </w:rPr>
        <w:t>电能的同时利用集热组件吸收光伏板上的热量以供建筑使用。</w:t>
      </w:r>
      <w:r w:rsidR="00D762AC">
        <w:rPr>
          <w:rFonts w:hint="eastAsia"/>
          <w:sz w:val="21"/>
          <w:szCs w:val="21"/>
          <w:lang w:eastAsia="zh-CN"/>
        </w:rPr>
        <w:t>前述部分已经对光</w:t>
      </w:r>
      <w:proofErr w:type="gramStart"/>
      <w:r w:rsidR="00D762AC">
        <w:rPr>
          <w:rFonts w:hint="eastAsia"/>
          <w:sz w:val="21"/>
          <w:szCs w:val="21"/>
          <w:lang w:eastAsia="zh-CN"/>
        </w:rPr>
        <w:t>伏</w:t>
      </w:r>
      <w:proofErr w:type="gramEnd"/>
      <w:r w:rsidR="00D762AC">
        <w:rPr>
          <w:rFonts w:hint="eastAsia"/>
          <w:sz w:val="21"/>
          <w:szCs w:val="21"/>
          <w:lang w:eastAsia="zh-CN"/>
        </w:rPr>
        <w:t>以及光热系统的节能</w:t>
      </w:r>
      <w:proofErr w:type="gramStart"/>
      <w:r w:rsidR="00D762AC">
        <w:rPr>
          <w:rFonts w:hint="eastAsia"/>
          <w:sz w:val="21"/>
          <w:szCs w:val="21"/>
          <w:lang w:eastAsia="zh-CN"/>
        </w:rPr>
        <w:t>减碳潜力</w:t>
      </w:r>
      <w:proofErr w:type="gramEnd"/>
      <w:r w:rsidR="00D762AC">
        <w:rPr>
          <w:rFonts w:hint="eastAsia"/>
          <w:sz w:val="21"/>
          <w:szCs w:val="21"/>
          <w:lang w:eastAsia="zh-CN"/>
        </w:rPr>
        <w:t>进行探究，可以发现单位面积的单位面积光</w:t>
      </w:r>
      <w:proofErr w:type="gramStart"/>
      <w:r w:rsidR="00D762AC">
        <w:rPr>
          <w:rFonts w:hint="eastAsia"/>
          <w:sz w:val="21"/>
          <w:szCs w:val="21"/>
          <w:lang w:eastAsia="zh-CN"/>
        </w:rPr>
        <w:t>伏板减碳效果</w:t>
      </w:r>
      <w:proofErr w:type="gramEnd"/>
      <w:r w:rsidR="00D762AC">
        <w:rPr>
          <w:rFonts w:hint="eastAsia"/>
          <w:sz w:val="21"/>
          <w:szCs w:val="21"/>
          <w:lang w:eastAsia="zh-CN"/>
        </w:rPr>
        <w:t>要优于单位面积的太阳能集热器。但对于市政综合体，可供布置太阳能设备的空间有限而光伏与光热设备的布置互相冲突，因此从</w:t>
      </w:r>
      <w:proofErr w:type="gramStart"/>
      <w:r w:rsidR="00D762AC">
        <w:rPr>
          <w:rFonts w:hint="eastAsia"/>
          <w:sz w:val="21"/>
          <w:szCs w:val="21"/>
          <w:lang w:eastAsia="zh-CN"/>
        </w:rPr>
        <w:t>减碳效果</w:t>
      </w:r>
      <w:proofErr w:type="gramEnd"/>
      <w:r w:rsidR="00D762AC">
        <w:rPr>
          <w:rFonts w:hint="eastAsia"/>
          <w:sz w:val="21"/>
          <w:szCs w:val="21"/>
          <w:lang w:eastAsia="zh-CN"/>
        </w:rPr>
        <w:t>的角度考虑应该尽可能多的布置太阳能光伏设备。</w:t>
      </w:r>
      <w:r w:rsidR="006107C5">
        <w:rPr>
          <w:rFonts w:hint="eastAsia"/>
          <w:sz w:val="21"/>
          <w:szCs w:val="21"/>
          <w:lang w:eastAsia="zh-CN"/>
        </w:rPr>
        <w:t>光伏光热技术则解决了光热与光伏布置相冲突的问题，因此在设计时可以优先考虑布置光伏光热一体化设备。</w:t>
      </w:r>
    </w:p>
    <w:p w:rsidR="006107C5" w:rsidRDefault="006107C5" w:rsidP="00B76E54">
      <w:pPr>
        <w:spacing w:line="240" w:lineRule="auto"/>
        <w:ind w:left="210" w:right="210"/>
        <w:rPr>
          <w:sz w:val="21"/>
          <w:szCs w:val="21"/>
          <w:lang w:eastAsia="zh-CN"/>
        </w:rPr>
      </w:pPr>
      <w:r>
        <w:rPr>
          <w:rFonts w:hint="eastAsia"/>
          <w:sz w:val="21"/>
          <w:szCs w:val="21"/>
          <w:lang w:eastAsia="zh-CN"/>
        </w:rPr>
        <w:lastRenderedPageBreak/>
        <w:t>在太阳能利用效率方面，</w:t>
      </w:r>
      <w:r w:rsidR="00DF5CB6">
        <w:rPr>
          <w:rFonts w:hint="eastAsia"/>
          <w:sz w:val="21"/>
          <w:szCs w:val="21"/>
          <w:lang w:eastAsia="zh-CN"/>
        </w:rPr>
        <w:t>由于光伏光热系统</w:t>
      </w:r>
      <w:proofErr w:type="gramStart"/>
      <w:r w:rsidR="00DF5CB6">
        <w:rPr>
          <w:rFonts w:hint="eastAsia"/>
          <w:sz w:val="21"/>
          <w:szCs w:val="21"/>
          <w:lang w:eastAsia="zh-CN"/>
        </w:rPr>
        <w:t>集热器以光伏板为</w:t>
      </w:r>
      <w:proofErr w:type="gramEnd"/>
      <w:r w:rsidR="00DF5CB6">
        <w:rPr>
          <w:rFonts w:hint="eastAsia"/>
          <w:sz w:val="21"/>
          <w:szCs w:val="21"/>
          <w:lang w:eastAsia="zh-CN"/>
        </w:rPr>
        <w:t>主要热源，因此可以实现</w:t>
      </w:r>
      <w:proofErr w:type="gramStart"/>
      <w:r w:rsidR="00DF5CB6">
        <w:rPr>
          <w:rFonts w:hint="eastAsia"/>
          <w:sz w:val="21"/>
          <w:szCs w:val="21"/>
          <w:lang w:eastAsia="zh-CN"/>
        </w:rPr>
        <w:t>对光伏板降温</w:t>
      </w:r>
      <w:proofErr w:type="gramEnd"/>
      <w:r w:rsidR="00DF5CB6">
        <w:rPr>
          <w:rFonts w:hint="eastAsia"/>
          <w:sz w:val="21"/>
          <w:szCs w:val="21"/>
          <w:lang w:eastAsia="zh-CN"/>
        </w:rPr>
        <w:t>的效果，根据国外学者研究，</w:t>
      </w:r>
      <w:r w:rsidR="00DF5CB6">
        <w:rPr>
          <w:rFonts w:hint="eastAsia"/>
          <w:sz w:val="21"/>
          <w:szCs w:val="21"/>
          <w:lang w:eastAsia="zh-CN"/>
        </w:rPr>
        <w:t>PVT</w:t>
      </w:r>
      <w:r w:rsidR="00DF5CB6">
        <w:rPr>
          <w:rFonts w:hint="eastAsia"/>
          <w:sz w:val="21"/>
          <w:szCs w:val="21"/>
          <w:lang w:eastAsia="zh-CN"/>
        </w:rPr>
        <w:t>系统的光电转换效率较传统太阳能电池板可提高</w:t>
      </w:r>
      <w:r w:rsidR="00DF5CB6">
        <w:rPr>
          <w:rFonts w:hint="eastAsia"/>
          <w:sz w:val="21"/>
          <w:szCs w:val="21"/>
          <w:lang w:eastAsia="zh-CN"/>
        </w:rPr>
        <w:t>1.5%[6]</w:t>
      </w:r>
      <w:r w:rsidR="00DF5CB6">
        <w:rPr>
          <w:rFonts w:hint="eastAsia"/>
          <w:sz w:val="21"/>
          <w:szCs w:val="21"/>
          <w:lang w:eastAsia="zh-CN"/>
        </w:rPr>
        <w:t>，但与此同时由于大部分太阳光被太阳能电池板遮挡或吸收，</w:t>
      </w:r>
      <w:proofErr w:type="gramStart"/>
      <w:r w:rsidR="00DF5CB6">
        <w:rPr>
          <w:rFonts w:hint="eastAsia"/>
          <w:sz w:val="21"/>
          <w:szCs w:val="21"/>
          <w:lang w:eastAsia="zh-CN"/>
        </w:rPr>
        <w:t>集热器的</w:t>
      </w:r>
      <w:proofErr w:type="gramEnd"/>
      <w:r w:rsidR="00DF5CB6">
        <w:rPr>
          <w:rFonts w:hint="eastAsia"/>
          <w:sz w:val="21"/>
          <w:szCs w:val="21"/>
          <w:lang w:eastAsia="zh-CN"/>
        </w:rPr>
        <w:t>热效率不及传统的太阳能集热器，仅为</w:t>
      </w:r>
      <w:r w:rsidR="00DF5CB6">
        <w:rPr>
          <w:rFonts w:hint="eastAsia"/>
          <w:sz w:val="21"/>
          <w:szCs w:val="21"/>
          <w:lang w:eastAsia="zh-CN"/>
        </w:rPr>
        <w:t>25%</w:t>
      </w:r>
      <w:r w:rsidR="00DF5CB6">
        <w:rPr>
          <w:rFonts w:hint="eastAsia"/>
          <w:sz w:val="21"/>
          <w:szCs w:val="21"/>
          <w:lang w:eastAsia="zh-CN"/>
        </w:rPr>
        <w:t>左右</w:t>
      </w:r>
      <w:r w:rsidR="00DF5CB6">
        <w:rPr>
          <w:rFonts w:hint="eastAsia"/>
          <w:sz w:val="21"/>
          <w:szCs w:val="21"/>
          <w:lang w:eastAsia="zh-CN"/>
        </w:rPr>
        <w:t>[7]</w:t>
      </w:r>
      <w:r w:rsidR="00DF5CB6">
        <w:rPr>
          <w:rFonts w:hint="eastAsia"/>
          <w:sz w:val="21"/>
          <w:szCs w:val="21"/>
          <w:lang w:eastAsia="zh-CN"/>
        </w:rPr>
        <w:t>。</w:t>
      </w:r>
    </w:p>
    <w:p w:rsidR="00872B5B" w:rsidRDefault="00EF60CE" w:rsidP="00B76E54">
      <w:pPr>
        <w:spacing w:line="240" w:lineRule="auto"/>
        <w:ind w:left="210" w:right="210"/>
        <w:rPr>
          <w:sz w:val="21"/>
          <w:szCs w:val="21"/>
          <w:lang w:eastAsia="zh-CN"/>
        </w:rPr>
      </w:pPr>
      <w:r>
        <w:rPr>
          <w:sz w:val="21"/>
          <w:szCs w:val="21"/>
          <w:lang w:eastAsia="zh-CN"/>
        </w:rPr>
        <w:t>可安装面积对太阳能设备的应用起到了决定性作用</w:t>
      </w:r>
      <w:r>
        <w:rPr>
          <w:rFonts w:hint="eastAsia"/>
          <w:sz w:val="21"/>
          <w:szCs w:val="21"/>
          <w:lang w:eastAsia="zh-CN"/>
        </w:rPr>
        <w:t>，屋顶</w:t>
      </w:r>
      <w:r>
        <w:rPr>
          <w:sz w:val="21"/>
          <w:szCs w:val="21"/>
          <w:lang w:eastAsia="zh-CN"/>
        </w:rPr>
        <w:t>作为最常见的布置区域随着建筑技术的发展越来越多地承担起其他功能</w:t>
      </w:r>
      <w:r>
        <w:rPr>
          <w:rFonts w:hint="eastAsia"/>
          <w:sz w:val="21"/>
          <w:szCs w:val="21"/>
          <w:lang w:eastAsia="zh-CN"/>
        </w:rPr>
        <w:t>，</w:t>
      </w:r>
      <w:r>
        <w:rPr>
          <w:sz w:val="21"/>
          <w:szCs w:val="21"/>
          <w:lang w:eastAsia="zh-CN"/>
        </w:rPr>
        <w:t>如消防</w:t>
      </w:r>
      <w:r>
        <w:rPr>
          <w:rFonts w:hint="eastAsia"/>
          <w:sz w:val="21"/>
          <w:szCs w:val="21"/>
          <w:lang w:eastAsia="zh-CN"/>
        </w:rPr>
        <w:t>、</w:t>
      </w:r>
      <w:r>
        <w:rPr>
          <w:sz w:val="21"/>
          <w:szCs w:val="21"/>
          <w:lang w:eastAsia="zh-CN"/>
        </w:rPr>
        <w:t>空调设备的安装</w:t>
      </w:r>
      <w:r>
        <w:rPr>
          <w:rFonts w:hint="eastAsia"/>
          <w:sz w:val="21"/>
          <w:szCs w:val="21"/>
          <w:lang w:eastAsia="zh-CN"/>
        </w:rPr>
        <w:t>，承担建筑绿化，开发商业等。因此，可供安装太阳能设备的面积就变得相当有限。根据</w:t>
      </w:r>
      <w:r w:rsidRPr="00EF60CE">
        <w:rPr>
          <w:sz w:val="21"/>
          <w:szCs w:val="21"/>
          <w:lang w:eastAsia="zh-CN"/>
        </w:rPr>
        <w:t>《建筑领域碳达峰碳中和实施路径研究》</w:t>
      </w:r>
      <w:r w:rsidRPr="00EF60CE">
        <w:rPr>
          <w:rFonts w:hint="eastAsia"/>
          <w:sz w:val="21"/>
          <w:szCs w:val="21"/>
          <w:lang w:eastAsia="zh-CN"/>
        </w:rPr>
        <w:t>，</w:t>
      </w:r>
      <w:r w:rsidRPr="00EF60CE">
        <w:rPr>
          <w:sz w:val="21"/>
          <w:szCs w:val="21"/>
          <w:lang w:eastAsia="zh-CN"/>
        </w:rPr>
        <w:t>建筑可利用屋顶面积</w:t>
      </w:r>
      <w:r w:rsidRPr="00EF60CE">
        <w:rPr>
          <w:rFonts w:hint="eastAsia"/>
          <w:sz w:val="21"/>
          <w:szCs w:val="21"/>
          <w:lang w:eastAsia="zh-CN"/>
        </w:rPr>
        <w:t>按照</w:t>
      </w:r>
      <w:r w:rsidRPr="00EF60CE">
        <w:rPr>
          <w:sz w:val="21"/>
          <w:szCs w:val="21"/>
          <w:lang w:eastAsia="zh-CN"/>
        </w:rPr>
        <w:t>建筑</w:t>
      </w:r>
      <w:r w:rsidRPr="00EF60CE">
        <w:rPr>
          <w:rFonts w:hint="eastAsia"/>
          <w:sz w:val="21"/>
          <w:szCs w:val="21"/>
          <w:lang w:eastAsia="zh-CN"/>
        </w:rPr>
        <w:t>(</w:t>
      </w:r>
      <w:r w:rsidRPr="00EF60CE">
        <w:rPr>
          <w:rFonts w:hint="eastAsia"/>
          <w:sz w:val="21"/>
          <w:szCs w:val="21"/>
          <w:lang w:eastAsia="zh-CN"/>
        </w:rPr>
        <w:t>屋顶面积</w:t>
      </w:r>
      <w:r w:rsidRPr="00EF60CE">
        <w:rPr>
          <w:sz w:val="21"/>
          <w:szCs w:val="21"/>
          <w:lang w:eastAsia="zh-CN"/>
        </w:rPr>
        <w:t>)</w:t>
      </w:r>
      <w:r w:rsidRPr="00EF60CE">
        <w:rPr>
          <w:rFonts w:hint="eastAsia"/>
          <w:sz w:val="21"/>
          <w:szCs w:val="21"/>
          <w:lang w:eastAsia="zh-CN"/>
        </w:rPr>
        <w:t>占地</w:t>
      </w:r>
      <w:r w:rsidRPr="00EF60CE">
        <w:rPr>
          <w:sz w:val="21"/>
          <w:szCs w:val="21"/>
          <w:lang w:eastAsia="zh-CN"/>
        </w:rPr>
        <w:t>面积的</w:t>
      </w:r>
      <w:r w:rsidRPr="00EF60CE">
        <w:rPr>
          <w:sz w:val="21"/>
          <w:szCs w:val="21"/>
          <w:lang w:eastAsia="zh-CN"/>
        </w:rPr>
        <w:t>20%</w:t>
      </w:r>
      <w:r w:rsidRPr="00EF60CE">
        <w:rPr>
          <w:rFonts w:hint="eastAsia"/>
          <w:sz w:val="21"/>
          <w:szCs w:val="21"/>
          <w:lang w:eastAsia="zh-CN"/>
        </w:rPr>
        <w:t>进行保守估计，并参考</w:t>
      </w:r>
      <w:r w:rsidRPr="00EF60CE">
        <w:rPr>
          <w:sz w:val="21"/>
          <w:szCs w:val="21"/>
          <w:lang w:eastAsia="zh-CN"/>
        </w:rPr>
        <w:t>中共中央国务院发布的《</w:t>
      </w:r>
      <w:r w:rsidRPr="00EF60CE">
        <w:rPr>
          <w:sz w:val="21"/>
          <w:szCs w:val="21"/>
          <w:lang w:eastAsia="zh-CN"/>
        </w:rPr>
        <w:t>2030</w:t>
      </w:r>
      <w:r w:rsidRPr="00EF60CE">
        <w:rPr>
          <w:sz w:val="21"/>
          <w:szCs w:val="21"/>
          <w:lang w:eastAsia="zh-CN"/>
        </w:rPr>
        <w:t>年前碳达峰行动方案》</w:t>
      </w:r>
      <w:r w:rsidRPr="00EF60CE">
        <w:rPr>
          <w:rFonts w:hint="eastAsia"/>
          <w:sz w:val="21"/>
          <w:szCs w:val="21"/>
          <w:lang w:eastAsia="zh-CN"/>
        </w:rPr>
        <w:t>，设置</w:t>
      </w:r>
      <w:r w:rsidRPr="00EF60CE">
        <w:rPr>
          <w:rFonts w:hint="eastAsia"/>
          <w:sz w:val="21"/>
          <w:szCs w:val="21"/>
          <w:lang w:eastAsia="zh-CN"/>
        </w:rPr>
        <w:t>5</w:t>
      </w:r>
      <w:r w:rsidRPr="00EF60CE">
        <w:rPr>
          <w:sz w:val="21"/>
          <w:szCs w:val="21"/>
          <w:lang w:eastAsia="zh-CN"/>
        </w:rPr>
        <w:t>0%</w:t>
      </w:r>
      <w:r w:rsidRPr="00EF60CE">
        <w:rPr>
          <w:rFonts w:hint="eastAsia"/>
          <w:sz w:val="21"/>
          <w:szCs w:val="21"/>
          <w:lang w:eastAsia="zh-CN"/>
        </w:rPr>
        <w:t>作为超前目标</w:t>
      </w:r>
      <w:r>
        <w:rPr>
          <w:rFonts w:hint="eastAsia"/>
          <w:sz w:val="21"/>
          <w:szCs w:val="21"/>
          <w:lang w:eastAsia="zh-CN"/>
        </w:rPr>
        <w:t>。对于市政综合体，其建筑屋顶均为平屋顶，除</w:t>
      </w:r>
      <w:r w:rsidR="004806D3">
        <w:rPr>
          <w:rFonts w:hint="eastAsia"/>
          <w:sz w:val="21"/>
          <w:szCs w:val="21"/>
          <w:lang w:eastAsia="zh-CN"/>
        </w:rPr>
        <w:t>公交场站所述楼栋屋顶作为空调室外设备布置区域外，其余屋顶区域均可作为太阳能设备布置面积，但考虑到建筑绿化以及低碳教育功能，需要预留出空间，因此按照理论可布置面积的</w:t>
      </w:r>
      <w:r w:rsidR="004806D3">
        <w:rPr>
          <w:rFonts w:hint="eastAsia"/>
          <w:sz w:val="21"/>
          <w:szCs w:val="21"/>
          <w:lang w:eastAsia="zh-CN"/>
        </w:rPr>
        <w:t>50%</w:t>
      </w:r>
      <w:r w:rsidR="004806D3">
        <w:rPr>
          <w:rFonts w:hint="eastAsia"/>
          <w:sz w:val="21"/>
          <w:szCs w:val="21"/>
          <w:lang w:eastAsia="zh-CN"/>
        </w:rPr>
        <w:t>进行计算。</w:t>
      </w:r>
      <w:r w:rsidR="001F0893">
        <w:rPr>
          <w:rFonts w:hint="eastAsia"/>
          <w:sz w:val="21"/>
          <w:szCs w:val="21"/>
          <w:lang w:eastAsia="zh-CN"/>
        </w:rPr>
        <w:t>根据汇总，市政综合体屋顶部分可供布置太阳能设备的面积为</w:t>
      </w:r>
      <w:r w:rsidR="001F0893">
        <w:rPr>
          <w:rFonts w:hint="eastAsia"/>
          <w:sz w:val="21"/>
          <w:szCs w:val="21"/>
          <w:lang w:eastAsia="zh-CN"/>
        </w:rPr>
        <w:t>4746.11m</w:t>
      </w:r>
      <w:r w:rsidR="001F0893" w:rsidRPr="001F0893">
        <w:rPr>
          <w:rFonts w:hint="eastAsia"/>
          <w:sz w:val="21"/>
          <w:szCs w:val="21"/>
          <w:vertAlign w:val="superscript"/>
          <w:lang w:eastAsia="zh-CN"/>
        </w:rPr>
        <w:t>2</w:t>
      </w:r>
      <w:r w:rsidR="001F0893">
        <w:rPr>
          <w:rFonts w:hint="eastAsia"/>
          <w:sz w:val="21"/>
          <w:szCs w:val="21"/>
          <w:lang w:eastAsia="zh-CN"/>
        </w:rPr>
        <w:t>，布置倾角取</w:t>
      </w:r>
      <w:r w:rsidR="001F0893">
        <w:rPr>
          <w:rFonts w:hint="eastAsia"/>
          <w:sz w:val="21"/>
          <w:szCs w:val="21"/>
          <w:lang w:eastAsia="zh-CN"/>
        </w:rPr>
        <w:t>32</w:t>
      </w:r>
      <w:r w:rsidR="001F0893">
        <w:rPr>
          <w:rFonts w:hint="eastAsia"/>
          <w:sz w:val="21"/>
          <w:szCs w:val="21"/>
          <w:lang w:eastAsia="zh-CN"/>
        </w:rPr>
        <w:t>°。</w:t>
      </w:r>
      <w:r w:rsidR="00D82FEE">
        <w:rPr>
          <w:rFonts w:hint="eastAsia"/>
          <w:sz w:val="21"/>
          <w:szCs w:val="21"/>
          <w:lang w:eastAsia="zh-CN"/>
        </w:rPr>
        <w:t>模拟计算时采用的太阳能设备参数如表</w:t>
      </w:r>
      <w:r w:rsidR="00D82FEE">
        <w:rPr>
          <w:rFonts w:hint="eastAsia"/>
          <w:sz w:val="21"/>
          <w:szCs w:val="21"/>
          <w:lang w:eastAsia="zh-CN"/>
        </w:rPr>
        <w:t>x</w:t>
      </w:r>
      <w:r w:rsidR="00D82FEE">
        <w:rPr>
          <w:rFonts w:hint="eastAsia"/>
          <w:sz w:val="21"/>
          <w:szCs w:val="21"/>
          <w:lang w:eastAsia="zh-CN"/>
        </w:rPr>
        <w:t>所示。</w:t>
      </w:r>
    </w:p>
    <w:p w:rsidR="00776877" w:rsidRDefault="00776877" w:rsidP="00776877">
      <w:pPr>
        <w:spacing w:line="240" w:lineRule="auto"/>
        <w:ind w:left="210" w:right="210"/>
        <w:jc w:val="center"/>
        <w:rPr>
          <w:sz w:val="21"/>
          <w:szCs w:val="21"/>
          <w:lang w:eastAsia="zh-CN"/>
        </w:rPr>
      </w:pPr>
      <w:r>
        <w:rPr>
          <w:rFonts w:hint="eastAsia"/>
          <w:sz w:val="21"/>
          <w:szCs w:val="21"/>
          <w:lang w:eastAsia="zh-CN"/>
        </w:rPr>
        <w:t>表</w:t>
      </w:r>
      <w:r>
        <w:rPr>
          <w:rFonts w:hint="eastAsia"/>
          <w:sz w:val="21"/>
          <w:szCs w:val="21"/>
          <w:lang w:eastAsia="zh-CN"/>
        </w:rPr>
        <w:t xml:space="preserve">x </w:t>
      </w:r>
      <w:r>
        <w:rPr>
          <w:rFonts w:hint="eastAsia"/>
          <w:sz w:val="21"/>
          <w:szCs w:val="21"/>
          <w:lang w:eastAsia="zh-CN"/>
        </w:rPr>
        <w:t>太阳能设备参数</w:t>
      </w:r>
    </w:p>
    <w:tbl>
      <w:tblPr>
        <w:tblStyle w:val="a6"/>
        <w:tblW w:w="832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154"/>
        <w:gridCol w:w="2057"/>
        <w:gridCol w:w="2057"/>
        <w:gridCol w:w="2057"/>
      </w:tblGrid>
      <w:tr w:rsidR="00776877" w:rsidRPr="00776877" w:rsidTr="00776877">
        <w:trPr>
          <w:trHeight w:val="584"/>
        </w:trPr>
        <w:tc>
          <w:tcPr>
            <w:tcW w:w="2154" w:type="dxa"/>
            <w:tcBorders>
              <w:top w:val="single" w:sz="12" w:space="0" w:color="auto"/>
              <w:bottom w:val="single" w:sz="4" w:space="0" w:color="auto"/>
            </w:tcBorders>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参数</w:t>
            </w:r>
          </w:p>
        </w:tc>
        <w:tc>
          <w:tcPr>
            <w:tcW w:w="2057" w:type="dxa"/>
            <w:tcBorders>
              <w:top w:val="single" w:sz="12" w:space="0" w:color="auto"/>
              <w:bottom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heme="minorEastAsia" w:cs="Times New Roman"/>
                <w:color w:val="000000"/>
                <w:kern w:val="24"/>
                <w:sz w:val="21"/>
                <w:szCs w:val="21"/>
                <w:lang w:eastAsia="zh-CN" w:bidi="ar-SA"/>
              </w:rPr>
              <w:t>太阳能光伏</w:t>
            </w:r>
          </w:p>
        </w:tc>
        <w:tc>
          <w:tcPr>
            <w:tcW w:w="2057" w:type="dxa"/>
            <w:tcBorders>
              <w:top w:val="single" w:sz="12" w:space="0" w:color="auto"/>
              <w:bottom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heme="minorEastAsia" w:cs="Times New Roman"/>
                <w:color w:val="000000"/>
                <w:kern w:val="24"/>
                <w:sz w:val="21"/>
                <w:szCs w:val="21"/>
                <w:lang w:eastAsia="zh-CN" w:bidi="ar-SA"/>
              </w:rPr>
              <w:t>太阳能光热</w:t>
            </w:r>
          </w:p>
        </w:tc>
        <w:tc>
          <w:tcPr>
            <w:tcW w:w="2057" w:type="dxa"/>
            <w:tcBorders>
              <w:top w:val="single" w:sz="12" w:space="0" w:color="auto"/>
              <w:bottom w:val="single" w:sz="4" w:space="0" w:color="auto"/>
            </w:tcBorders>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光伏光热一体化</w:t>
            </w:r>
          </w:p>
        </w:tc>
      </w:tr>
      <w:tr w:rsidR="00776877" w:rsidRPr="00776877" w:rsidTr="00776877">
        <w:trPr>
          <w:trHeight w:val="584"/>
        </w:trPr>
        <w:tc>
          <w:tcPr>
            <w:tcW w:w="2154" w:type="dxa"/>
            <w:tcBorders>
              <w:top w:val="single" w:sz="4" w:space="0" w:color="auto"/>
            </w:tcBorders>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光电转化效率</w:t>
            </w:r>
          </w:p>
        </w:tc>
        <w:tc>
          <w:tcPr>
            <w:tcW w:w="2057" w:type="dxa"/>
            <w:tcBorders>
              <w:top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18%</w:t>
            </w:r>
          </w:p>
        </w:tc>
        <w:tc>
          <w:tcPr>
            <w:tcW w:w="2057" w:type="dxa"/>
            <w:tcBorders>
              <w:top w:val="single" w:sz="4" w:space="0" w:color="auto"/>
            </w:tcBorders>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w:t>
            </w:r>
          </w:p>
        </w:tc>
        <w:tc>
          <w:tcPr>
            <w:tcW w:w="2057" w:type="dxa"/>
            <w:tcBorders>
              <w:top w:val="single" w:sz="4" w:space="0" w:color="auto"/>
            </w:tcBorders>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imes New Roman" w:cs="Times New Roman"/>
                <w:color w:val="000000"/>
                <w:kern w:val="24"/>
                <w:sz w:val="21"/>
                <w:szCs w:val="21"/>
                <w:lang w:eastAsia="zh-CN" w:bidi="ar-SA"/>
              </w:rPr>
              <w:t>18%</w:t>
            </w:r>
          </w:p>
        </w:tc>
      </w:tr>
      <w:tr w:rsidR="00776877" w:rsidRPr="00776877" w:rsidTr="00776877">
        <w:trPr>
          <w:trHeight w:val="584"/>
        </w:trPr>
        <w:tc>
          <w:tcPr>
            <w:tcW w:w="2154" w:type="dxa"/>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光热转换效率</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50%</w:t>
            </w:r>
          </w:p>
        </w:tc>
        <w:tc>
          <w:tcPr>
            <w:tcW w:w="2057" w:type="dxa"/>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imes New Roman" w:cs="Times New Roman"/>
                <w:color w:val="000000"/>
                <w:kern w:val="24"/>
                <w:sz w:val="21"/>
                <w:szCs w:val="21"/>
                <w:lang w:eastAsia="zh-CN" w:bidi="ar-SA"/>
              </w:rPr>
              <w:t>30%</w:t>
            </w:r>
          </w:p>
        </w:tc>
      </w:tr>
      <w:tr w:rsidR="00776877" w:rsidRPr="00776877" w:rsidTr="00776877">
        <w:trPr>
          <w:trHeight w:val="584"/>
        </w:trPr>
        <w:tc>
          <w:tcPr>
            <w:tcW w:w="2154" w:type="dxa"/>
            <w:vAlign w:val="center"/>
            <w:hideMark/>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heme="minorEastAsia" w:cs="Times New Roman"/>
                <w:color w:val="000000"/>
                <w:kern w:val="24"/>
                <w:sz w:val="21"/>
                <w:szCs w:val="21"/>
                <w:lang w:eastAsia="zh-CN" w:bidi="ar-SA"/>
              </w:rPr>
              <w:t>安装倾角</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32°</w:t>
            </w:r>
          </w:p>
        </w:tc>
        <w:tc>
          <w:tcPr>
            <w:tcW w:w="2057" w:type="dxa"/>
            <w:vAlign w:val="center"/>
          </w:tcPr>
          <w:p w:rsidR="00776877" w:rsidRPr="00776877" w:rsidRDefault="00776877" w:rsidP="00776877">
            <w:pPr>
              <w:spacing w:after="0"/>
              <w:jc w:val="center"/>
              <w:rPr>
                <w:rFonts w:ascii="Times New Roman" w:hAnsi="Times New Roman" w:cs="Times New Roman"/>
                <w:color w:val="000000"/>
                <w:kern w:val="24"/>
                <w:sz w:val="21"/>
                <w:szCs w:val="21"/>
                <w:lang w:eastAsia="zh-CN" w:bidi="ar-SA"/>
              </w:rPr>
            </w:pPr>
            <w:r w:rsidRPr="00776877">
              <w:rPr>
                <w:rFonts w:ascii="Times New Roman" w:hAnsi="Times New Roman" w:cs="Times New Roman"/>
                <w:color w:val="000000"/>
                <w:kern w:val="24"/>
                <w:sz w:val="21"/>
                <w:szCs w:val="21"/>
                <w:lang w:eastAsia="zh-CN" w:bidi="ar-SA"/>
              </w:rPr>
              <w:t>32°</w:t>
            </w:r>
          </w:p>
        </w:tc>
        <w:tc>
          <w:tcPr>
            <w:tcW w:w="2057" w:type="dxa"/>
            <w:vAlign w:val="center"/>
          </w:tcPr>
          <w:p w:rsidR="00776877" w:rsidRPr="00776877" w:rsidRDefault="00776877" w:rsidP="00776877">
            <w:pPr>
              <w:spacing w:after="0"/>
              <w:jc w:val="center"/>
              <w:rPr>
                <w:rFonts w:ascii="Times New Roman" w:hAnsi="Times New Roman" w:cs="Times New Roman"/>
                <w:sz w:val="21"/>
                <w:szCs w:val="21"/>
                <w:lang w:eastAsia="zh-CN" w:bidi="ar-SA"/>
              </w:rPr>
            </w:pPr>
            <w:r w:rsidRPr="00776877">
              <w:rPr>
                <w:rFonts w:ascii="Times New Roman" w:hAnsi="Times New Roman" w:cs="Times New Roman"/>
                <w:color w:val="000000"/>
                <w:kern w:val="24"/>
                <w:sz w:val="21"/>
                <w:szCs w:val="21"/>
                <w:lang w:eastAsia="zh-CN" w:bidi="ar-SA"/>
              </w:rPr>
              <w:t>32°</w:t>
            </w:r>
          </w:p>
        </w:tc>
      </w:tr>
    </w:tbl>
    <w:p w:rsidR="00D82FEE" w:rsidRDefault="00D82FEE" w:rsidP="00B76E54">
      <w:pPr>
        <w:spacing w:line="240" w:lineRule="auto"/>
        <w:ind w:left="210" w:right="210"/>
        <w:rPr>
          <w:sz w:val="21"/>
          <w:szCs w:val="21"/>
          <w:lang w:eastAsia="zh-CN"/>
        </w:rPr>
      </w:pPr>
    </w:p>
    <w:p w:rsidR="00DF5CB6" w:rsidRDefault="00872B5B" w:rsidP="00B76E54">
      <w:pPr>
        <w:spacing w:line="240" w:lineRule="auto"/>
        <w:ind w:left="210" w:right="210"/>
        <w:rPr>
          <w:sz w:val="21"/>
          <w:szCs w:val="21"/>
          <w:lang w:eastAsia="zh-CN"/>
        </w:rPr>
      </w:pPr>
      <w:r>
        <w:rPr>
          <w:rFonts w:hint="eastAsia"/>
          <w:sz w:val="21"/>
          <w:szCs w:val="21"/>
          <w:lang w:eastAsia="zh-CN"/>
        </w:rPr>
        <w:t>需要注意在上述的太阳能利用形式中，能量被分别转化为了电能与热能，两种能量的品味不同，因此不能直接通过比较能量大小衡量</w:t>
      </w:r>
      <w:proofErr w:type="gramStart"/>
      <w:r>
        <w:rPr>
          <w:rFonts w:hint="eastAsia"/>
          <w:sz w:val="21"/>
          <w:szCs w:val="21"/>
          <w:lang w:eastAsia="zh-CN"/>
        </w:rPr>
        <w:t>节能减碳效果</w:t>
      </w:r>
      <w:proofErr w:type="gramEnd"/>
      <w:r>
        <w:rPr>
          <w:rFonts w:hint="eastAsia"/>
          <w:sz w:val="21"/>
          <w:szCs w:val="21"/>
          <w:lang w:eastAsia="zh-CN"/>
        </w:rPr>
        <w:t>。因此需要</w:t>
      </w:r>
      <w:r w:rsidR="004B638C">
        <w:rPr>
          <w:rFonts w:hint="eastAsia"/>
          <w:sz w:val="21"/>
          <w:szCs w:val="21"/>
          <w:lang w:eastAsia="zh-CN"/>
        </w:rPr>
        <w:t>将</w:t>
      </w:r>
      <w:r>
        <w:rPr>
          <w:rFonts w:hint="eastAsia"/>
          <w:sz w:val="21"/>
          <w:szCs w:val="21"/>
          <w:lang w:eastAsia="zh-CN"/>
        </w:rPr>
        <w:t>二者化为</w:t>
      </w:r>
      <w:r w:rsidR="004B638C">
        <w:rPr>
          <w:rFonts w:hint="eastAsia"/>
          <w:sz w:val="21"/>
          <w:szCs w:val="21"/>
          <w:lang w:eastAsia="zh-CN"/>
        </w:rPr>
        <w:t>的</w:t>
      </w:r>
      <w:r>
        <w:rPr>
          <w:rFonts w:hint="eastAsia"/>
          <w:sz w:val="21"/>
          <w:szCs w:val="21"/>
          <w:lang w:eastAsia="zh-CN"/>
        </w:rPr>
        <w:t>统一标准能量</w:t>
      </w:r>
      <w:r w:rsidR="004B638C">
        <w:rPr>
          <w:rFonts w:hint="eastAsia"/>
          <w:sz w:val="21"/>
          <w:szCs w:val="21"/>
          <w:lang w:eastAsia="zh-CN"/>
        </w:rPr>
        <w:t>单位</w:t>
      </w:r>
      <w:r>
        <w:rPr>
          <w:rFonts w:hint="eastAsia"/>
          <w:sz w:val="21"/>
          <w:szCs w:val="21"/>
          <w:lang w:eastAsia="zh-CN"/>
        </w:rPr>
        <w:t>后进行比较。对于市政综合体，光热系统产生的热能用于产生热水，不足的部分由消耗电能的污水源热泵补充，因此将光热系统产生的热水量等效换算为热泵系统产生等量热水消耗的电能，以此与光</w:t>
      </w:r>
      <w:proofErr w:type="gramStart"/>
      <w:r>
        <w:rPr>
          <w:rFonts w:hint="eastAsia"/>
          <w:sz w:val="21"/>
          <w:szCs w:val="21"/>
          <w:lang w:eastAsia="zh-CN"/>
        </w:rPr>
        <w:t>伏系统</w:t>
      </w:r>
      <w:proofErr w:type="gramEnd"/>
      <w:r>
        <w:rPr>
          <w:rFonts w:hint="eastAsia"/>
          <w:sz w:val="21"/>
          <w:szCs w:val="21"/>
          <w:lang w:eastAsia="zh-CN"/>
        </w:rPr>
        <w:t>比较。</w:t>
      </w:r>
      <w:r w:rsidR="00C807D0">
        <w:rPr>
          <w:rFonts w:hint="eastAsia"/>
          <w:sz w:val="21"/>
          <w:szCs w:val="21"/>
          <w:lang w:eastAsia="zh-CN"/>
        </w:rPr>
        <w:t>根据上述比较方法，</w:t>
      </w:r>
      <w:r w:rsidR="001F0893">
        <w:rPr>
          <w:rFonts w:hint="eastAsia"/>
          <w:sz w:val="21"/>
          <w:szCs w:val="21"/>
          <w:lang w:eastAsia="zh-CN"/>
        </w:rPr>
        <w:t>根据模拟数据，</w:t>
      </w:r>
      <w:r w:rsidR="004B638C">
        <w:rPr>
          <w:rFonts w:hint="eastAsia"/>
          <w:sz w:val="21"/>
          <w:szCs w:val="21"/>
          <w:lang w:eastAsia="zh-CN"/>
        </w:rPr>
        <w:t>仅布置</w:t>
      </w:r>
      <w:r w:rsidR="00D82FEE">
        <w:rPr>
          <w:rFonts w:hint="eastAsia"/>
          <w:sz w:val="21"/>
          <w:szCs w:val="21"/>
          <w:lang w:eastAsia="zh-CN"/>
        </w:rPr>
        <w:t>太阳能</w:t>
      </w:r>
      <w:r w:rsidR="004B638C">
        <w:rPr>
          <w:rFonts w:hint="eastAsia"/>
          <w:sz w:val="21"/>
          <w:szCs w:val="21"/>
          <w:lang w:eastAsia="zh-CN"/>
        </w:rPr>
        <w:t>光</w:t>
      </w:r>
      <w:proofErr w:type="gramStart"/>
      <w:r w:rsidR="004B638C">
        <w:rPr>
          <w:rFonts w:hint="eastAsia"/>
          <w:sz w:val="21"/>
          <w:szCs w:val="21"/>
          <w:lang w:eastAsia="zh-CN"/>
        </w:rPr>
        <w:t>伏设备</w:t>
      </w:r>
      <w:proofErr w:type="gramEnd"/>
      <w:r w:rsidR="004B638C">
        <w:rPr>
          <w:rFonts w:hint="eastAsia"/>
          <w:sz w:val="21"/>
          <w:szCs w:val="21"/>
          <w:lang w:eastAsia="zh-CN"/>
        </w:rPr>
        <w:t>每年可产生电能</w:t>
      </w:r>
      <w:r w:rsidR="004B638C">
        <w:rPr>
          <w:rFonts w:hint="eastAsia"/>
          <w:sz w:val="21"/>
          <w:szCs w:val="21"/>
          <w:lang w:eastAsia="zh-CN"/>
        </w:rPr>
        <w:t>665611.24kWh</w:t>
      </w:r>
      <w:r w:rsidR="00D82FEE">
        <w:rPr>
          <w:rFonts w:hint="eastAsia"/>
          <w:sz w:val="21"/>
          <w:szCs w:val="21"/>
          <w:lang w:eastAsia="zh-CN"/>
        </w:rPr>
        <w:t>，占建筑电能总需求量的</w:t>
      </w:r>
      <w:r w:rsidR="00D82FEE">
        <w:rPr>
          <w:rFonts w:hint="eastAsia"/>
          <w:sz w:val="21"/>
          <w:szCs w:val="21"/>
          <w:lang w:eastAsia="zh-CN"/>
        </w:rPr>
        <w:t>9.96%</w:t>
      </w:r>
      <w:r w:rsidR="00D82FEE">
        <w:rPr>
          <w:rFonts w:hint="eastAsia"/>
          <w:sz w:val="21"/>
          <w:szCs w:val="21"/>
          <w:lang w:eastAsia="zh-CN"/>
        </w:rPr>
        <w:t>，</w:t>
      </w:r>
      <w:r w:rsidR="00044E88">
        <w:rPr>
          <w:rFonts w:hint="eastAsia"/>
          <w:sz w:val="21"/>
          <w:szCs w:val="21"/>
          <w:lang w:eastAsia="zh-CN"/>
        </w:rPr>
        <w:t>每年可带来</w:t>
      </w:r>
      <w:r w:rsidR="00044E88">
        <w:rPr>
          <w:rFonts w:hint="eastAsia"/>
          <w:sz w:val="21"/>
          <w:szCs w:val="21"/>
          <w:lang w:eastAsia="zh-CN"/>
        </w:rPr>
        <w:t>392.41tCO</w:t>
      </w:r>
      <w:r w:rsidR="00044E88" w:rsidRPr="0098540F">
        <w:rPr>
          <w:rFonts w:hint="eastAsia"/>
          <w:sz w:val="21"/>
          <w:szCs w:val="21"/>
          <w:vertAlign w:val="subscript"/>
          <w:lang w:eastAsia="zh-CN"/>
        </w:rPr>
        <w:t>2</w:t>
      </w:r>
      <w:r w:rsidR="00044E88" w:rsidRPr="00044E88">
        <w:rPr>
          <w:rFonts w:hint="eastAsia"/>
          <w:sz w:val="21"/>
          <w:szCs w:val="21"/>
          <w:lang w:eastAsia="zh-CN"/>
        </w:rPr>
        <w:t>的</w:t>
      </w:r>
      <w:proofErr w:type="gramStart"/>
      <w:r w:rsidR="00044E88" w:rsidRPr="00044E88">
        <w:rPr>
          <w:rFonts w:hint="eastAsia"/>
          <w:sz w:val="21"/>
          <w:szCs w:val="21"/>
          <w:lang w:eastAsia="zh-CN"/>
        </w:rPr>
        <w:t>减碳量</w:t>
      </w:r>
      <w:proofErr w:type="gramEnd"/>
      <w:r w:rsidR="00044E88">
        <w:rPr>
          <w:rFonts w:hint="eastAsia"/>
          <w:sz w:val="21"/>
          <w:szCs w:val="21"/>
          <w:lang w:eastAsia="zh-CN"/>
        </w:rPr>
        <w:t>。</w:t>
      </w:r>
      <w:r w:rsidR="00D82FEE">
        <w:rPr>
          <w:rFonts w:hint="eastAsia"/>
          <w:sz w:val="21"/>
          <w:szCs w:val="21"/>
          <w:lang w:eastAsia="zh-CN"/>
        </w:rPr>
        <w:t>而仅布置太阳能光热设备每年可等效提供热水</w:t>
      </w:r>
      <w:r w:rsidR="00D82FEE">
        <w:rPr>
          <w:rFonts w:hint="eastAsia"/>
          <w:sz w:val="21"/>
          <w:szCs w:val="21"/>
          <w:lang w:eastAsia="zh-CN"/>
        </w:rPr>
        <w:t>27619.98</w:t>
      </w:r>
      <w:r w:rsidR="00D82FEE" w:rsidRPr="00D82FEE">
        <w:rPr>
          <w:rFonts w:hint="eastAsia"/>
          <w:sz w:val="21"/>
          <w:szCs w:val="21"/>
          <w:lang w:eastAsia="zh-CN"/>
        </w:rPr>
        <w:t xml:space="preserve"> </w:t>
      </w:r>
      <w:r w:rsidR="00D82FEE">
        <w:rPr>
          <w:rFonts w:hint="eastAsia"/>
          <w:sz w:val="21"/>
          <w:szCs w:val="21"/>
          <w:lang w:eastAsia="zh-CN"/>
        </w:rPr>
        <w:t>m</w:t>
      </w:r>
      <w:r w:rsidR="00D82FEE" w:rsidRPr="006C2D6E">
        <w:rPr>
          <w:rFonts w:hint="eastAsia"/>
          <w:sz w:val="21"/>
          <w:szCs w:val="21"/>
          <w:vertAlign w:val="superscript"/>
          <w:lang w:eastAsia="zh-CN"/>
        </w:rPr>
        <w:t>3</w:t>
      </w:r>
      <w:r w:rsidR="00D82FEE">
        <w:rPr>
          <w:rFonts w:hint="eastAsia"/>
          <w:sz w:val="21"/>
          <w:szCs w:val="21"/>
          <w:lang w:eastAsia="zh-CN"/>
        </w:rPr>
        <w:t>，占建筑全年总用水量需求的</w:t>
      </w:r>
      <w:r w:rsidR="00044E88">
        <w:rPr>
          <w:rFonts w:hint="eastAsia"/>
          <w:sz w:val="21"/>
          <w:szCs w:val="21"/>
          <w:lang w:eastAsia="zh-CN"/>
        </w:rPr>
        <w:t>33.76%</w:t>
      </w:r>
      <w:r w:rsidR="00044E88">
        <w:rPr>
          <w:rFonts w:hint="eastAsia"/>
          <w:sz w:val="21"/>
          <w:szCs w:val="21"/>
          <w:lang w:eastAsia="zh-CN"/>
        </w:rPr>
        <w:t>，其等效产生的电能为</w:t>
      </w:r>
      <w:r w:rsidR="00044E88">
        <w:rPr>
          <w:rFonts w:hint="eastAsia"/>
          <w:sz w:val="21"/>
          <w:szCs w:val="21"/>
          <w:lang w:eastAsia="zh-CN"/>
        </w:rPr>
        <w:t>202840.52kWh</w:t>
      </w:r>
      <w:r w:rsidR="00044E88">
        <w:rPr>
          <w:rFonts w:hint="eastAsia"/>
          <w:sz w:val="21"/>
          <w:szCs w:val="21"/>
          <w:lang w:eastAsia="zh-CN"/>
        </w:rPr>
        <w:t>，每年可带来</w:t>
      </w:r>
      <w:r w:rsidR="00044E88">
        <w:rPr>
          <w:rFonts w:hint="eastAsia"/>
          <w:sz w:val="21"/>
          <w:szCs w:val="21"/>
          <w:lang w:eastAsia="zh-CN"/>
        </w:rPr>
        <w:t>119.58</w:t>
      </w:r>
      <w:r w:rsidR="00044E88" w:rsidRPr="00044E88">
        <w:rPr>
          <w:rFonts w:hint="eastAsia"/>
          <w:sz w:val="21"/>
          <w:szCs w:val="21"/>
          <w:lang w:eastAsia="zh-CN"/>
        </w:rPr>
        <w:t xml:space="preserve"> </w:t>
      </w:r>
      <w:r w:rsidR="00044E88">
        <w:rPr>
          <w:rFonts w:hint="eastAsia"/>
          <w:sz w:val="21"/>
          <w:szCs w:val="21"/>
          <w:lang w:eastAsia="zh-CN"/>
        </w:rPr>
        <w:t>tCO</w:t>
      </w:r>
      <w:r w:rsidR="00044E88" w:rsidRPr="0098540F">
        <w:rPr>
          <w:rFonts w:hint="eastAsia"/>
          <w:sz w:val="21"/>
          <w:szCs w:val="21"/>
          <w:vertAlign w:val="subscript"/>
          <w:lang w:eastAsia="zh-CN"/>
        </w:rPr>
        <w:t>2</w:t>
      </w:r>
      <w:r w:rsidR="00044E88" w:rsidRPr="00044E88">
        <w:rPr>
          <w:rFonts w:hint="eastAsia"/>
          <w:sz w:val="21"/>
          <w:szCs w:val="21"/>
          <w:lang w:eastAsia="zh-CN"/>
        </w:rPr>
        <w:t>的</w:t>
      </w:r>
      <w:proofErr w:type="gramStart"/>
      <w:r w:rsidR="00044E88" w:rsidRPr="00044E88">
        <w:rPr>
          <w:rFonts w:hint="eastAsia"/>
          <w:sz w:val="21"/>
          <w:szCs w:val="21"/>
          <w:lang w:eastAsia="zh-CN"/>
        </w:rPr>
        <w:t>减碳量</w:t>
      </w:r>
      <w:proofErr w:type="gramEnd"/>
      <w:r w:rsidR="00044E88">
        <w:rPr>
          <w:rFonts w:hint="eastAsia"/>
          <w:sz w:val="21"/>
          <w:szCs w:val="21"/>
          <w:lang w:eastAsia="zh-CN"/>
        </w:rPr>
        <w:t>，其节能</w:t>
      </w:r>
      <w:proofErr w:type="gramStart"/>
      <w:r w:rsidR="00044E88">
        <w:rPr>
          <w:rFonts w:hint="eastAsia"/>
          <w:sz w:val="21"/>
          <w:szCs w:val="21"/>
          <w:lang w:eastAsia="zh-CN"/>
        </w:rPr>
        <w:t>减碳效果</w:t>
      </w:r>
      <w:proofErr w:type="gramEnd"/>
      <w:r w:rsidR="00044E88">
        <w:rPr>
          <w:rFonts w:hint="eastAsia"/>
          <w:sz w:val="21"/>
          <w:szCs w:val="21"/>
          <w:lang w:eastAsia="zh-CN"/>
        </w:rPr>
        <w:t>不如光伏设备。</w:t>
      </w:r>
      <w:r w:rsidR="001F0893">
        <w:rPr>
          <w:rFonts w:hint="eastAsia"/>
          <w:sz w:val="21"/>
          <w:szCs w:val="21"/>
          <w:lang w:eastAsia="zh-CN"/>
        </w:rPr>
        <w:t>布置光伏光热设备每年可产生电能</w:t>
      </w:r>
      <w:r w:rsidR="001F0893">
        <w:rPr>
          <w:rFonts w:hint="eastAsia"/>
          <w:sz w:val="21"/>
          <w:szCs w:val="21"/>
          <w:lang w:eastAsia="zh-CN"/>
        </w:rPr>
        <w:t>721627.74kWh</w:t>
      </w:r>
      <w:r w:rsidR="001F0893">
        <w:rPr>
          <w:rFonts w:hint="eastAsia"/>
          <w:sz w:val="21"/>
          <w:szCs w:val="21"/>
          <w:lang w:eastAsia="zh-CN"/>
        </w:rPr>
        <w:t>，</w:t>
      </w:r>
      <w:r w:rsidR="00E21EF7">
        <w:rPr>
          <w:rFonts w:hint="eastAsia"/>
          <w:sz w:val="21"/>
          <w:szCs w:val="21"/>
          <w:lang w:eastAsia="zh-CN"/>
        </w:rPr>
        <w:t>占市政综合体全年总用电量的</w:t>
      </w:r>
      <w:r w:rsidR="00E21EF7">
        <w:rPr>
          <w:rFonts w:hint="eastAsia"/>
          <w:sz w:val="21"/>
          <w:szCs w:val="21"/>
          <w:lang w:eastAsia="zh-CN"/>
        </w:rPr>
        <w:t>10.8%</w:t>
      </w:r>
      <w:r w:rsidR="00E21EF7">
        <w:rPr>
          <w:rFonts w:hint="eastAsia"/>
          <w:sz w:val="21"/>
          <w:szCs w:val="21"/>
          <w:lang w:eastAsia="zh-CN"/>
        </w:rPr>
        <w:t>。而</w:t>
      </w:r>
      <w:r w:rsidR="004A0B32">
        <w:rPr>
          <w:rFonts w:hint="eastAsia"/>
          <w:sz w:val="21"/>
          <w:szCs w:val="21"/>
          <w:lang w:eastAsia="zh-CN"/>
        </w:rPr>
        <w:t>在热水部分，光伏光热设备提供的热量</w:t>
      </w:r>
      <w:r w:rsidR="006C2D6E">
        <w:rPr>
          <w:rFonts w:hint="eastAsia"/>
          <w:sz w:val="21"/>
          <w:szCs w:val="21"/>
          <w:lang w:eastAsia="zh-CN"/>
        </w:rPr>
        <w:t>每年</w:t>
      </w:r>
      <w:r w:rsidR="004A0B32">
        <w:rPr>
          <w:rFonts w:hint="eastAsia"/>
          <w:sz w:val="21"/>
          <w:szCs w:val="21"/>
          <w:lang w:eastAsia="zh-CN"/>
        </w:rPr>
        <w:t>等效可提供</w:t>
      </w:r>
      <w:r w:rsidR="006C2D6E">
        <w:rPr>
          <w:rFonts w:hint="eastAsia"/>
          <w:sz w:val="21"/>
          <w:szCs w:val="21"/>
          <w:lang w:eastAsia="zh-CN"/>
        </w:rPr>
        <w:t>70</w:t>
      </w:r>
      <w:r w:rsidR="006C2D6E">
        <w:rPr>
          <w:rFonts w:hint="eastAsia"/>
          <w:sz w:val="21"/>
          <w:szCs w:val="21"/>
          <w:lang w:eastAsia="zh-CN"/>
        </w:rPr>
        <w:t>℃的热水</w:t>
      </w:r>
      <w:r w:rsidR="006C2D6E">
        <w:rPr>
          <w:rFonts w:hint="eastAsia"/>
          <w:sz w:val="21"/>
          <w:szCs w:val="21"/>
          <w:lang w:eastAsia="zh-CN"/>
        </w:rPr>
        <w:t>13407.76m</w:t>
      </w:r>
      <w:r w:rsidR="006C2D6E" w:rsidRPr="006C2D6E">
        <w:rPr>
          <w:rFonts w:hint="eastAsia"/>
          <w:sz w:val="21"/>
          <w:szCs w:val="21"/>
          <w:vertAlign w:val="superscript"/>
          <w:lang w:eastAsia="zh-CN"/>
        </w:rPr>
        <w:t>3</w:t>
      </w:r>
      <w:r w:rsidR="006C2D6E">
        <w:rPr>
          <w:rFonts w:hint="eastAsia"/>
          <w:sz w:val="21"/>
          <w:szCs w:val="21"/>
          <w:lang w:eastAsia="zh-CN"/>
        </w:rPr>
        <w:t>，占市政综合体热水总需求量的</w:t>
      </w:r>
      <w:r w:rsidR="006C2D6E">
        <w:rPr>
          <w:rFonts w:hint="eastAsia"/>
          <w:sz w:val="21"/>
          <w:szCs w:val="21"/>
          <w:lang w:eastAsia="zh-CN"/>
        </w:rPr>
        <w:t>16.4%</w:t>
      </w:r>
      <w:r w:rsidR="006C2D6E">
        <w:rPr>
          <w:rFonts w:hint="eastAsia"/>
          <w:sz w:val="21"/>
          <w:szCs w:val="21"/>
          <w:lang w:eastAsia="zh-CN"/>
        </w:rPr>
        <w:t>。</w:t>
      </w:r>
      <w:r w:rsidR="001441D0">
        <w:rPr>
          <w:rFonts w:hint="eastAsia"/>
          <w:sz w:val="21"/>
          <w:szCs w:val="21"/>
          <w:lang w:eastAsia="zh-CN"/>
        </w:rPr>
        <w:t>从减少碳排放的角度看，光伏光热设备的加入每年可减少碳排放</w:t>
      </w:r>
      <w:r w:rsidR="001441D0">
        <w:rPr>
          <w:rFonts w:hint="eastAsia"/>
          <w:sz w:val="21"/>
          <w:szCs w:val="21"/>
          <w:lang w:eastAsia="zh-CN"/>
        </w:rPr>
        <w:t>508.03t</w:t>
      </w:r>
      <w:r w:rsidR="00044E88">
        <w:rPr>
          <w:rFonts w:hint="eastAsia"/>
          <w:sz w:val="21"/>
          <w:szCs w:val="21"/>
          <w:lang w:eastAsia="zh-CN"/>
        </w:rPr>
        <w:t>CO</w:t>
      </w:r>
      <w:r w:rsidR="00044E88" w:rsidRPr="0098540F">
        <w:rPr>
          <w:rFonts w:hint="eastAsia"/>
          <w:sz w:val="21"/>
          <w:szCs w:val="21"/>
          <w:vertAlign w:val="subscript"/>
          <w:lang w:eastAsia="zh-CN"/>
        </w:rPr>
        <w:t>2</w:t>
      </w:r>
      <w:r w:rsidR="001441D0">
        <w:rPr>
          <w:rFonts w:hint="eastAsia"/>
          <w:sz w:val="21"/>
          <w:szCs w:val="21"/>
          <w:lang w:eastAsia="zh-CN"/>
        </w:rPr>
        <w:t>，在全生命周期内可减少碳排放</w:t>
      </w:r>
      <w:r w:rsidR="001441D0">
        <w:rPr>
          <w:rFonts w:hint="eastAsia"/>
          <w:sz w:val="21"/>
          <w:szCs w:val="21"/>
          <w:lang w:eastAsia="zh-CN"/>
        </w:rPr>
        <w:t>25401.5t</w:t>
      </w:r>
      <w:r w:rsidR="00044E88">
        <w:rPr>
          <w:rFonts w:hint="eastAsia"/>
          <w:sz w:val="21"/>
          <w:szCs w:val="21"/>
          <w:lang w:eastAsia="zh-CN"/>
        </w:rPr>
        <w:t>CO</w:t>
      </w:r>
      <w:r w:rsidR="00044E88" w:rsidRPr="0098540F">
        <w:rPr>
          <w:rFonts w:hint="eastAsia"/>
          <w:sz w:val="21"/>
          <w:szCs w:val="21"/>
          <w:vertAlign w:val="subscript"/>
          <w:lang w:eastAsia="zh-CN"/>
        </w:rPr>
        <w:t>2</w:t>
      </w:r>
      <w:r w:rsidR="001441D0">
        <w:rPr>
          <w:rFonts w:hint="eastAsia"/>
          <w:sz w:val="21"/>
          <w:szCs w:val="21"/>
          <w:lang w:eastAsia="zh-CN"/>
        </w:rPr>
        <w:t>，占运营阶段碳排放量的</w:t>
      </w:r>
      <w:r w:rsidR="00776877">
        <w:rPr>
          <w:rFonts w:hint="eastAsia"/>
          <w:sz w:val="21"/>
          <w:szCs w:val="21"/>
          <w:lang w:eastAsia="zh-CN"/>
        </w:rPr>
        <w:t>12.62%</w:t>
      </w:r>
      <w:r w:rsidR="00776877">
        <w:rPr>
          <w:rFonts w:hint="eastAsia"/>
          <w:sz w:val="21"/>
          <w:szCs w:val="21"/>
          <w:lang w:eastAsia="zh-CN"/>
        </w:rPr>
        <w:t>。</w:t>
      </w:r>
    </w:p>
    <w:p w:rsidR="00776877" w:rsidRDefault="00776877" w:rsidP="00776877">
      <w:pPr>
        <w:pStyle w:val="a3"/>
        <w:numPr>
          <w:ilvl w:val="0"/>
          <w:numId w:val="3"/>
        </w:numPr>
        <w:spacing w:line="240" w:lineRule="auto"/>
        <w:ind w:right="210"/>
        <w:rPr>
          <w:sz w:val="21"/>
          <w:szCs w:val="21"/>
          <w:lang w:eastAsia="zh-CN"/>
        </w:rPr>
      </w:pPr>
      <w:r w:rsidRPr="00776877">
        <w:rPr>
          <w:rFonts w:hint="eastAsia"/>
          <w:sz w:val="21"/>
          <w:szCs w:val="21"/>
          <w:lang w:eastAsia="zh-CN"/>
        </w:rPr>
        <w:t>建筑遮阳设施</w:t>
      </w:r>
    </w:p>
    <w:p w:rsidR="002E4BE6" w:rsidRPr="000D1B76" w:rsidRDefault="00D00A7A" w:rsidP="00CD180B">
      <w:pPr>
        <w:spacing w:line="240" w:lineRule="auto"/>
        <w:ind w:right="210"/>
        <w:rPr>
          <w:sz w:val="21"/>
          <w:szCs w:val="21"/>
          <w:lang w:eastAsia="zh-CN"/>
        </w:rPr>
      </w:pPr>
      <w:r w:rsidRPr="000D1B76">
        <w:rPr>
          <w:rFonts w:hint="eastAsia"/>
          <w:sz w:val="21"/>
          <w:szCs w:val="21"/>
          <w:lang w:eastAsia="zh-CN"/>
        </w:rPr>
        <w:t>市政综合体项目所在的南京位于建筑热工分区的冬冷夏热地区，该地区夏季炎热且日照辐射较强，大量的阳光经透光围护结构进入室内，形成太阳辐射得热，是室内冷负荷的重要</w:t>
      </w:r>
      <w:r w:rsidRPr="000D1B76">
        <w:rPr>
          <w:rFonts w:hint="eastAsia"/>
          <w:sz w:val="21"/>
          <w:szCs w:val="21"/>
          <w:lang w:eastAsia="zh-CN"/>
        </w:rPr>
        <w:lastRenderedPageBreak/>
        <w:t>组成部分。遮阳设施采用低透射率、高反射率的材料制成，通过合理的布置可以大幅降低进入室内的太阳辐射量，减小夏季室内冷负荷，从而实现空调系统的节能</w:t>
      </w:r>
      <w:r w:rsidR="003537BB">
        <w:rPr>
          <w:rFonts w:hint="eastAsia"/>
          <w:sz w:val="21"/>
          <w:szCs w:val="21"/>
          <w:lang w:eastAsia="zh-CN"/>
        </w:rPr>
        <w:t>减碳</w:t>
      </w:r>
      <w:r w:rsidRPr="000D1B76">
        <w:rPr>
          <w:rFonts w:hint="eastAsia"/>
          <w:sz w:val="21"/>
          <w:szCs w:val="21"/>
          <w:lang w:eastAsia="zh-CN"/>
        </w:rPr>
        <w:t>。按照布置形式</w:t>
      </w:r>
      <w:r w:rsidR="00653819" w:rsidRPr="000D1B76">
        <w:rPr>
          <w:rFonts w:hint="eastAsia"/>
          <w:sz w:val="21"/>
          <w:szCs w:val="21"/>
          <w:lang w:eastAsia="zh-CN"/>
        </w:rPr>
        <w:t>，建筑遮阳可分为</w:t>
      </w:r>
      <w:r w:rsidR="00F92BDE" w:rsidRPr="000D1B76">
        <w:rPr>
          <w:rFonts w:hint="eastAsia"/>
          <w:sz w:val="21"/>
          <w:szCs w:val="21"/>
          <w:lang w:eastAsia="zh-CN"/>
        </w:rPr>
        <w:t>内遮阳、中置遮阳以及外遮阳。按</w:t>
      </w:r>
      <w:r w:rsidR="00756BEF" w:rsidRPr="000D1B76">
        <w:rPr>
          <w:rFonts w:hint="eastAsia"/>
          <w:sz w:val="21"/>
          <w:szCs w:val="21"/>
          <w:lang w:eastAsia="zh-CN"/>
        </w:rPr>
        <w:t>是否可活动分为活动式与固定式</w:t>
      </w:r>
      <w:r w:rsidR="002C4509" w:rsidRPr="000D1B76">
        <w:rPr>
          <w:rFonts w:hint="eastAsia"/>
          <w:sz w:val="21"/>
          <w:szCs w:val="21"/>
          <w:lang w:eastAsia="zh-CN"/>
        </w:rPr>
        <w:t>。从遮阳布置形</w:t>
      </w:r>
      <w:r w:rsidR="003537BB">
        <w:rPr>
          <w:rFonts w:hint="eastAsia"/>
          <w:sz w:val="21"/>
          <w:szCs w:val="21"/>
          <w:lang w:eastAsia="zh-CN"/>
        </w:rPr>
        <w:t>式上看，外遮阳由于位于室外，因此被遮阳设施本身</w:t>
      </w:r>
      <w:r w:rsidR="002C4509" w:rsidRPr="000D1B76">
        <w:rPr>
          <w:rFonts w:hint="eastAsia"/>
          <w:sz w:val="21"/>
          <w:szCs w:val="21"/>
          <w:lang w:eastAsia="zh-CN"/>
        </w:rPr>
        <w:t>吸收的热量不会进入室内成为冷负荷因此节能效果最好但其在设计时需要考虑与外墙的配合，并且需要经常维护；而内遮阳位于室内，被其吸收的热量最终会转换为</w:t>
      </w:r>
      <w:r w:rsidR="007B5556" w:rsidRPr="000D1B76">
        <w:rPr>
          <w:rFonts w:hint="eastAsia"/>
          <w:sz w:val="21"/>
          <w:szCs w:val="21"/>
          <w:lang w:eastAsia="zh-CN"/>
        </w:rPr>
        <w:t>室内冷负荷，因此节能效果最差，但其易于调节和维护，使用最广泛。而</w:t>
      </w:r>
      <w:r w:rsidR="003537BB">
        <w:rPr>
          <w:rFonts w:hint="eastAsia"/>
          <w:sz w:val="21"/>
          <w:szCs w:val="21"/>
          <w:lang w:eastAsia="zh-CN"/>
        </w:rPr>
        <w:t>近年来兴起的</w:t>
      </w:r>
      <w:r w:rsidR="007B5556" w:rsidRPr="000D1B76">
        <w:rPr>
          <w:rFonts w:hint="eastAsia"/>
          <w:sz w:val="21"/>
          <w:szCs w:val="21"/>
          <w:lang w:eastAsia="zh-CN"/>
        </w:rPr>
        <w:t>中置遮阳位于窗户等透明围护结构的夹层中，结合了上述两种形式的优点，拥有最佳的应用潜力。</w:t>
      </w:r>
      <w:r w:rsidR="000D1B76" w:rsidRPr="000D1B76">
        <w:rPr>
          <w:rFonts w:hint="eastAsia"/>
          <w:sz w:val="21"/>
          <w:szCs w:val="21"/>
          <w:lang w:eastAsia="zh-CN"/>
        </w:rPr>
        <w:t>考虑到市政综合体的外立面已完成设计规划，且有大量</w:t>
      </w:r>
      <w:proofErr w:type="gramStart"/>
      <w:r w:rsidR="000D1B76" w:rsidRPr="000D1B76">
        <w:rPr>
          <w:rFonts w:hint="eastAsia"/>
          <w:sz w:val="21"/>
          <w:szCs w:val="21"/>
          <w:lang w:eastAsia="zh-CN"/>
        </w:rPr>
        <w:t>的外挑走廊</w:t>
      </w:r>
      <w:proofErr w:type="gramEnd"/>
      <w:r w:rsidR="000D1B76" w:rsidRPr="000D1B76">
        <w:rPr>
          <w:rFonts w:hint="eastAsia"/>
          <w:sz w:val="21"/>
          <w:szCs w:val="21"/>
          <w:lang w:eastAsia="zh-CN"/>
        </w:rPr>
        <w:t>起到外遮阳作用，因此采用中置遮阳的形式。</w:t>
      </w:r>
    </w:p>
    <w:p w:rsidR="007B5556" w:rsidRDefault="000D1B76" w:rsidP="000D1B76">
      <w:pPr>
        <w:spacing w:line="240" w:lineRule="auto"/>
        <w:ind w:right="210"/>
        <w:rPr>
          <w:sz w:val="21"/>
          <w:szCs w:val="21"/>
          <w:lang w:eastAsia="zh-CN"/>
        </w:rPr>
      </w:pPr>
      <w:r w:rsidRPr="000D1B76">
        <w:rPr>
          <w:rFonts w:hint="eastAsia"/>
          <w:sz w:val="21"/>
          <w:szCs w:val="21"/>
          <w:lang w:eastAsia="zh-CN"/>
        </w:rPr>
        <w:t>而对于遮阳设施的布置方向</w:t>
      </w:r>
      <w:r w:rsidR="007B5556" w:rsidRPr="000D1B76">
        <w:rPr>
          <w:rFonts w:hint="eastAsia"/>
          <w:sz w:val="21"/>
          <w:szCs w:val="21"/>
          <w:lang w:eastAsia="zh-CN"/>
        </w:rPr>
        <w:t>，</w:t>
      </w:r>
      <w:r w:rsidRPr="000D1B76">
        <w:rPr>
          <w:rFonts w:hint="eastAsia"/>
          <w:sz w:val="21"/>
          <w:szCs w:val="21"/>
          <w:lang w:eastAsia="zh-CN"/>
        </w:rPr>
        <w:t>根据文献</w:t>
      </w:r>
      <w:r w:rsidR="003537BB">
        <w:rPr>
          <w:rFonts w:hint="eastAsia"/>
          <w:sz w:val="21"/>
          <w:szCs w:val="21"/>
          <w:lang w:eastAsia="zh-CN"/>
        </w:rPr>
        <w:t>[10]</w:t>
      </w:r>
      <w:r w:rsidRPr="000D1B76">
        <w:rPr>
          <w:rFonts w:hint="eastAsia"/>
          <w:sz w:val="21"/>
          <w:szCs w:val="21"/>
          <w:lang w:eastAsia="zh-CN"/>
        </w:rPr>
        <w:t>，南北方向立面阳光多从透光围护结构的正上方或斜上方射入，因此多采用水平的遮阳设施；而对于南北向的立面，阳光多为水平斜射或小角度入射，因此适宜采用竖直的遮阳设施。</w:t>
      </w:r>
      <w:r>
        <w:rPr>
          <w:rFonts w:hint="eastAsia"/>
          <w:sz w:val="21"/>
          <w:szCs w:val="21"/>
          <w:lang w:eastAsia="zh-CN"/>
        </w:rPr>
        <w:t>而东南、西南方向的立面则兼有上述方向的入射特点，因此宜使用综合式布置的遮阳设施，即</w:t>
      </w:r>
      <w:r w:rsidR="004B4136">
        <w:rPr>
          <w:rFonts w:hint="eastAsia"/>
          <w:sz w:val="21"/>
          <w:szCs w:val="21"/>
          <w:lang w:eastAsia="zh-CN"/>
        </w:rPr>
        <w:t>兼有水平方向与竖直方向。</w:t>
      </w:r>
    </w:p>
    <w:p w:rsidR="004B4136" w:rsidRDefault="004B4136" w:rsidP="000D1B76">
      <w:pPr>
        <w:spacing w:line="240" w:lineRule="auto"/>
        <w:ind w:right="210"/>
        <w:rPr>
          <w:sz w:val="21"/>
          <w:szCs w:val="21"/>
          <w:lang w:eastAsia="zh-CN"/>
        </w:rPr>
      </w:pPr>
      <w:r>
        <w:rPr>
          <w:rFonts w:hint="eastAsia"/>
          <w:sz w:val="21"/>
          <w:szCs w:val="21"/>
          <w:lang w:eastAsia="zh-CN"/>
        </w:rPr>
        <w:t>需要注意的是，遮阳设施在夏季时可以有效降低室内热负荷，但在冬季时则会阻挡太阳辐射进入室内，从而降低室内得热，增加空调系统热负荷，并且遮阳的设置会影响建筑的自然采光，增大照明能耗，因此需要设定遮阳设施的控制逻辑，使其能够在合适的条件下发挥作用，达到最佳的</w:t>
      </w:r>
      <w:proofErr w:type="gramStart"/>
      <w:r>
        <w:rPr>
          <w:rFonts w:hint="eastAsia"/>
          <w:sz w:val="21"/>
          <w:szCs w:val="21"/>
          <w:lang w:eastAsia="zh-CN"/>
        </w:rPr>
        <w:t>节能减碳效果</w:t>
      </w:r>
      <w:proofErr w:type="gramEnd"/>
      <w:r>
        <w:rPr>
          <w:rFonts w:hint="eastAsia"/>
          <w:sz w:val="21"/>
          <w:szCs w:val="21"/>
          <w:lang w:eastAsia="zh-CN"/>
        </w:rPr>
        <w:t>。</w:t>
      </w:r>
      <w:r w:rsidR="008C342F">
        <w:rPr>
          <w:rFonts w:hint="eastAsia"/>
          <w:sz w:val="21"/>
          <w:szCs w:val="21"/>
          <w:lang w:eastAsia="zh-CN"/>
        </w:rPr>
        <w:t>依据</w:t>
      </w:r>
      <w:r w:rsidR="008C342F">
        <w:rPr>
          <w:rFonts w:hint="eastAsia"/>
          <w:sz w:val="21"/>
          <w:szCs w:val="21"/>
          <w:lang w:eastAsia="zh-CN"/>
        </w:rPr>
        <w:t>Design Builder</w:t>
      </w:r>
      <w:r w:rsidR="008C342F">
        <w:rPr>
          <w:rFonts w:hint="eastAsia"/>
          <w:sz w:val="21"/>
          <w:szCs w:val="21"/>
          <w:lang w:eastAsia="zh-CN"/>
        </w:rPr>
        <w:t>软件给出的推荐控制方案以及南京气象条件，制定出以下控制策略：</w:t>
      </w:r>
    </w:p>
    <w:p w:rsidR="00C7261A" w:rsidRDefault="00C7261A" w:rsidP="00C7261A">
      <w:pPr>
        <w:spacing w:line="240" w:lineRule="auto"/>
        <w:ind w:right="210"/>
        <w:jc w:val="center"/>
        <w:rPr>
          <w:sz w:val="21"/>
          <w:szCs w:val="21"/>
          <w:lang w:eastAsia="zh-CN"/>
        </w:rPr>
      </w:pPr>
      <w:r>
        <w:rPr>
          <w:rFonts w:hint="eastAsia"/>
          <w:sz w:val="21"/>
          <w:szCs w:val="21"/>
          <w:lang w:eastAsia="zh-CN"/>
        </w:rPr>
        <w:t>表</w:t>
      </w:r>
      <w:r>
        <w:rPr>
          <w:rFonts w:hint="eastAsia"/>
          <w:sz w:val="21"/>
          <w:szCs w:val="21"/>
          <w:lang w:eastAsia="zh-CN"/>
        </w:rPr>
        <w:t xml:space="preserve">x </w:t>
      </w:r>
      <w:r>
        <w:rPr>
          <w:rFonts w:hint="eastAsia"/>
          <w:sz w:val="21"/>
          <w:szCs w:val="21"/>
          <w:lang w:eastAsia="zh-CN"/>
        </w:rPr>
        <w:t>遮阳设施控制策略</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4261"/>
        <w:gridCol w:w="4261"/>
      </w:tblGrid>
      <w:tr w:rsidR="008C342F" w:rsidTr="00CD180B">
        <w:tc>
          <w:tcPr>
            <w:tcW w:w="4261" w:type="dxa"/>
            <w:tcBorders>
              <w:top w:val="single" w:sz="12" w:space="0" w:color="auto"/>
              <w:bottom w:val="single" w:sz="4" w:space="0" w:color="auto"/>
            </w:tcBorders>
            <w:vAlign w:val="center"/>
          </w:tcPr>
          <w:p w:rsidR="008C342F" w:rsidRDefault="00226A48" w:rsidP="003703CC">
            <w:pPr>
              <w:ind w:right="210"/>
              <w:jc w:val="center"/>
              <w:rPr>
                <w:sz w:val="21"/>
                <w:szCs w:val="21"/>
                <w:lang w:eastAsia="zh-CN"/>
              </w:rPr>
            </w:pPr>
            <w:r>
              <w:rPr>
                <w:sz w:val="21"/>
                <w:szCs w:val="21"/>
                <w:lang w:eastAsia="zh-CN"/>
              </w:rPr>
              <w:t>控制情景</w:t>
            </w:r>
          </w:p>
        </w:tc>
        <w:tc>
          <w:tcPr>
            <w:tcW w:w="4261" w:type="dxa"/>
            <w:tcBorders>
              <w:top w:val="single" w:sz="12" w:space="0" w:color="auto"/>
              <w:bottom w:val="single" w:sz="4" w:space="0" w:color="auto"/>
            </w:tcBorders>
            <w:vAlign w:val="center"/>
          </w:tcPr>
          <w:p w:rsidR="008C342F" w:rsidRDefault="008C342F" w:rsidP="003703CC">
            <w:pPr>
              <w:ind w:right="210"/>
              <w:jc w:val="center"/>
              <w:rPr>
                <w:sz w:val="21"/>
                <w:szCs w:val="21"/>
                <w:lang w:eastAsia="zh-CN"/>
              </w:rPr>
            </w:pPr>
            <w:r>
              <w:rPr>
                <w:sz w:val="21"/>
                <w:szCs w:val="21"/>
                <w:lang w:eastAsia="zh-CN"/>
              </w:rPr>
              <w:t>控制策略</w:t>
            </w:r>
          </w:p>
        </w:tc>
      </w:tr>
      <w:tr w:rsidR="008C342F" w:rsidTr="00CD180B">
        <w:tc>
          <w:tcPr>
            <w:tcW w:w="4261" w:type="dxa"/>
            <w:tcBorders>
              <w:top w:val="single" w:sz="4" w:space="0" w:color="auto"/>
            </w:tcBorders>
            <w:vAlign w:val="center"/>
          </w:tcPr>
          <w:p w:rsidR="008C342F" w:rsidRDefault="008C342F" w:rsidP="003703CC">
            <w:pPr>
              <w:ind w:right="210"/>
              <w:jc w:val="center"/>
              <w:rPr>
                <w:sz w:val="21"/>
                <w:szCs w:val="21"/>
                <w:lang w:eastAsia="zh-CN"/>
              </w:rPr>
            </w:pPr>
            <w:r>
              <w:rPr>
                <w:sz w:val="21"/>
                <w:szCs w:val="21"/>
                <w:lang w:eastAsia="zh-CN"/>
              </w:rPr>
              <w:t>不同季节</w:t>
            </w:r>
          </w:p>
        </w:tc>
        <w:tc>
          <w:tcPr>
            <w:tcW w:w="4261" w:type="dxa"/>
            <w:tcBorders>
              <w:top w:val="single" w:sz="4" w:space="0" w:color="auto"/>
            </w:tcBorders>
            <w:vAlign w:val="center"/>
          </w:tcPr>
          <w:p w:rsidR="008C342F" w:rsidRDefault="00226A48" w:rsidP="003703CC">
            <w:pPr>
              <w:ind w:right="210"/>
              <w:jc w:val="center"/>
              <w:rPr>
                <w:sz w:val="21"/>
                <w:szCs w:val="21"/>
                <w:lang w:eastAsia="zh-CN"/>
              </w:rPr>
            </w:pPr>
            <w:r>
              <w:rPr>
                <w:sz w:val="21"/>
                <w:szCs w:val="21"/>
                <w:lang w:eastAsia="zh-CN"/>
              </w:rPr>
              <w:t>秋</w:t>
            </w:r>
            <w:r>
              <w:rPr>
                <w:rFonts w:hint="eastAsia"/>
                <w:sz w:val="21"/>
                <w:szCs w:val="21"/>
                <w:lang w:eastAsia="zh-CN"/>
              </w:rPr>
              <w:t>、</w:t>
            </w:r>
            <w:r w:rsidR="008C342F">
              <w:rPr>
                <w:sz w:val="21"/>
                <w:szCs w:val="21"/>
                <w:lang w:eastAsia="zh-CN"/>
              </w:rPr>
              <w:t>冬</w:t>
            </w:r>
            <w:r>
              <w:rPr>
                <w:rFonts w:hint="eastAsia"/>
                <w:sz w:val="21"/>
                <w:szCs w:val="21"/>
                <w:lang w:eastAsia="zh-CN"/>
              </w:rPr>
              <w:t>、</w:t>
            </w:r>
            <w:r>
              <w:rPr>
                <w:sz w:val="21"/>
                <w:szCs w:val="21"/>
                <w:lang w:eastAsia="zh-CN"/>
              </w:rPr>
              <w:t>春</w:t>
            </w:r>
            <w:r w:rsidR="008C342F">
              <w:rPr>
                <w:sz w:val="21"/>
                <w:szCs w:val="21"/>
                <w:lang w:eastAsia="zh-CN"/>
              </w:rPr>
              <w:t>季遮阳设施</w:t>
            </w:r>
            <w:r>
              <w:rPr>
                <w:sz w:val="21"/>
                <w:szCs w:val="21"/>
                <w:lang w:eastAsia="zh-CN"/>
              </w:rPr>
              <w:t>不随</w:t>
            </w:r>
            <w:r>
              <w:rPr>
                <w:rFonts w:hint="eastAsia"/>
                <w:sz w:val="21"/>
                <w:szCs w:val="21"/>
                <w:lang w:eastAsia="zh-CN"/>
              </w:rPr>
              <w:t>环境</w:t>
            </w:r>
            <w:r>
              <w:rPr>
                <w:sz w:val="21"/>
                <w:szCs w:val="21"/>
                <w:lang w:eastAsia="zh-CN"/>
              </w:rPr>
              <w:t>调整</w:t>
            </w:r>
            <w:r>
              <w:rPr>
                <w:rFonts w:hint="eastAsia"/>
                <w:sz w:val="21"/>
                <w:szCs w:val="21"/>
                <w:lang w:eastAsia="zh-CN"/>
              </w:rPr>
              <w:t>，百叶角度置于最大采光状态</w:t>
            </w:r>
            <w:r w:rsidR="008C342F">
              <w:rPr>
                <w:rFonts w:hint="eastAsia"/>
                <w:sz w:val="21"/>
                <w:szCs w:val="21"/>
                <w:lang w:eastAsia="zh-CN"/>
              </w:rPr>
              <w:t>；</w:t>
            </w:r>
            <w:r>
              <w:rPr>
                <w:rFonts w:hint="eastAsia"/>
                <w:sz w:val="21"/>
                <w:szCs w:val="21"/>
                <w:lang w:eastAsia="zh-CN"/>
              </w:rPr>
              <w:t>夏季遮阳设施随环境调整，百叶角度根据太阳辐照强度调整</w:t>
            </w:r>
          </w:p>
        </w:tc>
      </w:tr>
      <w:tr w:rsidR="008C342F" w:rsidTr="00CD180B">
        <w:tc>
          <w:tcPr>
            <w:tcW w:w="4261" w:type="dxa"/>
            <w:vAlign w:val="center"/>
          </w:tcPr>
          <w:p w:rsidR="008C342F" w:rsidRDefault="00226A48" w:rsidP="003703CC">
            <w:pPr>
              <w:ind w:right="210"/>
              <w:jc w:val="center"/>
              <w:rPr>
                <w:sz w:val="21"/>
                <w:szCs w:val="21"/>
                <w:lang w:eastAsia="zh-CN"/>
              </w:rPr>
            </w:pPr>
            <w:r>
              <w:rPr>
                <w:rFonts w:hint="eastAsia"/>
                <w:sz w:val="21"/>
                <w:szCs w:val="21"/>
                <w:lang w:eastAsia="zh-CN"/>
              </w:rPr>
              <w:t>夏</w:t>
            </w:r>
            <w:r>
              <w:rPr>
                <w:sz w:val="21"/>
                <w:szCs w:val="21"/>
                <w:lang w:eastAsia="zh-CN"/>
              </w:rPr>
              <w:t>季不同太阳辐照强度</w:t>
            </w:r>
          </w:p>
        </w:tc>
        <w:tc>
          <w:tcPr>
            <w:tcW w:w="4261" w:type="dxa"/>
            <w:vAlign w:val="center"/>
          </w:tcPr>
          <w:p w:rsidR="008C342F" w:rsidRPr="00226A48" w:rsidRDefault="00226A48" w:rsidP="003703CC">
            <w:pPr>
              <w:ind w:right="210"/>
              <w:jc w:val="center"/>
              <w:rPr>
                <w:sz w:val="21"/>
                <w:szCs w:val="21"/>
                <w:lang w:eastAsia="zh-CN"/>
              </w:rPr>
            </w:pPr>
            <w:r>
              <w:rPr>
                <w:sz w:val="21"/>
                <w:szCs w:val="21"/>
                <w:lang w:eastAsia="zh-CN"/>
              </w:rPr>
              <w:t>遮阳设施动作的太阳辐照度阈值设定为</w:t>
            </w:r>
            <w:r>
              <w:rPr>
                <w:rFonts w:hint="eastAsia"/>
                <w:sz w:val="21"/>
                <w:szCs w:val="21"/>
                <w:lang w:eastAsia="zh-CN"/>
              </w:rPr>
              <w:t>120W/m</w:t>
            </w:r>
            <w:r w:rsidRPr="00226A48">
              <w:rPr>
                <w:rFonts w:hint="eastAsia"/>
                <w:sz w:val="21"/>
                <w:szCs w:val="21"/>
                <w:vertAlign w:val="superscript"/>
                <w:lang w:eastAsia="zh-CN"/>
              </w:rPr>
              <w:t>2</w:t>
            </w:r>
            <w:r>
              <w:rPr>
                <w:rFonts w:hint="eastAsia"/>
                <w:sz w:val="21"/>
                <w:szCs w:val="21"/>
                <w:lang w:eastAsia="zh-CN"/>
              </w:rPr>
              <w:t>，超过该阈值后百叶与窗户法线间夹角线性增大，直至太阳辐照度达到</w:t>
            </w:r>
            <w:r>
              <w:rPr>
                <w:rFonts w:hint="eastAsia"/>
                <w:sz w:val="21"/>
                <w:szCs w:val="21"/>
                <w:lang w:eastAsia="zh-CN"/>
              </w:rPr>
              <w:t>600W/m</w:t>
            </w:r>
            <w:r w:rsidRPr="00226A48">
              <w:rPr>
                <w:rFonts w:hint="eastAsia"/>
                <w:sz w:val="21"/>
                <w:szCs w:val="21"/>
                <w:vertAlign w:val="superscript"/>
                <w:lang w:eastAsia="zh-CN"/>
              </w:rPr>
              <w:t>2</w:t>
            </w:r>
            <w:r>
              <w:rPr>
                <w:rFonts w:hint="eastAsia"/>
                <w:sz w:val="21"/>
                <w:szCs w:val="21"/>
                <w:lang w:eastAsia="zh-CN"/>
              </w:rPr>
              <w:t>时</w:t>
            </w:r>
            <w:r w:rsidR="003703CC">
              <w:rPr>
                <w:rFonts w:hint="eastAsia"/>
                <w:sz w:val="21"/>
                <w:szCs w:val="21"/>
                <w:lang w:eastAsia="zh-CN"/>
              </w:rPr>
              <w:t>百叶与窗户法线间夹角达到最大。</w:t>
            </w:r>
          </w:p>
        </w:tc>
      </w:tr>
    </w:tbl>
    <w:p w:rsidR="00C7261A" w:rsidRDefault="00C7261A" w:rsidP="003703CC">
      <w:pPr>
        <w:spacing w:line="240" w:lineRule="auto"/>
        <w:ind w:right="210"/>
        <w:rPr>
          <w:sz w:val="21"/>
          <w:szCs w:val="21"/>
          <w:lang w:eastAsia="zh-CN"/>
        </w:rPr>
      </w:pPr>
    </w:p>
    <w:p w:rsidR="008C342F" w:rsidRDefault="003703CC" w:rsidP="003703CC">
      <w:pPr>
        <w:spacing w:line="240" w:lineRule="auto"/>
        <w:ind w:right="210"/>
        <w:rPr>
          <w:sz w:val="21"/>
          <w:szCs w:val="21"/>
          <w:lang w:eastAsia="zh-CN"/>
        </w:rPr>
      </w:pPr>
      <w:r>
        <w:rPr>
          <w:rFonts w:hint="eastAsia"/>
          <w:sz w:val="21"/>
          <w:szCs w:val="21"/>
          <w:lang w:eastAsia="zh-CN"/>
        </w:rPr>
        <w:t>经过模拟，</w:t>
      </w:r>
      <w:r w:rsidR="00C7261A">
        <w:rPr>
          <w:rFonts w:hint="eastAsia"/>
          <w:sz w:val="21"/>
          <w:szCs w:val="21"/>
          <w:lang w:eastAsia="zh-CN"/>
        </w:rPr>
        <w:t>遮阳设施可以有效降低进入室内的太阳辐射得热，以北部</w:t>
      </w:r>
      <w:proofErr w:type="gramStart"/>
      <w:r w:rsidR="00C7261A">
        <w:rPr>
          <w:rFonts w:hint="eastAsia"/>
          <w:sz w:val="21"/>
          <w:szCs w:val="21"/>
          <w:lang w:eastAsia="zh-CN"/>
        </w:rPr>
        <w:t>医养综合</w:t>
      </w:r>
      <w:proofErr w:type="gramEnd"/>
      <w:r w:rsidR="00C7261A">
        <w:rPr>
          <w:rFonts w:hint="eastAsia"/>
          <w:sz w:val="21"/>
          <w:szCs w:val="21"/>
          <w:lang w:eastAsia="zh-CN"/>
        </w:rPr>
        <w:t>楼二层</w:t>
      </w:r>
      <w:proofErr w:type="gramStart"/>
      <w:r w:rsidR="00C7261A">
        <w:rPr>
          <w:rFonts w:hint="eastAsia"/>
          <w:sz w:val="21"/>
          <w:szCs w:val="21"/>
          <w:lang w:eastAsia="zh-CN"/>
        </w:rPr>
        <w:t>一</w:t>
      </w:r>
      <w:proofErr w:type="gramEnd"/>
      <w:r w:rsidR="00C7261A">
        <w:rPr>
          <w:rFonts w:hint="eastAsia"/>
          <w:sz w:val="21"/>
          <w:szCs w:val="21"/>
          <w:lang w:eastAsia="zh-CN"/>
        </w:rPr>
        <w:t>南向办公室为例，其布置遮阳设施前后的逐日太阳辐射得热量如图</w:t>
      </w:r>
      <w:r w:rsidR="00C7261A">
        <w:rPr>
          <w:rFonts w:hint="eastAsia"/>
          <w:sz w:val="21"/>
          <w:szCs w:val="21"/>
          <w:lang w:eastAsia="zh-CN"/>
        </w:rPr>
        <w:t>x</w:t>
      </w:r>
      <w:r w:rsidR="00C7261A">
        <w:rPr>
          <w:rFonts w:hint="eastAsia"/>
          <w:sz w:val="21"/>
          <w:szCs w:val="21"/>
          <w:lang w:eastAsia="zh-CN"/>
        </w:rPr>
        <w:t>所示。</w:t>
      </w:r>
      <w:r>
        <w:rPr>
          <w:rFonts w:hint="eastAsia"/>
          <w:sz w:val="21"/>
          <w:szCs w:val="21"/>
          <w:lang w:eastAsia="zh-CN"/>
        </w:rPr>
        <w:t>遮阳设施按如上控制策略进行控制</w:t>
      </w:r>
      <w:r w:rsidR="00235876">
        <w:rPr>
          <w:rFonts w:hint="eastAsia"/>
          <w:sz w:val="21"/>
          <w:szCs w:val="21"/>
          <w:lang w:eastAsia="zh-CN"/>
        </w:rPr>
        <w:t>，每年可减少</w:t>
      </w:r>
      <w:r w:rsidR="00235876">
        <w:rPr>
          <w:rFonts w:hint="eastAsia"/>
          <w:sz w:val="21"/>
          <w:szCs w:val="21"/>
          <w:lang w:eastAsia="zh-CN"/>
        </w:rPr>
        <w:t>HVAC</w:t>
      </w:r>
      <w:r w:rsidR="00235876">
        <w:rPr>
          <w:rFonts w:hint="eastAsia"/>
          <w:sz w:val="21"/>
          <w:szCs w:val="21"/>
          <w:lang w:eastAsia="zh-CN"/>
        </w:rPr>
        <w:t>系统能耗</w:t>
      </w:r>
      <w:r w:rsidR="00C23165">
        <w:rPr>
          <w:rFonts w:hint="eastAsia"/>
          <w:sz w:val="21"/>
          <w:szCs w:val="21"/>
          <w:lang w:eastAsia="zh-CN"/>
        </w:rPr>
        <w:t>119565.9kWh</w:t>
      </w:r>
      <w:r w:rsidR="00C23165">
        <w:rPr>
          <w:rFonts w:hint="eastAsia"/>
          <w:sz w:val="21"/>
          <w:szCs w:val="21"/>
          <w:lang w:eastAsia="zh-CN"/>
        </w:rPr>
        <w:t>，</w:t>
      </w:r>
      <w:r w:rsidR="00E21451">
        <w:rPr>
          <w:rFonts w:hint="eastAsia"/>
          <w:sz w:val="21"/>
          <w:szCs w:val="21"/>
          <w:lang w:eastAsia="zh-CN"/>
        </w:rPr>
        <w:t>每年可减少碳排放</w:t>
      </w:r>
      <w:r w:rsidR="00E21451">
        <w:rPr>
          <w:rFonts w:hint="eastAsia"/>
          <w:sz w:val="21"/>
          <w:szCs w:val="21"/>
          <w:lang w:eastAsia="zh-CN"/>
        </w:rPr>
        <w:t>70.49tCO</w:t>
      </w:r>
      <w:r w:rsidR="00E21451" w:rsidRPr="0098540F">
        <w:rPr>
          <w:rFonts w:hint="eastAsia"/>
          <w:sz w:val="21"/>
          <w:szCs w:val="21"/>
          <w:vertAlign w:val="subscript"/>
          <w:lang w:eastAsia="zh-CN"/>
        </w:rPr>
        <w:t>2</w:t>
      </w:r>
      <w:r w:rsidR="00703BD5">
        <w:rPr>
          <w:rFonts w:hint="eastAsia"/>
          <w:sz w:val="21"/>
          <w:szCs w:val="21"/>
          <w:lang w:eastAsia="zh-CN"/>
        </w:rPr>
        <w:t>，</w:t>
      </w:r>
      <w:r w:rsidR="00A34423">
        <w:rPr>
          <w:rFonts w:hint="eastAsia"/>
          <w:sz w:val="21"/>
          <w:szCs w:val="21"/>
          <w:lang w:eastAsia="zh-CN"/>
        </w:rPr>
        <w:t>全生命周期内可</w:t>
      </w:r>
      <w:proofErr w:type="gramStart"/>
      <w:r w:rsidR="00A34423">
        <w:rPr>
          <w:rFonts w:hint="eastAsia"/>
          <w:sz w:val="21"/>
          <w:szCs w:val="21"/>
          <w:lang w:eastAsia="zh-CN"/>
        </w:rPr>
        <w:t>减少总碳排放</w:t>
      </w:r>
      <w:proofErr w:type="gramEnd"/>
      <w:r w:rsidR="00A34423">
        <w:rPr>
          <w:rFonts w:hint="eastAsia"/>
          <w:sz w:val="21"/>
          <w:szCs w:val="21"/>
          <w:lang w:eastAsia="zh-CN"/>
        </w:rPr>
        <w:t>1.48%</w:t>
      </w:r>
      <w:r w:rsidR="00A34423">
        <w:rPr>
          <w:rFonts w:hint="eastAsia"/>
          <w:sz w:val="21"/>
          <w:szCs w:val="21"/>
          <w:lang w:eastAsia="zh-CN"/>
        </w:rPr>
        <w:t>。</w:t>
      </w:r>
    </w:p>
    <w:p w:rsidR="00C7261A" w:rsidRDefault="00C7261A" w:rsidP="00C7261A">
      <w:pPr>
        <w:keepNext/>
        <w:spacing w:line="240" w:lineRule="auto"/>
        <w:ind w:right="210"/>
        <w:jc w:val="center"/>
      </w:pPr>
      <w:r>
        <w:rPr>
          <w:noProof/>
          <w:sz w:val="21"/>
          <w:szCs w:val="21"/>
          <w:lang w:eastAsia="zh-CN" w:bidi="ar-SA"/>
        </w:rPr>
        <w:lastRenderedPageBreak/>
        <w:drawing>
          <wp:inline distT="0" distB="0" distL="0" distR="0">
            <wp:extent cx="4000500" cy="3084689"/>
            <wp:effectExtent l="19050" t="0" r="0" b="0"/>
            <wp:docPr id="7" name="图片 6" descr="太阳辐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太阳辐射.jpg"/>
                    <pic:cNvPicPr/>
                  </pic:nvPicPr>
                  <pic:blipFill>
                    <a:blip r:embed="rId9" cstate="print"/>
                    <a:srcRect l="9449" r="6299" b="4374"/>
                    <a:stretch>
                      <a:fillRect/>
                    </a:stretch>
                  </pic:blipFill>
                  <pic:spPr>
                    <a:xfrm>
                      <a:off x="0" y="0"/>
                      <a:ext cx="4000500" cy="3084689"/>
                    </a:xfrm>
                    <a:prstGeom prst="rect">
                      <a:avLst/>
                    </a:prstGeom>
                  </pic:spPr>
                </pic:pic>
              </a:graphicData>
            </a:graphic>
          </wp:inline>
        </w:drawing>
      </w:r>
    </w:p>
    <w:p w:rsidR="00C7261A" w:rsidRPr="00C7261A" w:rsidRDefault="00C7261A" w:rsidP="00C7261A">
      <w:pPr>
        <w:pStyle w:val="a8"/>
        <w:jc w:val="center"/>
        <w:rPr>
          <w:rFonts w:ascii="黑体" w:eastAsia="黑体" w:hAnsi="黑体"/>
          <w:b w:val="0"/>
          <w:color w:val="auto"/>
          <w:sz w:val="21"/>
          <w:szCs w:val="21"/>
          <w:lang w:eastAsia="zh-CN"/>
        </w:rPr>
      </w:pPr>
      <w:r w:rsidRPr="00C7261A">
        <w:rPr>
          <w:rFonts w:ascii="黑体" w:eastAsia="黑体" w:hAnsi="黑体" w:hint="eastAsia"/>
          <w:b w:val="0"/>
          <w:color w:val="auto"/>
          <w:lang w:eastAsia="zh-CN"/>
        </w:rPr>
        <w:t>图x 典型房间设置遮阳设施前后逐日太阳辐射量变化</w:t>
      </w:r>
    </w:p>
    <w:p w:rsidR="00235876" w:rsidRDefault="00235876" w:rsidP="00235876">
      <w:pPr>
        <w:pStyle w:val="a3"/>
        <w:numPr>
          <w:ilvl w:val="0"/>
          <w:numId w:val="3"/>
        </w:numPr>
        <w:spacing w:line="240" w:lineRule="auto"/>
        <w:ind w:right="210"/>
        <w:rPr>
          <w:sz w:val="21"/>
          <w:szCs w:val="21"/>
          <w:lang w:eastAsia="zh-CN"/>
        </w:rPr>
      </w:pPr>
      <w:r>
        <w:rPr>
          <w:rFonts w:hint="eastAsia"/>
          <w:sz w:val="21"/>
          <w:szCs w:val="21"/>
          <w:lang w:eastAsia="zh-CN"/>
        </w:rPr>
        <w:t>自动照明控制</w:t>
      </w:r>
    </w:p>
    <w:p w:rsidR="00830F6C" w:rsidRDefault="00235876" w:rsidP="00FE7C8B">
      <w:pPr>
        <w:spacing w:line="240" w:lineRule="auto"/>
        <w:ind w:left="210" w:right="210"/>
        <w:rPr>
          <w:sz w:val="21"/>
          <w:szCs w:val="21"/>
          <w:lang w:eastAsia="zh-CN"/>
        </w:rPr>
      </w:pPr>
      <w:r w:rsidRPr="000D2EC8">
        <w:rPr>
          <w:rFonts w:hint="eastAsia"/>
          <w:sz w:val="21"/>
          <w:szCs w:val="21"/>
          <w:lang w:eastAsia="zh-CN"/>
        </w:rPr>
        <w:t>根据能耗模拟结果，市政综合体</w:t>
      </w:r>
      <w:r w:rsidR="002A79DD">
        <w:rPr>
          <w:rFonts w:hint="eastAsia"/>
          <w:sz w:val="21"/>
          <w:szCs w:val="21"/>
          <w:lang w:eastAsia="zh-CN"/>
        </w:rPr>
        <w:t>室内</w:t>
      </w:r>
      <w:r w:rsidRPr="000D2EC8">
        <w:rPr>
          <w:rFonts w:hint="eastAsia"/>
          <w:sz w:val="21"/>
          <w:szCs w:val="21"/>
          <w:lang w:eastAsia="zh-CN"/>
        </w:rPr>
        <w:t>照明能耗占</w:t>
      </w:r>
      <w:r w:rsidR="002A79DD">
        <w:rPr>
          <w:rFonts w:hint="eastAsia"/>
          <w:sz w:val="21"/>
          <w:szCs w:val="21"/>
          <w:lang w:eastAsia="zh-CN"/>
        </w:rPr>
        <w:t>运营阶段总</w:t>
      </w:r>
      <w:r w:rsidRPr="000D2EC8">
        <w:rPr>
          <w:rFonts w:hint="eastAsia"/>
          <w:sz w:val="21"/>
          <w:szCs w:val="21"/>
          <w:lang w:eastAsia="zh-CN"/>
        </w:rPr>
        <w:t>能耗的</w:t>
      </w:r>
      <w:r w:rsidRPr="000D2EC8">
        <w:rPr>
          <w:rFonts w:hint="eastAsia"/>
          <w:sz w:val="21"/>
          <w:szCs w:val="21"/>
          <w:lang w:eastAsia="zh-CN"/>
        </w:rPr>
        <w:t>21%</w:t>
      </w:r>
      <w:r w:rsidRPr="000D2EC8">
        <w:rPr>
          <w:rFonts w:hint="eastAsia"/>
          <w:sz w:val="21"/>
          <w:szCs w:val="21"/>
          <w:lang w:eastAsia="zh-CN"/>
        </w:rPr>
        <w:t>，具有很大的</w:t>
      </w:r>
      <w:proofErr w:type="gramStart"/>
      <w:r w:rsidRPr="000D2EC8">
        <w:rPr>
          <w:rFonts w:hint="eastAsia"/>
          <w:sz w:val="21"/>
          <w:szCs w:val="21"/>
          <w:lang w:eastAsia="zh-CN"/>
        </w:rPr>
        <w:t>节能减碳潜力</w:t>
      </w:r>
      <w:proofErr w:type="gramEnd"/>
      <w:r w:rsidRPr="000D2EC8">
        <w:rPr>
          <w:rFonts w:hint="eastAsia"/>
          <w:sz w:val="21"/>
          <w:szCs w:val="21"/>
          <w:lang w:eastAsia="zh-CN"/>
        </w:rPr>
        <w:t>。除设备层面外，降低照明设备能耗的核心是在保证建筑内部光照满足要求的情况下减小照明输出功率与工作时间。根据市政综合体设计方案，</w:t>
      </w:r>
      <w:proofErr w:type="gramStart"/>
      <w:r w:rsidRPr="000D2EC8">
        <w:rPr>
          <w:rFonts w:hint="eastAsia"/>
          <w:sz w:val="21"/>
          <w:szCs w:val="21"/>
          <w:lang w:eastAsia="zh-CN"/>
        </w:rPr>
        <w:t>室内其</w:t>
      </w:r>
      <w:proofErr w:type="gramEnd"/>
      <w:r w:rsidRPr="000D2EC8">
        <w:rPr>
          <w:rFonts w:hint="eastAsia"/>
          <w:sz w:val="21"/>
          <w:szCs w:val="21"/>
          <w:lang w:eastAsia="zh-CN"/>
        </w:rPr>
        <w:t>外墙采用</w:t>
      </w:r>
      <w:proofErr w:type="gramStart"/>
      <w:r w:rsidRPr="000D2EC8">
        <w:rPr>
          <w:rFonts w:hint="eastAsia"/>
          <w:sz w:val="21"/>
          <w:szCs w:val="21"/>
          <w:lang w:eastAsia="zh-CN"/>
        </w:rPr>
        <w:t>玻</w:t>
      </w:r>
      <w:proofErr w:type="gramEnd"/>
      <w:r w:rsidRPr="000D2EC8">
        <w:rPr>
          <w:rFonts w:hint="eastAsia"/>
          <w:sz w:val="21"/>
          <w:szCs w:val="21"/>
          <w:lang w:eastAsia="zh-CN"/>
        </w:rPr>
        <w:t>幕墙的形式，并且对于大进深空间设计有采光天井，这为自然采光创造了良好条件，因此室内照明需求应首先考虑自然照明</w:t>
      </w:r>
      <w:r w:rsidR="00834BA2" w:rsidRPr="000D2EC8">
        <w:rPr>
          <w:rFonts w:hint="eastAsia"/>
          <w:sz w:val="21"/>
          <w:szCs w:val="21"/>
          <w:lang w:eastAsia="zh-CN"/>
        </w:rPr>
        <w:t>，当自然采光无法满足要求时开启人工照明作为补充，并且当室内人员较少或没有人员时应停止人工照明。要实现以上控制策略可采用“人员占用自动开关</w:t>
      </w:r>
      <w:r w:rsidR="00834BA2" w:rsidRPr="000D2EC8">
        <w:rPr>
          <w:rFonts w:hint="eastAsia"/>
          <w:sz w:val="21"/>
          <w:szCs w:val="21"/>
          <w:lang w:eastAsia="zh-CN"/>
        </w:rPr>
        <w:t>+</w:t>
      </w:r>
      <w:r w:rsidR="00834BA2" w:rsidRPr="000D2EC8">
        <w:rPr>
          <w:rFonts w:hint="eastAsia"/>
          <w:sz w:val="21"/>
          <w:szCs w:val="21"/>
          <w:lang w:eastAsia="zh-CN"/>
        </w:rPr>
        <w:t>光电传感器自动调节器”的设备解决方案</w:t>
      </w:r>
      <w:r w:rsidR="00834BA2" w:rsidRPr="000D2EC8">
        <w:rPr>
          <w:rFonts w:hint="eastAsia"/>
          <w:sz w:val="21"/>
          <w:szCs w:val="21"/>
          <w:lang w:eastAsia="zh-CN"/>
        </w:rPr>
        <w:t>[10]</w:t>
      </w:r>
      <w:r w:rsidR="00834BA2" w:rsidRPr="000D2EC8">
        <w:rPr>
          <w:rFonts w:hint="eastAsia"/>
          <w:sz w:val="21"/>
          <w:szCs w:val="21"/>
          <w:lang w:eastAsia="zh-CN"/>
        </w:rPr>
        <w:t>，其中人员占用自动开关可通过红外线感应区域内是否有人员活动，若有人员活动则开启照明电源</w:t>
      </w:r>
      <w:r w:rsidR="006074C5" w:rsidRPr="000D2EC8">
        <w:rPr>
          <w:rFonts w:hint="eastAsia"/>
          <w:sz w:val="21"/>
          <w:szCs w:val="21"/>
          <w:lang w:eastAsia="zh-CN"/>
        </w:rPr>
        <w:t>；光电传感器自动调节器则是通过感应室内光照强度，调整照明设备的输出功率，当自然光照可以满足室内照明需求时则关闭照明设备电源。在模拟时，每个光照控制分区设定为</w:t>
      </w:r>
      <w:r w:rsidR="006074C5" w:rsidRPr="000D2EC8">
        <w:rPr>
          <w:rFonts w:hint="eastAsia"/>
          <w:sz w:val="21"/>
          <w:szCs w:val="21"/>
          <w:lang w:eastAsia="zh-CN"/>
        </w:rPr>
        <w:t>100</w:t>
      </w:r>
      <w:r w:rsidR="006074C5" w:rsidRPr="000D2EC8">
        <w:rPr>
          <w:rFonts w:hint="eastAsia"/>
          <w:sz w:val="21"/>
          <w:szCs w:val="21"/>
          <w:lang w:eastAsia="zh-CN"/>
        </w:rPr>
        <w:t>㎡，安装单独的自动开关及传感器。照明光源采用</w:t>
      </w:r>
      <w:r w:rsidR="006074C5" w:rsidRPr="000D2EC8">
        <w:rPr>
          <w:rFonts w:hint="eastAsia"/>
          <w:sz w:val="21"/>
          <w:szCs w:val="21"/>
          <w:lang w:eastAsia="zh-CN"/>
        </w:rPr>
        <w:t>LED</w:t>
      </w:r>
      <w:r w:rsidR="006074C5" w:rsidRPr="000D2EC8">
        <w:rPr>
          <w:rFonts w:hint="eastAsia"/>
          <w:sz w:val="21"/>
          <w:szCs w:val="21"/>
          <w:lang w:eastAsia="zh-CN"/>
        </w:rPr>
        <w:t>，其名义功率密度设定为</w:t>
      </w:r>
      <w:r w:rsidR="006074C5" w:rsidRPr="000D2EC8">
        <w:rPr>
          <w:rFonts w:hint="eastAsia"/>
          <w:sz w:val="21"/>
          <w:szCs w:val="21"/>
          <w:lang w:eastAsia="zh-CN"/>
        </w:rPr>
        <w:t>2.5W/(</w:t>
      </w:r>
      <w:r w:rsidR="006074C5" w:rsidRPr="000D2EC8">
        <w:rPr>
          <w:rFonts w:hint="eastAsia"/>
          <w:sz w:val="21"/>
          <w:szCs w:val="21"/>
          <w:lang w:eastAsia="zh-CN"/>
        </w:rPr>
        <w:t>㎡·</w:t>
      </w:r>
      <w:r w:rsidR="006074C5" w:rsidRPr="000D2EC8">
        <w:rPr>
          <w:rFonts w:hint="eastAsia"/>
          <w:sz w:val="21"/>
          <w:szCs w:val="21"/>
          <w:lang w:eastAsia="zh-CN"/>
        </w:rPr>
        <w:t>100lux)</w:t>
      </w:r>
      <w:r w:rsidR="006074C5" w:rsidRPr="000D2EC8">
        <w:rPr>
          <w:rFonts w:hint="eastAsia"/>
          <w:sz w:val="21"/>
          <w:szCs w:val="21"/>
          <w:lang w:eastAsia="zh-CN"/>
        </w:rPr>
        <w:t>。根据模拟结果</w:t>
      </w:r>
      <w:r w:rsidR="005C1247" w:rsidRPr="000D2EC8">
        <w:rPr>
          <w:rFonts w:hint="eastAsia"/>
          <w:sz w:val="21"/>
          <w:szCs w:val="21"/>
          <w:lang w:eastAsia="zh-CN"/>
        </w:rPr>
        <w:t>，</w:t>
      </w:r>
      <w:r w:rsidR="00320793">
        <w:rPr>
          <w:rFonts w:hint="eastAsia"/>
          <w:sz w:val="21"/>
          <w:szCs w:val="21"/>
          <w:lang w:eastAsia="zh-CN"/>
        </w:rPr>
        <w:t>北部</w:t>
      </w:r>
      <w:proofErr w:type="gramStart"/>
      <w:r w:rsidR="00320793">
        <w:rPr>
          <w:rFonts w:hint="eastAsia"/>
          <w:sz w:val="21"/>
          <w:szCs w:val="21"/>
          <w:lang w:eastAsia="zh-CN"/>
        </w:rPr>
        <w:t>医养综合</w:t>
      </w:r>
      <w:proofErr w:type="gramEnd"/>
      <w:r w:rsidR="00320793">
        <w:rPr>
          <w:rFonts w:hint="eastAsia"/>
          <w:sz w:val="21"/>
          <w:szCs w:val="21"/>
          <w:lang w:eastAsia="zh-CN"/>
        </w:rPr>
        <w:t>楼二楼南向办公室采用自动照明控制前后的照明设备功率输出情况如图</w:t>
      </w:r>
      <w:r w:rsidR="00320793">
        <w:rPr>
          <w:rFonts w:hint="eastAsia"/>
          <w:sz w:val="21"/>
          <w:szCs w:val="21"/>
          <w:lang w:eastAsia="zh-CN"/>
        </w:rPr>
        <w:t>x</w:t>
      </w:r>
      <w:r w:rsidR="00320793">
        <w:rPr>
          <w:rFonts w:hint="eastAsia"/>
          <w:sz w:val="21"/>
          <w:szCs w:val="21"/>
          <w:lang w:eastAsia="zh-CN"/>
        </w:rPr>
        <w:t>与图</w:t>
      </w:r>
      <w:r w:rsidR="00320793">
        <w:rPr>
          <w:rFonts w:hint="eastAsia"/>
          <w:sz w:val="21"/>
          <w:szCs w:val="21"/>
          <w:lang w:eastAsia="zh-CN"/>
        </w:rPr>
        <w:t>x</w:t>
      </w:r>
      <w:r w:rsidR="00320793">
        <w:rPr>
          <w:rFonts w:hint="eastAsia"/>
          <w:sz w:val="21"/>
          <w:szCs w:val="21"/>
          <w:lang w:eastAsia="zh-CN"/>
        </w:rPr>
        <w:t>所示。对于市政综合体，</w:t>
      </w:r>
      <w:r w:rsidR="005C1247" w:rsidRPr="000D2EC8">
        <w:rPr>
          <w:rFonts w:hint="eastAsia"/>
          <w:sz w:val="21"/>
          <w:szCs w:val="21"/>
          <w:lang w:eastAsia="zh-CN"/>
        </w:rPr>
        <w:t>使用照明自动控制时可减少照明设备能耗</w:t>
      </w:r>
      <w:r w:rsidR="005C1247" w:rsidRPr="000D2EC8">
        <w:rPr>
          <w:rFonts w:hint="eastAsia"/>
          <w:sz w:val="21"/>
          <w:szCs w:val="21"/>
          <w:lang w:eastAsia="zh-CN"/>
        </w:rPr>
        <w:t>46.3%</w:t>
      </w:r>
      <w:r w:rsidR="005C1247" w:rsidRPr="000D2EC8">
        <w:rPr>
          <w:rFonts w:hint="eastAsia"/>
          <w:sz w:val="21"/>
          <w:szCs w:val="21"/>
          <w:lang w:eastAsia="zh-CN"/>
        </w:rPr>
        <w:t>，</w:t>
      </w:r>
      <w:r w:rsidR="000D2EC8" w:rsidRPr="000D2EC8">
        <w:rPr>
          <w:rFonts w:hint="eastAsia"/>
          <w:sz w:val="21"/>
          <w:szCs w:val="21"/>
          <w:lang w:eastAsia="zh-CN"/>
        </w:rPr>
        <w:t>每年可节省电能消耗</w:t>
      </w:r>
      <w:r w:rsidR="000D2EC8" w:rsidRPr="000D2EC8">
        <w:rPr>
          <w:rFonts w:hint="eastAsia"/>
          <w:sz w:val="21"/>
          <w:szCs w:val="21"/>
          <w:lang w:eastAsia="zh-CN"/>
        </w:rPr>
        <w:t>691234.71kWh</w:t>
      </w:r>
      <w:r w:rsidR="000D2EC8" w:rsidRPr="000D2EC8">
        <w:rPr>
          <w:rFonts w:hint="eastAsia"/>
          <w:sz w:val="21"/>
          <w:szCs w:val="21"/>
          <w:lang w:eastAsia="zh-CN"/>
        </w:rPr>
        <w:t>，等效减少碳排放</w:t>
      </w:r>
      <w:r w:rsidR="000D2EC8" w:rsidRPr="000D2EC8">
        <w:rPr>
          <w:rFonts w:hint="eastAsia"/>
          <w:sz w:val="21"/>
          <w:szCs w:val="21"/>
          <w:lang w:eastAsia="zh-CN"/>
        </w:rPr>
        <w:t>407.52 tCO</w:t>
      </w:r>
      <w:r w:rsidR="000D2EC8" w:rsidRPr="000D2EC8">
        <w:rPr>
          <w:rFonts w:hint="eastAsia"/>
          <w:sz w:val="21"/>
          <w:szCs w:val="21"/>
          <w:vertAlign w:val="subscript"/>
          <w:lang w:eastAsia="zh-CN"/>
        </w:rPr>
        <w:t>2</w:t>
      </w:r>
      <w:r w:rsidR="000D2EC8" w:rsidRPr="000D2EC8">
        <w:rPr>
          <w:rFonts w:hint="eastAsia"/>
          <w:sz w:val="21"/>
          <w:szCs w:val="21"/>
          <w:lang w:eastAsia="zh-CN"/>
        </w:rPr>
        <w:t>，在生命周期可实现减少碳排放</w:t>
      </w:r>
      <w:r w:rsidR="000D2EC8" w:rsidRPr="000D2EC8">
        <w:rPr>
          <w:rFonts w:hint="eastAsia"/>
          <w:sz w:val="21"/>
          <w:szCs w:val="21"/>
          <w:lang w:eastAsia="zh-CN"/>
        </w:rPr>
        <w:t>8.6%</w:t>
      </w:r>
      <w:r w:rsidR="000D2EC8" w:rsidRPr="000D2EC8">
        <w:rPr>
          <w:rFonts w:hint="eastAsia"/>
          <w:sz w:val="21"/>
          <w:szCs w:val="21"/>
          <w:lang w:eastAsia="zh-CN"/>
        </w:rPr>
        <w:t>。</w:t>
      </w:r>
    </w:p>
    <w:p w:rsidR="00320793" w:rsidRDefault="00320793" w:rsidP="00320793">
      <w:pPr>
        <w:keepNext/>
        <w:spacing w:line="240" w:lineRule="auto"/>
        <w:ind w:left="210" w:right="210"/>
        <w:jc w:val="center"/>
      </w:pPr>
      <w:r>
        <w:rPr>
          <w:noProof/>
          <w:sz w:val="21"/>
          <w:szCs w:val="21"/>
          <w:lang w:eastAsia="zh-CN" w:bidi="ar-SA"/>
        </w:rPr>
        <w:lastRenderedPageBreak/>
        <w:drawing>
          <wp:inline distT="0" distB="0" distL="0" distR="0">
            <wp:extent cx="3294704" cy="2560320"/>
            <wp:effectExtent l="19050" t="0" r="946" b="0"/>
            <wp:docPr id="9" name="图片 8" descr="未优化照明能耗.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优化照明能耗.jpg"/>
                    <pic:cNvPicPr/>
                  </pic:nvPicPr>
                  <pic:blipFill>
                    <a:blip r:embed="rId10" cstate="print"/>
                    <a:srcRect l="9449" t="4374" r="7874" b="6562"/>
                    <a:stretch>
                      <a:fillRect/>
                    </a:stretch>
                  </pic:blipFill>
                  <pic:spPr>
                    <a:xfrm>
                      <a:off x="0" y="0"/>
                      <a:ext cx="3295268" cy="2560758"/>
                    </a:xfrm>
                    <a:prstGeom prst="rect">
                      <a:avLst/>
                    </a:prstGeom>
                  </pic:spPr>
                </pic:pic>
              </a:graphicData>
            </a:graphic>
          </wp:inline>
        </w:drawing>
      </w:r>
    </w:p>
    <w:p w:rsidR="00320793" w:rsidRPr="00320793" w:rsidRDefault="00320793" w:rsidP="00320793">
      <w:pPr>
        <w:pStyle w:val="a8"/>
        <w:jc w:val="center"/>
        <w:rPr>
          <w:rFonts w:ascii="黑体" w:eastAsia="黑体" w:hAnsi="黑体"/>
          <w:b w:val="0"/>
          <w:color w:val="auto"/>
          <w:sz w:val="21"/>
          <w:szCs w:val="21"/>
          <w:lang w:eastAsia="zh-CN"/>
        </w:rPr>
      </w:pPr>
      <w:r w:rsidRPr="00320793">
        <w:rPr>
          <w:rFonts w:ascii="黑体" w:eastAsia="黑体" w:hAnsi="黑体" w:hint="eastAsia"/>
          <w:b w:val="0"/>
          <w:color w:val="auto"/>
          <w:lang w:eastAsia="zh-CN"/>
        </w:rPr>
        <w:t>图x 使用照明自动控制前照明设备输出功率</w:t>
      </w:r>
    </w:p>
    <w:p w:rsidR="00320793" w:rsidRDefault="00320793" w:rsidP="00320793">
      <w:pPr>
        <w:pStyle w:val="a8"/>
        <w:jc w:val="center"/>
        <w:rPr>
          <w:rFonts w:ascii="黑体" w:eastAsia="黑体" w:hAnsi="黑体"/>
          <w:b w:val="0"/>
          <w:color w:val="auto"/>
          <w:lang w:eastAsia="zh-CN"/>
        </w:rPr>
      </w:pPr>
      <w:r>
        <w:rPr>
          <w:noProof/>
          <w:sz w:val="21"/>
          <w:szCs w:val="21"/>
          <w:lang w:eastAsia="zh-CN" w:bidi="ar-SA"/>
        </w:rPr>
        <w:drawing>
          <wp:inline distT="0" distB="0" distL="0" distR="0">
            <wp:extent cx="3479524" cy="2702369"/>
            <wp:effectExtent l="19050" t="0" r="6626" b="0"/>
            <wp:docPr id="10" name="图片 9" descr="线性控制照明功率.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线性控制照明功率.jpg"/>
                    <pic:cNvPicPr/>
                  </pic:nvPicPr>
                  <pic:blipFill>
                    <a:blip r:embed="rId11" cstate="print"/>
                    <a:srcRect l="9449" t="4374" r="7874" b="6562"/>
                    <a:stretch>
                      <a:fillRect/>
                    </a:stretch>
                  </pic:blipFill>
                  <pic:spPr>
                    <a:xfrm>
                      <a:off x="0" y="0"/>
                      <a:ext cx="3482852" cy="2704954"/>
                    </a:xfrm>
                    <a:prstGeom prst="rect">
                      <a:avLst/>
                    </a:prstGeom>
                  </pic:spPr>
                </pic:pic>
              </a:graphicData>
            </a:graphic>
          </wp:inline>
        </w:drawing>
      </w:r>
    </w:p>
    <w:p w:rsidR="00320793" w:rsidRPr="00320793" w:rsidRDefault="00320793" w:rsidP="00320793">
      <w:pPr>
        <w:pStyle w:val="a8"/>
        <w:jc w:val="center"/>
        <w:rPr>
          <w:rFonts w:ascii="黑体" w:eastAsia="黑体" w:hAnsi="黑体"/>
          <w:b w:val="0"/>
          <w:color w:val="auto"/>
          <w:sz w:val="21"/>
          <w:szCs w:val="21"/>
          <w:lang w:eastAsia="zh-CN"/>
        </w:rPr>
      </w:pPr>
      <w:r w:rsidRPr="00320793">
        <w:rPr>
          <w:rFonts w:ascii="黑体" w:eastAsia="黑体" w:hAnsi="黑体" w:hint="eastAsia"/>
          <w:b w:val="0"/>
          <w:color w:val="auto"/>
          <w:lang w:eastAsia="zh-CN"/>
        </w:rPr>
        <w:t>图x 使用照明自动控制前照明设备输出功率</w:t>
      </w:r>
    </w:p>
    <w:p w:rsidR="000D2EC8" w:rsidRDefault="000D2EC8" w:rsidP="000D2EC8">
      <w:pPr>
        <w:pStyle w:val="a3"/>
        <w:numPr>
          <w:ilvl w:val="0"/>
          <w:numId w:val="3"/>
        </w:numPr>
        <w:spacing w:line="240" w:lineRule="auto"/>
        <w:ind w:right="210"/>
        <w:rPr>
          <w:sz w:val="21"/>
          <w:szCs w:val="21"/>
          <w:lang w:eastAsia="zh-CN"/>
        </w:rPr>
      </w:pPr>
      <w:r>
        <w:rPr>
          <w:rFonts w:hint="eastAsia"/>
          <w:sz w:val="21"/>
          <w:szCs w:val="21"/>
          <w:lang w:eastAsia="zh-CN"/>
        </w:rPr>
        <w:t>室内设备节能</w:t>
      </w:r>
    </w:p>
    <w:p w:rsidR="000D2EC8" w:rsidRDefault="002A79DD" w:rsidP="000D2EC8">
      <w:pPr>
        <w:spacing w:line="240" w:lineRule="auto"/>
        <w:ind w:left="210" w:right="210"/>
        <w:rPr>
          <w:sz w:val="21"/>
          <w:szCs w:val="21"/>
          <w:lang w:eastAsia="zh-CN"/>
        </w:rPr>
      </w:pPr>
      <w:r>
        <w:rPr>
          <w:sz w:val="21"/>
          <w:szCs w:val="21"/>
          <w:lang w:eastAsia="zh-CN"/>
        </w:rPr>
        <w:t>据能耗模拟结果</w:t>
      </w:r>
      <w:r>
        <w:rPr>
          <w:rFonts w:hint="eastAsia"/>
          <w:sz w:val="21"/>
          <w:szCs w:val="21"/>
          <w:lang w:eastAsia="zh-CN"/>
        </w:rPr>
        <w:t>，</w:t>
      </w:r>
      <w:r>
        <w:rPr>
          <w:sz w:val="21"/>
          <w:szCs w:val="21"/>
          <w:lang w:eastAsia="zh-CN"/>
        </w:rPr>
        <w:t>市政综合体设备能耗占运营阶段总能耗的</w:t>
      </w:r>
      <w:r>
        <w:rPr>
          <w:rFonts w:hint="eastAsia"/>
          <w:sz w:val="21"/>
          <w:szCs w:val="21"/>
          <w:lang w:eastAsia="zh-CN"/>
        </w:rPr>
        <w:t>33%</w:t>
      </w:r>
      <w:r>
        <w:rPr>
          <w:rFonts w:hint="eastAsia"/>
          <w:sz w:val="21"/>
          <w:szCs w:val="21"/>
          <w:lang w:eastAsia="zh-CN"/>
        </w:rPr>
        <w:t>，是仅次于</w:t>
      </w:r>
      <w:r>
        <w:rPr>
          <w:rFonts w:hint="eastAsia"/>
          <w:sz w:val="21"/>
          <w:szCs w:val="21"/>
          <w:lang w:eastAsia="zh-CN"/>
        </w:rPr>
        <w:t>HVAC</w:t>
      </w:r>
      <w:r>
        <w:rPr>
          <w:rFonts w:hint="eastAsia"/>
          <w:sz w:val="21"/>
          <w:szCs w:val="21"/>
          <w:lang w:eastAsia="zh-CN"/>
        </w:rPr>
        <w:t>系统的第二大能源消耗者，因此对设备能耗进行优化是实现运营</w:t>
      </w:r>
      <w:proofErr w:type="gramStart"/>
      <w:r>
        <w:rPr>
          <w:rFonts w:hint="eastAsia"/>
          <w:sz w:val="21"/>
          <w:szCs w:val="21"/>
          <w:lang w:eastAsia="zh-CN"/>
        </w:rPr>
        <w:t>阶段碳减排</w:t>
      </w:r>
      <w:proofErr w:type="gramEnd"/>
      <w:r>
        <w:rPr>
          <w:rFonts w:hint="eastAsia"/>
          <w:sz w:val="21"/>
          <w:szCs w:val="21"/>
          <w:lang w:eastAsia="zh-CN"/>
        </w:rPr>
        <w:t>的重要措施。</w:t>
      </w:r>
      <w:r w:rsidR="00252CF7">
        <w:rPr>
          <w:rFonts w:hint="eastAsia"/>
          <w:sz w:val="21"/>
          <w:szCs w:val="21"/>
          <w:lang w:eastAsia="zh-CN"/>
        </w:rPr>
        <w:t>首先对市政综合体设备的能耗分布情况进行分析，各功能设备所占能耗比例如图</w:t>
      </w:r>
      <w:r w:rsidR="00252CF7">
        <w:rPr>
          <w:rFonts w:hint="eastAsia"/>
          <w:sz w:val="21"/>
          <w:szCs w:val="21"/>
          <w:lang w:eastAsia="zh-CN"/>
        </w:rPr>
        <w:t>x</w:t>
      </w:r>
      <w:r w:rsidR="00252CF7">
        <w:rPr>
          <w:rFonts w:hint="eastAsia"/>
          <w:sz w:val="21"/>
          <w:szCs w:val="21"/>
          <w:lang w:eastAsia="zh-CN"/>
        </w:rPr>
        <w:t>。</w:t>
      </w:r>
    </w:p>
    <w:p w:rsidR="00252CF7" w:rsidRDefault="00C7261A" w:rsidP="0075743A">
      <w:pPr>
        <w:spacing w:line="240" w:lineRule="auto"/>
        <w:ind w:left="210" w:right="210"/>
        <w:jc w:val="center"/>
        <w:rPr>
          <w:sz w:val="21"/>
          <w:szCs w:val="21"/>
          <w:lang w:eastAsia="zh-CN"/>
        </w:rPr>
      </w:pPr>
      <w:r>
        <w:rPr>
          <w:noProof/>
          <w:sz w:val="21"/>
          <w:szCs w:val="21"/>
          <w:lang w:eastAsia="zh-CN" w:bidi="ar-SA"/>
        </w:rPr>
        <w:lastRenderedPageBreak/>
        <w:drawing>
          <wp:inline distT="0" distB="0" distL="0" distR="0">
            <wp:extent cx="5031074" cy="2538880"/>
            <wp:effectExtent l="19050" t="0" r="0" b="0"/>
            <wp:docPr id="8" name="图片 7" descr="设备耗能分布.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设备耗能分布.jpg"/>
                    <pic:cNvPicPr/>
                  </pic:nvPicPr>
                  <pic:blipFill>
                    <a:blip r:embed="rId12" cstate="print"/>
                    <a:srcRect t="14288" b="14288"/>
                    <a:stretch>
                      <a:fillRect/>
                    </a:stretch>
                  </pic:blipFill>
                  <pic:spPr>
                    <a:xfrm>
                      <a:off x="0" y="0"/>
                      <a:ext cx="5032921" cy="2539812"/>
                    </a:xfrm>
                    <a:prstGeom prst="rect">
                      <a:avLst/>
                    </a:prstGeom>
                  </pic:spPr>
                </pic:pic>
              </a:graphicData>
            </a:graphic>
          </wp:inline>
        </w:drawing>
      </w:r>
    </w:p>
    <w:p w:rsidR="0075743A" w:rsidRDefault="0075743A" w:rsidP="0075743A">
      <w:pPr>
        <w:spacing w:line="240" w:lineRule="auto"/>
        <w:ind w:left="210" w:right="210"/>
        <w:jc w:val="center"/>
        <w:rPr>
          <w:sz w:val="21"/>
          <w:szCs w:val="21"/>
          <w:lang w:eastAsia="zh-CN"/>
        </w:rPr>
      </w:pPr>
      <w:r>
        <w:rPr>
          <w:rFonts w:hint="eastAsia"/>
          <w:sz w:val="21"/>
          <w:szCs w:val="21"/>
          <w:lang w:eastAsia="zh-CN"/>
        </w:rPr>
        <w:t>图</w:t>
      </w:r>
      <w:r>
        <w:rPr>
          <w:rFonts w:hint="eastAsia"/>
          <w:sz w:val="21"/>
          <w:szCs w:val="21"/>
          <w:lang w:eastAsia="zh-CN"/>
        </w:rPr>
        <w:t xml:space="preserve">x </w:t>
      </w:r>
      <w:r>
        <w:rPr>
          <w:rFonts w:hint="eastAsia"/>
          <w:sz w:val="21"/>
          <w:szCs w:val="21"/>
          <w:lang w:eastAsia="zh-CN"/>
        </w:rPr>
        <w:t>市政综合体运营阶段设备能耗分布</w:t>
      </w:r>
    </w:p>
    <w:p w:rsidR="0075743A" w:rsidRDefault="0075743A" w:rsidP="0075743A">
      <w:pPr>
        <w:spacing w:line="240" w:lineRule="auto"/>
        <w:ind w:left="210" w:right="210"/>
        <w:rPr>
          <w:sz w:val="21"/>
          <w:szCs w:val="21"/>
          <w:lang w:eastAsia="zh-CN"/>
        </w:rPr>
      </w:pPr>
      <w:r>
        <w:rPr>
          <w:rFonts w:hint="eastAsia"/>
          <w:sz w:val="21"/>
          <w:szCs w:val="21"/>
          <w:lang w:eastAsia="zh-CN"/>
        </w:rPr>
        <w:t>在设备能耗中，弱电系统的能耗占比最大，此部分能耗主要由室内的办公、展示等设备引起</w:t>
      </w:r>
      <w:r w:rsidR="00727951">
        <w:rPr>
          <w:rFonts w:hint="eastAsia"/>
          <w:sz w:val="21"/>
          <w:szCs w:val="21"/>
          <w:lang w:eastAsia="zh-CN"/>
        </w:rPr>
        <w:t>，与建筑基础功能的实现息息相关；餐饮部分</w:t>
      </w:r>
      <w:proofErr w:type="gramStart"/>
      <w:r w:rsidR="00727951">
        <w:rPr>
          <w:rFonts w:hint="eastAsia"/>
          <w:sz w:val="21"/>
          <w:szCs w:val="21"/>
          <w:lang w:eastAsia="zh-CN"/>
        </w:rPr>
        <w:t>耗能占</w:t>
      </w:r>
      <w:proofErr w:type="gramEnd"/>
      <w:r w:rsidR="00727951">
        <w:rPr>
          <w:rFonts w:hint="eastAsia"/>
          <w:sz w:val="21"/>
          <w:szCs w:val="21"/>
          <w:lang w:eastAsia="zh-CN"/>
        </w:rPr>
        <w:t>比位居第二，其主要由厨房烹饪活动带来，其消耗的主要能源类型为天然气，使用区域与时间较为集中；电梯系统的能耗亦占有相当的比例，按照规划，市政综合体共</w:t>
      </w:r>
      <w:proofErr w:type="gramStart"/>
      <w:r w:rsidR="00727951">
        <w:rPr>
          <w:rFonts w:hint="eastAsia"/>
          <w:sz w:val="21"/>
          <w:szCs w:val="21"/>
          <w:lang w:eastAsia="zh-CN"/>
        </w:rPr>
        <w:t>设置直梯</w:t>
      </w:r>
      <w:r w:rsidR="00727951">
        <w:rPr>
          <w:rFonts w:hint="eastAsia"/>
          <w:sz w:val="21"/>
          <w:szCs w:val="21"/>
          <w:lang w:eastAsia="zh-CN"/>
        </w:rPr>
        <w:t>17</w:t>
      </w:r>
      <w:r w:rsidR="00727951">
        <w:rPr>
          <w:rFonts w:hint="eastAsia"/>
          <w:sz w:val="21"/>
          <w:szCs w:val="21"/>
          <w:lang w:eastAsia="zh-CN"/>
        </w:rPr>
        <w:t>部</w:t>
      </w:r>
      <w:proofErr w:type="gramEnd"/>
      <w:r w:rsidR="00727951">
        <w:rPr>
          <w:rFonts w:hint="eastAsia"/>
          <w:sz w:val="21"/>
          <w:szCs w:val="21"/>
          <w:lang w:eastAsia="zh-CN"/>
        </w:rPr>
        <w:t>，扶梯</w:t>
      </w:r>
      <w:r w:rsidR="00727951">
        <w:rPr>
          <w:rFonts w:hint="eastAsia"/>
          <w:sz w:val="21"/>
          <w:szCs w:val="21"/>
          <w:lang w:eastAsia="zh-CN"/>
        </w:rPr>
        <w:t>4</w:t>
      </w:r>
      <w:r w:rsidR="00727951">
        <w:rPr>
          <w:rFonts w:hint="eastAsia"/>
          <w:sz w:val="21"/>
          <w:szCs w:val="21"/>
          <w:lang w:eastAsia="zh-CN"/>
        </w:rPr>
        <w:t>部，其多位于办公区域以及商业区域，具有使用频率高，使用时间长的特点；物业及给排水设备能耗</w:t>
      </w:r>
      <w:proofErr w:type="gramStart"/>
      <w:r w:rsidR="00EF53DB">
        <w:rPr>
          <w:rFonts w:hint="eastAsia"/>
          <w:sz w:val="21"/>
          <w:szCs w:val="21"/>
          <w:lang w:eastAsia="zh-CN"/>
        </w:rPr>
        <w:t>占比较</w:t>
      </w:r>
      <w:proofErr w:type="gramEnd"/>
      <w:r w:rsidR="00EF53DB">
        <w:rPr>
          <w:rFonts w:hint="eastAsia"/>
          <w:sz w:val="21"/>
          <w:szCs w:val="21"/>
          <w:lang w:eastAsia="zh-CN"/>
        </w:rPr>
        <w:t>小且优化空间较小，故不在此讨论。</w:t>
      </w:r>
    </w:p>
    <w:p w:rsidR="00EF53DB" w:rsidRDefault="00EF53DB" w:rsidP="0075743A">
      <w:pPr>
        <w:spacing w:line="240" w:lineRule="auto"/>
        <w:ind w:left="210" w:right="210"/>
        <w:rPr>
          <w:sz w:val="21"/>
          <w:szCs w:val="21"/>
          <w:lang w:eastAsia="zh-CN"/>
        </w:rPr>
      </w:pPr>
      <w:r>
        <w:rPr>
          <w:rFonts w:hint="eastAsia"/>
          <w:sz w:val="21"/>
          <w:szCs w:val="21"/>
          <w:lang w:eastAsia="zh-CN"/>
        </w:rPr>
        <w:t>针对上述各设备的能耗特点，可以提出以下的</w:t>
      </w:r>
      <w:proofErr w:type="gramStart"/>
      <w:r>
        <w:rPr>
          <w:rFonts w:hint="eastAsia"/>
          <w:sz w:val="21"/>
          <w:szCs w:val="21"/>
          <w:lang w:eastAsia="zh-CN"/>
        </w:rPr>
        <w:t>节能减碳路径</w:t>
      </w:r>
      <w:proofErr w:type="gramEnd"/>
      <w:r>
        <w:rPr>
          <w:rFonts w:hint="eastAsia"/>
          <w:sz w:val="21"/>
          <w:szCs w:val="21"/>
          <w:lang w:eastAsia="zh-CN"/>
        </w:rPr>
        <w:t>：</w:t>
      </w:r>
    </w:p>
    <w:p w:rsidR="00EF53DB" w:rsidRDefault="00EF53DB" w:rsidP="00EF53DB">
      <w:pPr>
        <w:pStyle w:val="a3"/>
        <w:numPr>
          <w:ilvl w:val="0"/>
          <w:numId w:val="10"/>
        </w:numPr>
        <w:spacing w:line="240" w:lineRule="auto"/>
        <w:ind w:right="210"/>
        <w:rPr>
          <w:sz w:val="21"/>
          <w:szCs w:val="21"/>
          <w:lang w:eastAsia="zh-CN"/>
        </w:rPr>
      </w:pPr>
      <w:r>
        <w:rPr>
          <w:rFonts w:hint="eastAsia"/>
          <w:sz w:val="21"/>
          <w:szCs w:val="21"/>
          <w:lang w:eastAsia="zh-CN"/>
        </w:rPr>
        <w:t>提升办公设备能效</w:t>
      </w:r>
    </w:p>
    <w:p w:rsidR="00EF53DB" w:rsidRPr="00BB6CA7" w:rsidRDefault="005612A3" w:rsidP="00EF53DB">
      <w:pPr>
        <w:pStyle w:val="a3"/>
        <w:spacing w:line="240" w:lineRule="auto"/>
        <w:ind w:left="570" w:right="210"/>
        <w:rPr>
          <w:sz w:val="21"/>
          <w:szCs w:val="21"/>
          <w:lang w:eastAsia="zh-CN"/>
        </w:rPr>
      </w:pPr>
      <w:r>
        <w:rPr>
          <w:sz w:val="21"/>
          <w:szCs w:val="21"/>
          <w:lang w:eastAsia="zh-CN"/>
        </w:rPr>
        <w:t>办公设备是弱电系统耗能的最主要来源</w:t>
      </w:r>
      <w:r>
        <w:rPr>
          <w:rFonts w:hint="eastAsia"/>
          <w:sz w:val="21"/>
          <w:szCs w:val="21"/>
          <w:lang w:eastAsia="zh-CN"/>
        </w:rPr>
        <w:t>，</w:t>
      </w:r>
      <w:r>
        <w:rPr>
          <w:sz w:val="21"/>
          <w:szCs w:val="21"/>
          <w:lang w:eastAsia="zh-CN"/>
        </w:rPr>
        <w:t>其主要有电脑</w:t>
      </w:r>
      <w:r>
        <w:rPr>
          <w:rFonts w:hint="eastAsia"/>
          <w:sz w:val="21"/>
          <w:szCs w:val="21"/>
          <w:lang w:eastAsia="zh-CN"/>
        </w:rPr>
        <w:t>、</w:t>
      </w:r>
      <w:r>
        <w:rPr>
          <w:sz w:val="21"/>
          <w:szCs w:val="21"/>
          <w:lang w:eastAsia="zh-CN"/>
        </w:rPr>
        <w:t>打印机等设备组成</w:t>
      </w:r>
      <w:r>
        <w:rPr>
          <w:rFonts w:hint="eastAsia"/>
          <w:sz w:val="21"/>
          <w:szCs w:val="21"/>
          <w:lang w:eastAsia="zh-CN"/>
        </w:rPr>
        <w:t>。</w:t>
      </w:r>
      <w:r>
        <w:rPr>
          <w:sz w:val="21"/>
          <w:szCs w:val="21"/>
          <w:lang w:eastAsia="zh-CN"/>
        </w:rPr>
        <w:t>设备能效是衡量其能源利用率的重要指标</w:t>
      </w:r>
      <w:r>
        <w:rPr>
          <w:rFonts w:hint="eastAsia"/>
          <w:sz w:val="21"/>
          <w:szCs w:val="21"/>
          <w:lang w:eastAsia="zh-CN"/>
        </w:rPr>
        <w:t>，</w:t>
      </w:r>
      <w:proofErr w:type="gramStart"/>
      <w:r>
        <w:rPr>
          <w:sz w:val="21"/>
          <w:szCs w:val="21"/>
          <w:lang w:eastAsia="zh-CN"/>
        </w:rPr>
        <w:t>能效越</w:t>
      </w:r>
      <w:proofErr w:type="gramEnd"/>
      <w:r>
        <w:rPr>
          <w:sz w:val="21"/>
          <w:szCs w:val="21"/>
          <w:lang w:eastAsia="zh-CN"/>
        </w:rPr>
        <w:t>高在完成相同的任务下所消耗的能源越少</w:t>
      </w:r>
      <w:r>
        <w:rPr>
          <w:rFonts w:hint="eastAsia"/>
          <w:sz w:val="21"/>
          <w:szCs w:val="21"/>
          <w:lang w:eastAsia="zh-CN"/>
        </w:rPr>
        <w:t>，</w:t>
      </w:r>
      <w:r>
        <w:rPr>
          <w:sz w:val="21"/>
          <w:szCs w:val="21"/>
          <w:lang w:eastAsia="zh-CN"/>
        </w:rPr>
        <w:t>因此要达到</w:t>
      </w:r>
      <w:proofErr w:type="gramStart"/>
      <w:r>
        <w:rPr>
          <w:sz w:val="21"/>
          <w:szCs w:val="21"/>
          <w:lang w:eastAsia="zh-CN"/>
        </w:rPr>
        <w:t>节能减碳的</w:t>
      </w:r>
      <w:proofErr w:type="gramEnd"/>
      <w:r>
        <w:rPr>
          <w:sz w:val="21"/>
          <w:szCs w:val="21"/>
          <w:lang w:eastAsia="zh-CN"/>
        </w:rPr>
        <w:t>效果就要在设备采购时尽可能选择高能耗产品</w:t>
      </w:r>
      <w:r>
        <w:rPr>
          <w:rFonts w:hint="eastAsia"/>
          <w:sz w:val="21"/>
          <w:szCs w:val="21"/>
          <w:lang w:eastAsia="zh-CN"/>
        </w:rPr>
        <w:t>，</w:t>
      </w:r>
      <w:r>
        <w:rPr>
          <w:sz w:val="21"/>
          <w:szCs w:val="21"/>
          <w:lang w:eastAsia="zh-CN"/>
        </w:rPr>
        <w:t>比如采购时</w:t>
      </w:r>
      <w:r w:rsidR="00057002">
        <w:rPr>
          <w:sz w:val="21"/>
          <w:szCs w:val="21"/>
          <w:lang w:eastAsia="zh-CN"/>
        </w:rPr>
        <w:t>选购带有</w:t>
      </w:r>
      <w:r w:rsidR="00057002">
        <w:rPr>
          <w:rFonts w:hint="eastAsia"/>
          <w:sz w:val="21"/>
          <w:szCs w:val="21"/>
          <w:lang w:eastAsia="zh-CN"/>
        </w:rPr>
        <w:t>“一级能效”或“能源之星</w:t>
      </w:r>
      <w:r w:rsidR="00057002">
        <w:rPr>
          <w:rFonts w:hint="eastAsia"/>
          <w:sz w:val="21"/>
          <w:szCs w:val="21"/>
          <w:lang w:eastAsia="zh-CN"/>
        </w:rPr>
        <w:t>(Energy Star)</w:t>
      </w:r>
      <w:r w:rsidR="00057002">
        <w:rPr>
          <w:rFonts w:hint="eastAsia"/>
          <w:sz w:val="21"/>
          <w:szCs w:val="21"/>
          <w:lang w:eastAsia="zh-CN"/>
        </w:rPr>
        <w:t>”等标识的设备，根据研究</w:t>
      </w:r>
      <w:r w:rsidR="00057002">
        <w:rPr>
          <w:rFonts w:hint="eastAsia"/>
          <w:sz w:val="21"/>
          <w:szCs w:val="21"/>
          <w:lang w:eastAsia="zh-CN"/>
        </w:rPr>
        <w:t>[11]</w:t>
      </w:r>
      <w:r w:rsidR="00057002">
        <w:rPr>
          <w:rFonts w:hint="eastAsia"/>
          <w:sz w:val="21"/>
          <w:szCs w:val="21"/>
          <w:lang w:eastAsia="zh-CN"/>
        </w:rPr>
        <w:t>此种设备在运行时的能耗较未标示或低能效产品可降低约</w:t>
      </w:r>
      <w:r w:rsidR="00057002">
        <w:rPr>
          <w:rFonts w:hint="eastAsia"/>
          <w:sz w:val="21"/>
          <w:szCs w:val="21"/>
          <w:lang w:eastAsia="zh-CN"/>
        </w:rPr>
        <w:t>24%</w:t>
      </w:r>
      <w:r w:rsidR="00057002">
        <w:rPr>
          <w:rFonts w:hint="eastAsia"/>
          <w:sz w:val="21"/>
          <w:szCs w:val="21"/>
          <w:lang w:eastAsia="zh-CN"/>
        </w:rPr>
        <w:t>，节能效果明显。</w:t>
      </w:r>
      <w:r w:rsidR="00BB6CA7">
        <w:rPr>
          <w:rFonts w:hint="eastAsia"/>
          <w:sz w:val="21"/>
          <w:szCs w:val="21"/>
          <w:lang w:eastAsia="zh-CN"/>
        </w:rPr>
        <w:t>若市政综合体办公设备均采用上述具有高能效认证的产品，则每年可节约电能</w:t>
      </w:r>
      <w:r w:rsidR="00BB6CA7">
        <w:rPr>
          <w:rFonts w:hint="eastAsia"/>
          <w:sz w:val="21"/>
          <w:szCs w:val="21"/>
          <w:lang w:eastAsia="zh-CN"/>
        </w:rPr>
        <w:t>215809kWh</w:t>
      </w:r>
      <w:r w:rsidR="00BB6CA7">
        <w:rPr>
          <w:rFonts w:hint="eastAsia"/>
          <w:sz w:val="21"/>
          <w:szCs w:val="21"/>
          <w:lang w:eastAsia="zh-CN"/>
        </w:rPr>
        <w:t>，在全生命周期内可减少碳排放量</w:t>
      </w:r>
      <w:r w:rsidR="00BB6CA7">
        <w:rPr>
          <w:rFonts w:hint="eastAsia"/>
          <w:sz w:val="21"/>
          <w:szCs w:val="21"/>
          <w:lang w:eastAsia="zh-CN"/>
        </w:rPr>
        <w:t>6361.53</w:t>
      </w:r>
      <w:r w:rsidR="00BB6CA7" w:rsidRPr="00BB6CA7">
        <w:rPr>
          <w:rFonts w:hint="eastAsia"/>
          <w:sz w:val="21"/>
          <w:szCs w:val="21"/>
          <w:lang w:eastAsia="zh-CN"/>
        </w:rPr>
        <w:t xml:space="preserve"> </w:t>
      </w:r>
      <w:r w:rsidR="00BB6CA7" w:rsidRPr="000D2EC8">
        <w:rPr>
          <w:rFonts w:hint="eastAsia"/>
          <w:sz w:val="21"/>
          <w:szCs w:val="21"/>
          <w:lang w:eastAsia="zh-CN"/>
        </w:rPr>
        <w:t>tCO</w:t>
      </w:r>
      <w:r w:rsidR="00BB6CA7" w:rsidRPr="000D2EC8">
        <w:rPr>
          <w:rFonts w:hint="eastAsia"/>
          <w:sz w:val="21"/>
          <w:szCs w:val="21"/>
          <w:vertAlign w:val="subscript"/>
          <w:lang w:eastAsia="zh-CN"/>
        </w:rPr>
        <w:t>2</w:t>
      </w:r>
      <w:r w:rsidR="00BB6CA7">
        <w:rPr>
          <w:rFonts w:hint="eastAsia"/>
          <w:sz w:val="21"/>
          <w:szCs w:val="21"/>
          <w:lang w:eastAsia="zh-CN"/>
        </w:rPr>
        <w:t>，占</w:t>
      </w:r>
      <w:proofErr w:type="gramStart"/>
      <w:r w:rsidR="00BB6CA7">
        <w:rPr>
          <w:rFonts w:hint="eastAsia"/>
          <w:sz w:val="21"/>
          <w:szCs w:val="21"/>
          <w:lang w:eastAsia="zh-CN"/>
        </w:rPr>
        <w:t>生命周期总碳排放量</w:t>
      </w:r>
      <w:proofErr w:type="gramEnd"/>
      <w:r w:rsidR="00BB6CA7">
        <w:rPr>
          <w:rFonts w:hint="eastAsia"/>
          <w:sz w:val="21"/>
          <w:szCs w:val="21"/>
          <w:lang w:eastAsia="zh-CN"/>
        </w:rPr>
        <w:t>的</w:t>
      </w:r>
      <w:r w:rsidR="00BB6CA7">
        <w:rPr>
          <w:rFonts w:hint="eastAsia"/>
          <w:sz w:val="21"/>
          <w:szCs w:val="21"/>
          <w:lang w:eastAsia="zh-CN"/>
        </w:rPr>
        <w:t>2.68%</w:t>
      </w:r>
      <w:r w:rsidR="00FD4649">
        <w:rPr>
          <w:rFonts w:hint="eastAsia"/>
          <w:sz w:val="21"/>
          <w:szCs w:val="21"/>
          <w:lang w:eastAsia="zh-CN"/>
        </w:rPr>
        <w:t>。</w:t>
      </w:r>
    </w:p>
    <w:p w:rsidR="00C43FF6" w:rsidRDefault="00C43FF6" w:rsidP="00C43FF6">
      <w:pPr>
        <w:pStyle w:val="a3"/>
        <w:numPr>
          <w:ilvl w:val="0"/>
          <w:numId w:val="10"/>
        </w:numPr>
        <w:spacing w:line="240" w:lineRule="auto"/>
        <w:ind w:right="210"/>
        <w:rPr>
          <w:sz w:val="21"/>
          <w:szCs w:val="21"/>
          <w:lang w:eastAsia="zh-CN"/>
        </w:rPr>
      </w:pPr>
      <w:r>
        <w:rPr>
          <w:rFonts w:hint="eastAsia"/>
          <w:sz w:val="21"/>
          <w:szCs w:val="21"/>
          <w:lang w:eastAsia="zh-CN"/>
        </w:rPr>
        <w:t>倡导低碳设备使用习惯</w:t>
      </w:r>
    </w:p>
    <w:p w:rsidR="00C43FF6" w:rsidRPr="00BC79DF" w:rsidRDefault="000F131B" w:rsidP="00BC79DF">
      <w:pPr>
        <w:spacing w:line="240" w:lineRule="auto"/>
        <w:ind w:left="210" w:right="210"/>
        <w:rPr>
          <w:sz w:val="21"/>
          <w:szCs w:val="21"/>
          <w:lang w:eastAsia="zh-CN"/>
        </w:rPr>
      </w:pPr>
      <w:r w:rsidRPr="00BC79DF">
        <w:rPr>
          <w:rFonts w:hint="eastAsia"/>
          <w:sz w:val="21"/>
          <w:szCs w:val="21"/>
          <w:lang w:eastAsia="zh-CN"/>
        </w:rPr>
        <w:t>用电设备在日常的使用过程中通常并非每时每刻都处于满负荷运行状态，如打印机、饮水机等设备很大一部分时间都处于待机状态，但设备处于待机状态仍会消耗电能，研究表明，电脑及相关办公设备的待机能耗占设备总运行能耗的比例平均可以达到</w:t>
      </w:r>
      <w:r w:rsidRPr="00BC79DF">
        <w:rPr>
          <w:rFonts w:hint="eastAsia"/>
          <w:sz w:val="21"/>
          <w:szCs w:val="21"/>
          <w:lang w:eastAsia="zh-CN"/>
        </w:rPr>
        <w:t>16%[12].</w:t>
      </w:r>
      <w:r w:rsidRPr="00BC79DF">
        <w:rPr>
          <w:rFonts w:hint="eastAsia"/>
          <w:sz w:val="21"/>
          <w:szCs w:val="21"/>
          <w:lang w:eastAsia="zh-CN"/>
        </w:rPr>
        <w:t>因此，减少设备待机能耗是建筑内用电设备节能的有效手段</w:t>
      </w:r>
      <w:r w:rsidR="006766C5" w:rsidRPr="00BC79DF">
        <w:rPr>
          <w:rFonts w:hint="eastAsia"/>
          <w:sz w:val="21"/>
          <w:szCs w:val="21"/>
          <w:lang w:eastAsia="zh-CN"/>
        </w:rPr>
        <w:t>，要尽可能使电器在没有任务时关闭电源</w:t>
      </w:r>
      <w:r w:rsidRPr="00BC79DF">
        <w:rPr>
          <w:rFonts w:hint="eastAsia"/>
          <w:sz w:val="21"/>
          <w:szCs w:val="21"/>
          <w:lang w:eastAsia="zh-CN"/>
        </w:rPr>
        <w:t>。因此在对市政综合体工作人员进行日常管理时要</w:t>
      </w:r>
      <w:r w:rsidR="006766C5" w:rsidRPr="00BC79DF">
        <w:rPr>
          <w:rFonts w:hint="eastAsia"/>
          <w:sz w:val="21"/>
          <w:szCs w:val="21"/>
          <w:lang w:eastAsia="zh-CN"/>
        </w:rPr>
        <w:t>注意培养其“人走设备关”的设备使用习惯，并可以将个人办公设备耗电量纳入考核指标，监控设备耗电量，对于拥有良好设备使用习惯的员工给予一定的奖励。</w:t>
      </w:r>
      <w:r w:rsidR="00E7380A" w:rsidRPr="00BC79DF">
        <w:rPr>
          <w:rFonts w:hint="eastAsia"/>
          <w:sz w:val="21"/>
          <w:szCs w:val="21"/>
          <w:lang w:eastAsia="zh-CN"/>
        </w:rPr>
        <w:t>按照</w:t>
      </w:r>
      <w:r w:rsidR="00E7380A" w:rsidRPr="00BC79DF">
        <w:rPr>
          <w:rFonts w:hint="eastAsia"/>
          <w:sz w:val="21"/>
          <w:szCs w:val="21"/>
          <w:lang w:eastAsia="zh-CN"/>
        </w:rPr>
        <w:t>80%</w:t>
      </w:r>
      <w:r w:rsidR="00E7380A" w:rsidRPr="00BC79DF">
        <w:rPr>
          <w:rFonts w:hint="eastAsia"/>
          <w:sz w:val="21"/>
          <w:szCs w:val="21"/>
          <w:lang w:eastAsia="zh-CN"/>
        </w:rPr>
        <w:t>的员工能够自觉遵守上述规定，则每年可节省电能</w:t>
      </w:r>
      <w:r w:rsidR="00E7380A" w:rsidRPr="00BC79DF">
        <w:rPr>
          <w:rFonts w:hint="eastAsia"/>
          <w:sz w:val="21"/>
          <w:szCs w:val="21"/>
          <w:lang w:eastAsia="zh-CN"/>
        </w:rPr>
        <w:t>7940kWh</w:t>
      </w:r>
      <w:r w:rsidR="00E7380A" w:rsidRPr="00BC79DF">
        <w:rPr>
          <w:rFonts w:hint="eastAsia"/>
          <w:sz w:val="21"/>
          <w:szCs w:val="21"/>
          <w:lang w:eastAsia="zh-CN"/>
        </w:rPr>
        <w:t>，生命周期可减少碳排放</w:t>
      </w:r>
      <w:r w:rsidR="00E7380A" w:rsidRPr="00BC79DF">
        <w:rPr>
          <w:rFonts w:hint="eastAsia"/>
          <w:sz w:val="21"/>
          <w:szCs w:val="21"/>
          <w:lang w:eastAsia="zh-CN"/>
        </w:rPr>
        <w:t>2340 tCO</w:t>
      </w:r>
      <w:r w:rsidR="00E7380A" w:rsidRPr="00BC79DF">
        <w:rPr>
          <w:rFonts w:hint="eastAsia"/>
          <w:sz w:val="21"/>
          <w:szCs w:val="21"/>
          <w:vertAlign w:val="subscript"/>
          <w:lang w:eastAsia="zh-CN"/>
        </w:rPr>
        <w:t>2</w:t>
      </w:r>
      <w:r w:rsidR="00E7380A" w:rsidRPr="00BC79DF">
        <w:rPr>
          <w:rFonts w:hint="eastAsia"/>
          <w:sz w:val="21"/>
          <w:szCs w:val="21"/>
          <w:lang w:eastAsia="zh-CN"/>
        </w:rPr>
        <w:t>，</w:t>
      </w:r>
      <w:r w:rsidR="00E07E4E" w:rsidRPr="00BC79DF">
        <w:rPr>
          <w:rFonts w:hint="eastAsia"/>
          <w:sz w:val="21"/>
          <w:szCs w:val="21"/>
          <w:lang w:eastAsia="zh-CN"/>
        </w:rPr>
        <w:t>约占生命周期碳排放的</w:t>
      </w:r>
      <w:r w:rsidR="00E07E4E" w:rsidRPr="00BC79DF">
        <w:rPr>
          <w:rFonts w:hint="eastAsia"/>
          <w:sz w:val="21"/>
          <w:szCs w:val="21"/>
          <w:lang w:eastAsia="zh-CN"/>
        </w:rPr>
        <w:t>0.98%</w:t>
      </w:r>
      <w:r w:rsidR="00E07E4E" w:rsidRPr="00BC79DF">
        <w:rPr>
          <w:rFonts w:hint="eastAsia"/>
          <w:sz w:val="21"/>
          <w:szCs w:val="21"/>
          <w:lang w:eastAsia="zh-CN"/>
        </w:rPr>
        <w:t>。</w:t>
      </w:r>
    </w:p>
    <w:p w:rsidR="006766C5" w:rsidRDefault="006766C5" w:rsidP="006766C5">
      <w:pPr>
        <w:pStyle w:val="a3"/>
        <w:numPr>
          <w:ilvl w:val="0"/>
          <w:numId w:val="10"/>
        </w:numPr>
        <w:spacing w:line="240" w:lineRule="auto"/>
        <w:ind w:right="210"/>
        <w:rPr>
          <w:sz w:val="21"/>
          <w:szCs w:val="21"/>
          <w:lang w:eastAsia="zh-CN"/>
        </w:rPr>
      </w:pPr>
      <w:r>
        <w:rPr>
          <w:rFonts w:hint="eastAsia"/>
          <w:sz w:val="21"/>
          <w:szCs w:val="21"/>
          <w:lang w:eastAsia="zh-CN"/>
        </w:rPr>
        <w:lastRenderedPageBreak/>
        <w:t>厨房设施</w:t>
      </w:r>
      <w:r w:rsidR="00F00E41">
        <w:rPr>
          <w:rFonts w:hint="eastAsia"/>
          <w:sz w:val="21"/>
          <w:szCs w:val="21"/>
          <w:lang w:eastAsia="zh-CN"/>
        </w:rPr>
        <w:t>低碳化</w:t>
      </w:r>
      <w:r>
        <w:rPr>
          <w:rFonts w:hint="eastAsia"/>
          <w:sz w:val="21"/>
          <w:szCs w:val="21"/>
          <w:lang w:eastAsia="zh-CN"/>
        </w:rPr>
        <w:t>改造</w:t>
      </w:r>
    </w:p>
    <w:p w:rsidR="00E7380A" w:rsidRDefault="000E4A95" w:rsidP="00E07E4E">
      <w:pPr>
        <w:spacing w:line="240" w:lineRule="auto"/>
        <w:ind w:right="210"/>
        <w:rPr>
          <w:sz w:val="21"/>
          <w:szCs w:val="21"/>
          <w:lang w:eastAsia="zh-CN"/>
        </w:rPr>
      </w:pPr>
      <w:r w:rsidRPr="00E07E4E">
        <w:rPr>
          <w:rFonts w:hint="eastAsia"/>
          <w:sz w:val="21"/>
          <w:szCs w:val="21"/>
          <w:lang w:eastAsia="zh-CN"/>
        </w:rPr>
        <w:t>建筑综合体的厨房由于需要集中满足某一区域的餐饮需求，因此能源消耗强度较大，</w:t>
      </w:r>
      <w:r w:rsidR="00F00E41" w:rsidRPr="00E07E4E">
        <w:rPr>
          <w:rFonts w:hint="eastAsia"/>
          <w:sz w:val="21"/>
          <w:szCs w:val="21"/>
          <w:lang w:eastAsia="zh-CN"/>
        </w:rPr>
        <w:t>而传统的灶具加热食物使用天然气作为燃料，天然气有较高的碳排放因子，因此会带来大量的碳排放，所以厨房的低碳化改造就要尽可能减少天然气用量。减少天然气用量可以从使用高效灶具入手解决。对于灶具，目前所使用的</w:t>
      </w:r>
      <w:proofErr w:type="gramStart"/>
      <w:r w:rsidR="00F00E41" w:rsidRPr="00E07E4E">
        <w:rPr>
          <w:rFonts w:hint="eastAsia"/>
          <w:sz w:val="21"/>
          <w:szCs w:val="21"/>
          <w:lang w:eastAsia="zh-CN"/>
        </w:rPr>
        <w:t>天然气灶其热效率</w:t>
      </w:r>
      <w:proofErr w:type="gramEnd"/>
      <w:r w:rsidR="00F00E41" w:rsidRPr="00E07E4E">
        <w:rPr>
          <w:rFonts w:hint="eastAsia"/>
          <w:sz w:val="21"/>
          <w:szCs w:val="21"/>
          <w:lang w:eastAsia="zh-CN"/>
        </w:rPr>
        <w:t>在</w:t>
      </w:r>
      <w:r w:rsidR="00F00E41" w:rsidRPr="00E07E4E">
        <w:rPr>
          <w:rFonts w:hint="eastAsia"/>
          <w:sz w:val="21"/>
          <w:szCs w:val="21"/>
          <w:lang w:eastAsia="zh-CN"/>
        </w:rPr>
        <w:t>55-61%</w:t>
      </w:r>
      <w:r w:rsidR="00F00E41" w:rsidRPr="00E07E4E">
        <w:rPr>
          <w:rFonts w:hint="eastAsia"/>
          <w:sz w:val="21"/>
          <w:szCs w:val="21"/>
          <w:lang w:eastAsia="zh-CN"/>
        </w:rPr>
        <w:t>之间，</w:t>
      </w:r>
      <w:r w:rsidR="00E7380A" w:rsidRPr="00E07E4E">
        <w:rPr>
          <w:rFonts w:hint="eastAsia"/>
          <w:sz w:val="21"/>
          <w:szCs w:val="21"/>
          <w:lang w:eastAsia="zh-CN"/>
        </w:rPr>
        <w:t>目前最有效的节能化改造方法是引入</w:t>
      </w:r>
      <w:proofErr w:type="gramStart"/>
      <w:r w:rsidR="00E7380A" w:rsidRPr="00E07E4E">
        <w:rPr>
          <w:rFonts w:hint="eastAsia"/>
          <w:sz w:val="21"/>
          <w:szCs w:val="21"/>
          <w:lang w:eastAsia="zh-CN"/>
        </w:rPr>
        <w:t>烟气热</w:t>
      </w:r>
      <w:proofErr w:type="gramEnd"/>
      <w:r w:rsidR="00E7380A" w:rsidRPr="00E07E4E">
        <w:rPr>
          <w:rFonts w:hint="eastAsia"/>
          <w:sz w:val="21"/>
          <w:szCs w:val="21"/>
          <w:lang w:eastAsia="zh-CN"/>
        </w:rPr>
        <w:t>回收系统，在烹饪时产生的烟气温度可达</w:t>
      </w:r>
      <w:r w:rsidR="00E7380A" w:rsidRPr="00E07E4E">
        <w:rPr>
          <w:rFonts w:hint="eastAsia"/>
          <w:sz w:val="21"/>
          <w:szCs w:val="21"/>
          <w:lang w:eastAsia="zh-CN"/>
        </w:rPr>
        <w:t>300</w:t>
      </w:r>
      <w:r w:rsidR="00E7380A" w:rsidRPr="00E07E4E">
        <w:rPr>
          <w:rFonts w:hint="eastAsia"/>
          <w:sz w:val="21"/>
          <w:szCs w:val="21"/>
          <w:lang w:eastAsia="zh-CN"/>
        </w:rPr>
        <w:t>℃，若能将此部分热量回收用于烹饪，则可提高灶具热效率</w:t>
      </w:r>
      <w:r w:rsidR="00E7380A" w:rsidRPr="00E07E4E">
        <w:rPr>
          <w:rFonts w:hint="eastAsia"/>
          <w:sz w:val="21"/>
          <w:szCs w:val="21"/>
          <w:lang w:eastAsia="zh-CN"/>
        </w:rPr>
        <w:t>10-30%[9]</w:t>
      </w:r>
      <w:r w:rsidR="00E7380A" w:rsidRPr="00E07E4E">
        <w:rPr>
          <w:rFonts w:hint="eastAsia"/>
          <w:sz w:val="21"/>
          <w:szCs w:val="21"/>
          <w:lang w:eastAsia="zh-CN"/>
        </w:rPr>
        <w:t>。</w:t>
      </w:r>
      <w:r w:rsidR="00E07E4E">
        <w:rPr>
          <w:rFonts w:hint="eastAsia"/>
          <w:sz w:val="21"/>
          <w:szCs w:val="21"/>
          <w:lang w:eastAsia="zh-CN"/>
        </w:rPr>
        <w:t>若按上述方案进行改造</w:t>
      </w:r>
      <w:r w:rsidR="00625D89">
        <w:rPr>
          <w:rFonts w:hint="eastAsia"/>
          <w:sz w:val="21"/>
          <w:szCs w:val="21"/>
          <w:lang w:eastAsia="zh-CN"/>
        </w:rPr>
        <w:t>，按</w:t>
      </w:r>
      <w:r w:rsidR="00625D89">
        <w:rPr>
          <w:rFonts w:hint="eastAsia"/>
          <w:sz w:val="21"/>
          <w:szCs w:val="21"/>
          <w:lang w:eastAsia="zh-CN"/>
        </w:rPr>
        <w:t>20%</w:t>
      </w:r>
      <w:r w:rsidR="00625D89">
        <w:rPr>
          <w:rFonts w:hint="eastAsia"/>
          <w:sz w:val="21"/>
          <w:szCs w:val="21"/>
          <w:lang w:eastAsia="zh-CN"/>
        </w:rPr>
        <w:t>的热效率提高率计算，则在全生命周期可实现减少碳排放</w:t>
      </w:r>
      <w:r w:rsidR="00625D89">
        <w:rPr>
          <w:rFonts w:hint="eastAsia"/>
          <w:sz w:val="21"/>
          <w:szCs w:val="21"/>
          <w:lang w:eastAsia="zh-CN"/>
        </w:rPr>
        <w:t>879.89</w:t>
      </w:r>
      <w:r w:rsidR="00625D89" w:rsidRPr="000D2EC8">
        <w:rPr>
          <w:rFonts w:hint="eastAsia"/>
          <w:sz w:val="21"/>
          <w:szCs w:val="21"/>
          <w:lang w:eastAsia="zh-CN"/>
        </w:rPr>
        <w:t xml:space="preserve"> tCO</w:t>
      </w:r>
      <w:r w:rsidR="00625D89" w:rsidRPr="000D2EC8">
        <w:rPr>
          <w:rFonts w:hint="eastAsia"/>
          <w:sz w:val="21"/>
          <w:szCs w:val="21"/>
          <w:vertAlign w:val="subscript"/>
          <w:lang w:eastAsia="zh-CN"/>
        </w:rPr>
        <w:t>2</w:t>
      </w:r>
      <w:r w:rsidR="00625D89">
        <w:rPr>
          <w:rFonts w:hint="eastAsia"/>
          <w:sz w:val="21"/>
          <w:szCs w:val="21"/>
          <w:lang w:eastAsia="zh-CN"/>
        </w:rPr>
        <w:t>，在全生命周期可</w:t>
      </w:r>
      <w:proofErr w:type="gramStart"/>
      <w:r w:rsidR="00625D89">
        <w:rPr>
          <w:rFonts w:hint="eastAsia"/>
          <w:sz w:val="21"/>
          <w:szCs w:val="21"/>
          <w:lang w:eastAsia="zh-CN"/>
        </w:rPr>
        <w:t>实现减碳</w:t>
      </w:r>
      <w:proofErr w:type="gramEnd"/>
      <w:r w:rsidR="00625D89">
        <w:rPr>
          <w:rFonts w:hint="eastAsia"/>
          <w:sz w:val="21"/>
          <w:szCs w:val="21"/>
          <w:lang w:eastAsia="zh-CN"/>
        </w:rPr>
        <w:t>0.37%</w:t>
      </w:r>
      <w:r w:rsidR="00625D89">
        <w:rPr>
          <w:rFonts w:hint="eastAsia"/>
          <w:sz w:val="21"/>
          <w:szCs w:val="21"/>
          <w:lang w:eastAsia="zh-CN"/>
        </w:rPr>
        <w:t>。</w:t>
      </w:r>
    </w:p>
    <w:p w:rsidR="00142B1C" w:rsidRPr="00142B1C" w:rsidRDefault="00142B1C" w:rsidP="00142B1C">
      <w:pPr>
        <w:pStyle w:val="a3"/>
        <w:numPr>
          <w:ilvl w:val="0"/>
          <w:numId w:val="10"/>
        </w:numPr>
        <w:spacing w:line="240" w:lineRule="auto"/>
        <w:ind w:right="210"/>
        <w:rPr>
          <w:sz w:val="21"/>
          <w:szCs w:val="21"/>
          <w:lang w:eastAsia="zh-CN"/>
        </w:rPr>
      </w:pPr>
      <w:r>
        <w:rPr>
          <w:sz w:val="21"/>
          <w:szCs w:val="21"/>
          <w:lang w:eastAsia="zh-CN"/>
        </w:rPr>
        <w:t>电梯系统节能策略</w:t>
      </w:r>
    </w:p>
    <w:p w:rsidR="000E4A95" w:rsidRDefault="00142B1C" w:rsidP="00123293">
      <w:pPr>
        <w:spacing w:line="240" w:lineRule="auto"/>
        <w:ind w:right="210"/>
        <w:rPr>
          <w:sz w:val="21"/>
          <w:szCs w:val="21"/>
          <w:lang w:eastAsia="zh-CN"/>
        </w:rPr>
      </w:pPr>
      <w:r w:rsidRPr="00FD4649">
        <w:rPr>
          <w:sz w:val="21"/>
          <w:szCs w:val="21"/>
          <w:lang w:eastAsia="zh-CN"/>
        </w:rPr>
        <w:t>电梯设备是建筑内较为复杂的用电设备</w:t>
      </w:r>
      <w:r w:rsidRPr="00FD4649">
        <w:rPr>
          <w:rFonts w:hint="eastAsia"/>
          <w:sz w:val="21"/>
          <w:szCs w:val="21"/>
          <w:lang w:eastAsia="zh-CN"/>
        </w:rPr>
        <w:t>，</w:t>
      </w:r>
      <w:r w:rsidRPr="00FD4649">
        <w:rPr>
          <w:sz w:val="21"/>
          <w:szCs w:val="21"/>
          <w:lang w:eastAsia="zh-CN"/>
        </w:rPr>
        <w:t>其既有大型机械驱动部件</w:t>
      </w:r>
      <w:r w:rsidRPr="00FD4649">
        <w:rPr>
          <w:rFonts w:hint="eastAsia"/>
          <w:sz w:val="21"/>
          <w:szCs w:val="21"/>
          <w:lang w:eastAsia="zh-CN"/>
        </w:rPr>
        <w:t>，</w:t>
      </w:r>
      <w:r w:rsidRPr="00FD4649">
        <w:rPr>
          <w:sz w:val="21"/>
          <w:szCs w:val="21"/>
          <w:lang w:eastAsia="zh-CN"/>
        </w:rPr>
        <w:t>且有复杂的控制系统参与</w:t>
      </w:r>
      <w:r w:rsidRPr="00FD4649">
        <w:rPr>
          <w:rFonts w:hint="eastAsia"/>
          <w:sz w:val="21"/>
          <w:szCs w:val="21"/>
          <w:lang w:eastAsia="zh-CN"/>
        </w:rPr>
        <w:t>，</w:t>
      </w:r>
      <w:r w:rsidRPr="00FD4649">
        <w:rPr>
          <w:sz w:val="21"/>
          <w:szCs w:val="21"/>
          <w:lang w:eastAsia="zh-CN"/>
        </w:rPr>
        <w:t>与此同时又有轿厢内照明以及显示设备</w:t>
      </w:r>
      <w:r w:rsidRPr="00FD4649">
        <w:rPr>
          <w:rFonts w:hint="eastAsia"/>
          <w:sz w:val="21"/>
          <w:szCs w:val="21"/>
          <w:lang w:eastAsia="zh-CN"/>
        </w:rPr>
        <w:t>，</w:t>
      </w:r>
      <w:r w:rsidRPr="00FD4649">
        <w:rPr>
          <w:sz w:val="21"/>
          <w:szCs w:val="21"/>
          <w:lang w:eastAsia="zh-CN"/>
        </w:rPr>
        <w:t>能耗来源复杂</w:t>
      </w:r>
      <w:r w:rsidRPr="00FD4649">
        <w:rPr>
          <w:rFonts w:hint="eastAsia"/>
          <w:sz w:val="21"/>
          <w:szCs w:val="21"/>
          <w:lang w:eastAsia="zh-CN"/>
        </w:rPr>
        <w:t>，</w:t>
      </w:r>
      <w:r w:rsidRPr="00FD4649">
        <w:rPr>
          <w:sz w:val="21"/>
          <w:szCs w:val="21"/>
          <w:lang w:eastAsia="zh-CN"/>
        </w:rPr>
        <w:t>因此电梯系统的节能是一项系统性任务</w:t>
      </w:r>
      <w:r w:rsidRPr="00FD4649">
        <w:rPr>
          <w:rFonts w:hint="eastAsia"/>
          <w:sz w:val="21"/>
          <w:szCs w:val="21"/>
          <w:lang w:eastAsia="zh-CN"/>
        </w:rPr>
        <w:t>，</w:t>
      </w:r>
      <w:r w:rsidRPr="00FD4649">
        <w:rPr>
          <w:sz w:val="21"/>
          <w:szCs w:val="21"/>
          <w:lang w:eastAsia="zh-CN"/>
        </w:rPr>
        <w:t>需要多种专业配合进行</w:t>
      </w:r>
      <w:r w:rsidRPr="00FD4649">
        <w:rPr>
          <w:rFonts w:hint="eastAsia"/>
          <w:sz w:val="21"/>
          <w:szCs w:val="21"/>
          <w:lang w:eastAsia="zh-CN"/>
        </w:rPr>
        <w:t>。</w:t>
      </w:r>
      <w:r w:rsidR="00FD4649" w:rsidRPr="00FD4649">
        <w:rPr>
          <w:sz w:val="21"/>
          <w:szCs w:val="21"/>
          <w:lang w:eastAsia="zh-CN"/>
        </w:rPr>
        <w:t>根据调研</w:t>
      </w:r>
      <w:r w:rsidR="00FD4649" w:rsidRPr="00FD4649">
        <w:rPr>
          <w:rFonts w:hint="eastAsia"/>
          <w:sz w:val="21"/>
          <w:szCs w:val="21"/>
          <w:lang w:eastAsia="zh-CN"/>
        </w:rPr>
        <w:t>，</w:t>
      </w:r>
      <w:r w:rsidR="00FD4649" w:rsidRPr="00FD4649">
        <w:rPr>
          <w:sz w:val="21"/>
          <w:szCs w:val="21"/>
          <w:lang w:eastAsia="zh-CN"/>
        </w:rPr>
        <w:t>目前比较成熟且节能效果较好的电梯节能技术有如下几项</w:t>
      </w:r>
      <w:r w:rsidR="00FD4649" w:rsidRPr="00FD4649">
        <w:rPr>
          <w:rFonts w:hint="eastAsia"/>
          <w:sz w:val="21"/>
          <w:szCs w:val="21"/>
          <w:lang w:eastAsia="zh-CN"/>
        </w:rPr>
        <w:t>：拖动系统实施</w:t>
      </w:r>
      <w:r w:rsidR="00FD4649" w:rsidRPr="00FD4649">
        <w:rPr>
          <w:sz w:val="21"/>
          <w:szCs w:val="21"/>
          <w:lang w:eastAsia="zh-CN"/>
        </w:rPr>
        <w:t>变频</w:t>
      </w:r>
      <w:r w:rsidR="00FD4649" w:rsidRPr="00FD4649">
        <w:rPr>
          <w:rFonts w:hint="eastAsia"/>
          <w:sz w:val="21"/>
          <w:szCs w:val="21"/>
          <w:lang w:eastAsia="zh-CN"/>
        </w:rPr>
        <w:t>工况下</w:t>
      </w:r>
      <w:r w:rsidR="00FD4649" w:rsidRPr="00FD4649">
        <w:rPr>
          <w:sz w:val="21"/>
          <w:szCs w:val="21"/>
          <w:lang w:eastAsia="zh-CN"/>
        </w:rPr>
        <w:t>调压调速改造</w:t>
      </w:r>
      <w:r w:rsidR="00FD4649" w:rsidRPr="00FD4649">
        <w:rPr>
          <w:rFonts w:hint="eastAsia"/>
          <w:sz w:val="21"/>
          <w:szCs w:val="21"/>
          <w:lang w:eastAsia="zh-CN"/>
        </w:rPr>
        <w:t xml:space="preserve"> (VVVF)</w:t>
      </w:r>
      <w:r w:rsidR="00FD4649" w:rsidRPr="00FD4649">
        <w:rPr>
          <w:rFonts w:hint="eastAsia"/>
          <w:sz w:val="21"/>
          <w:szCs w:val="21"/>
          <w:lang w:eastAsia="zh-CN"/>
        </w:rPr>
        <w:t>、在制动过程中使用动能回收技术实现电能转化、采用智能化的电梯运行控制系统。根据文献，上述技术的综合利用之后可实现能耗降低约</w:t>
      </w:r>
      <w:r w:rsidR="00FD4649" w:rsidRPr="00FD4649">
        <w:rPr>
          <w:rFonts w:hint="eastAsia"/>
          <w:sz w:val="21"/>
          <w:szCs w:val="21"/>
          <w:lang w:eastAsia="zh-CN"/>
        </w:rPr>
        <w:t>50%</w:t>
      </w:r>
      <w:r w:rsidR="00FD4649">
        <w:rPr>
          <w:rFonts w:hint="eastAsia"/>
          <w:sz w:val="21"/>
          <w:szCs w:val="21"/>
          <w:lang w:eastAsia="zh-CN"/>
        </w:rPr>
        <w:t>[</w:t>
      </w:r>
      <w:r w:rsidR="002D1B64">
        <w:rPr>
          <w:rFonts w:hint="eastAsia"/>
          <w:sz w:val="21"/>
          <w:szCs w:val="21"/>
          <w:lang w:eastAsia="zh-CN"/>
        </w:rPr>
        <w:t>13</w:t>
      </w:r>
      <w:r w:rsidR="00FD4649">
        <w:rPr>
          <w:rFonts w:hint="eastAsia"/>
          <w:sz w:val="21"/>
          <w:szCs w:val="21"/>
          <w:lang w:eastAsia="zh-CN"/>
        </w:rPr>
        <w:t>]</w:t>
      </w:r>
      <w:r w:rsidR="00FD4649" w:rsidRPr="00FD4649">
        <w:rPr>
          <w:rFonts w:hint="eastAsia"/>
          <w:sz w:val="21"/>
          <w:szCs w:val="21"/>
          <w:lang w:eastAsia="zh-CN"/>
        </w:rPr>
        <w:t>，</w:t>
      </w:r>
      <w:r w:rsidR="00FD4649">
        <w:rPr>
          <w:rFonts w:hint="eastAsia"/>
          <w:sz w:val="21"/>
          <w:szCs w:val="21"/>
          <w:lang w:eastAsia="zh-CN"/>
        </w:rPr>
        <w:t>每年可减少电能消耗</w:t>
      </w:r>
      <w:r w:rsidR="00FD4649">
        <w:rPr>
          <w:rFonts w:hint="eastAsia"/>
          <w:sz w:val="21"/>
          <w:szCs w:val="21"/>
          <w:lang w:eastAsia="zh-CN"/>
        </w:rPr>
        <w:t>176315.61kWh</w:t>
      </w:r>
      <w:r w:rsidR="00FD4649">
        <w:rPr>
          <w:rFonts w:hint="eastAsia"/>
          <w:sz w:val="21"/>
          <w:szCs w:val="21"/>
          <w:lang w:eastAsia="zh-CN"/>
        </w:rPr>
        <w:t>，全生命周期可</w:t>
      </w:r>
      <w:proofErr w:type="gramStart"/>
      <w:r w:rsidR="00FD4649">
        <w:rPr>
          <w:rFonts w:hint="eastAsia"/>
          <w:sz w:val="21"/>
          <w:szCs w:val="21"/>
          <w:lang w:eastAsia="zh-CN"/>
        </w:rPr>
        <w:t>实现减碳</w:t>
      </w:r>
      <w:proofErr w:type="gramEnd"/>
      <w:r w:rsidR="00FD4649">
        <w:rPr>
          <w:rFonts w:hint="eastAsia"/>
          <w:sz w:val="21"/>
          <w:szCs w:val="21"/>
          <w:lang w:eastAsia="zh-CN"/>
        </w:rPr>
        <w:t>5197.328</w:t>
      </w:r>
      <w:r w:rsidR="002D1B64" w:rsidRPr="002D1B64">
        <w:rPr>
          <w:rFonts w:hint="eastAsia"/>
          <w:sz w:val="21"/>
          <w:szCs w:val="21"/>
          <w:lang w:eastAsia="zh-CN"/>
        </w:rPr>
        <w:t xml:space="preserve"> </w:t>
      </w:r>
      <w:r w:rsidR="002D1B64" w:rsidRPr="000D2EC8">
        <w:rPr>
          <w:rFonts w:hint="eastAsia"/>
          <w:sz w:val="21"/>
          <w:szCs w:val="21"/>
          <w:lang w:eastAsia="zh-CN"/>
        </w:rPr>
        <w:t>tCO</w:t>
      </w:r>
      <w:r w:rsidR="002D1B64" w:rsidRPr="000D2EC8">
        <w:rPr>
          <w:rFonts w:hint="eastAsia"/>
          <w:sz w:val="21"/>
          <w:szCs w:val="21"/>
          <w:vertAlign w:val="subscript"/>
          <w:lang w:eastAsia="zh-CN"/>
        </w:rPr>
        <w:t>2</w:t>
      </w:r>
      <w:r w:rsidR="002D1B64">
        <w:rPr>
          <w:rFonts w:hint="eastAsia"/>
          <w:sz w:val="21"/>
          <w:szCs w:val="21"/>
          <w:lang w:eastAsia="zh-CN"/>
        </w:rPr>
        <w:t>，占市政综合体生命周期碳排放的</w:t>
      </w:r>
      <w:r w:rsidR="002D1B64">
        <w:rPr>
          <w:rFonts w:hint="eastAsia"/>
          <w:sz w:val="21"/>
          <w:szCs w:val="21"/>
          <w:lang w:eastAsia="zh-CN"/>
        </w:rPr>
        <w:t>2.19%</w:t>
      </w:r>
      <w:r w:rsidR="00674767">
        <w:rPr>
          <w:rFonts w:hint="eastAsia"/>
          <w:sz w:val="21"/>
          <w:szCs w:val="21"/>
          <w:lang w:eastAsia="zh-CN"/>
        </w:rPr>
        <w:t>。</w:t>
      </w:r>
    </w:p>
    <w:p w:rsidR="00674767" w:rsidRDefault="00674767" w:rsidP="00123293">
      <w:pPr>
        <w:spacing w:line="240" w:lineRule="auto"/>
        <w:ind w:right="210"/>
        <w:rPr>
          <w:sz w:val="21"/>
          <w:szCs w:val="21"/>
          <w:lang w:eastAsia="zh-CN"/>
        </w:rPr>
      </w:pPr>
      <w:r>
        <w:rPr>
          <w:rFonts w:hint="eastAsia"/>
          <w:sz w:val="21"/>
          <w:szCs w:val="21"/>
          <w:lang w:eastAsia="zh-CN"/>
        </w:rPr>
        <w:t>综上所述，采取室内设备节能的相关技术可以有效降低市政综合体运营阶段的能源消耗，采用上述技术后市政综合体生命周期碳排放量预计可下降</w:t>
      </w:r>
      <w:r>
        <w:rPr>
          <w:rFonts w:hint="eastAsia"/>
          <w:sz w:val="21"/>
          <w:szCs w:val="21"/>
          <w:lang w:eastAsia="zh-CN"/>
        </w:rPr>
        <w:t>6.22%</w:t>
      </w:r>
      <w:r>
        <w:rPr>
          <w:rFonts w:hint="eastAsia"/>
          <w:sz w:val="21"/>
          <w:szCs w:val="21"/>
          <w:lang w:eastAsia="zh-CN"/>
        </w:rPr>
        <w:t>。</w:t>
      </w:r>
    </w:p>
    <w:p w:rsidR="00674767" w:rsidRDefault="00674767" w:rsidP="00674767">
      <w:pPr>
        <w:pStyle w:val="a3"/>
        <w:numPr>
          <w:ilvl w:val="0"/>
          <w:numId w:val="3"/>
        </w:numPr>
        <w:spacing w:line="240" w:lineRule="auto"/>
        <w:ind w:right="210"/>
        <w:rPr>
          <w:sz w:val="21"/>
          <w:szCs w:val="21"/>
          <w:lang w:eastAsia="zh-CN"/>
        </w:rPr>
      </w:pPr>
      <w:r>
        <w:rPr>
          <w:sz w:val="21"/>
          <w:szCs w:val="21"/>
          <w:lang w:eastAsia="zh-CN"/>
        </w:rPr>
        <w:t>新风热回收技术</w:t>
      </w:r>
    </w:p>
    <w:p w:rsidR="00674767" w:rsidRPr="00123293" w:rsidRDefault="005D5099" w:rsidP="00123293">
      <w:pPr>
        <w:spacing w:line="240" w:lineRule="auto"/>
        <w:ind w:right="210"/>
        <w:rPr>
          <w:sz w:val="21"/>
          <w:szCs w:val="21"/>
          <w:lang w:eastAsia="zh-CN"/>
        </w:rPr>
      </w:pPr>
      <w:r w:rsidRPr="00123293">
        <w:rPr>
          <w:sz w:val="21"/>
          <w:szCs w:val="21"/>
          <w:lang w:eastAsia="zh-CN"/>
        </w:rPr>
        <w:t>为了保持建筑室内良好的环境</w:t>
      </w:r>
      <w:r w:rsidRPr="00123293">
        <w:rPr>
          <w:rFonts w:hint="eastAsia"/>
          <w:sz w:val="21"/>
          <w:szCs w:val="21"/>
          <w:lang w:eastAsia="zh-CN"/>
        </w:rPr>
        <w:t>，</w:t>
      </w:r>
      <w:r w:rsidRPr="00123293">
        <w:rPr>
          <w:sz w:val="21"/>
          <w:szCs w:val="21"/>
          <w:lang w:eastAsia="zh-CN"/>
        </w:rPr>
        <w:t>需要引入外界新风</w:t>
      </w:r>
      <w:r w:rsidR="00DB66D3" w:rsidRPr="00123293">
        <w:rPr>
          <w:rFonts w:hint="eastAsia"/>
          <w:sz w:val="21"/>
          <w:szCs w:val="21"/>
          <w:lang w:eastAsia="zh-CN"/>
        </w:rPr>
        <w:t>。</w:t>
      </w:r>
      <w:r w:rsidR="00DB66D3" w:rsidRPr="00123293">
        <w:rPr>
          <w:sz w:val="21"/>
          <w:szCs w:val="21"/>
          <w:lang w:eastAsia="zh-CN"/>
        </w:rPr>
        <w:t>但引入新风会增加建筑的冷热负荷</w:t>
      </w:r>
      <w:r w:rsidR="00DB66D3" w:rsidRPr="00123293">
        <w:rPr>
          <w:rFonts w:hint="eastAsia"/>
          <w:sz w:val="21"/>
          <w:szCs w:val="21"/>
          <w:lang w:eastAsia="zh-CN"/>
        </w:rPr>
        <w:t>，</w:t>
      </w:r>
      <w:r w:rsidR="00DB66D3" w:rsidRPr="00123293">
        <w:rPr>
          <w:sz w:val="21"/>
          <w:szCs w:val="21"/>
          <w:lang w:eastAsia="zh-CN"/>
        </w:rPr>
        <w:t>从而导致</w:t>
      </w:r>
      <w:r w:rsidR="00DB66D3" w:rsidRPr="00123293">
        <w:rPr>
          <w:sz w:val="21"/>
          <w:szCs w:val="21"/>
          <w:lang w:eastAsia="zh-CN"/>
        </w:rPr>
        <w:t>HVAC</w:t>
      </w:r>
      <w:r w:rsidR="00DB66D3" w:rsidRPr="00123293">
        <w:rPr>
          <w:sz w:val="21"/>
          <w:szCs w:val="21"/>
          <w:lang w:eastAsia="zh-CN"/>
        </w:rPr>
        <w:t>系统能耗增加</w:t>
      </w:r>
      <w:r w:rsidR="00DB66D3" w:rsidRPr="00123293">
        <w:rPr>
          <w:rFonts w:hint="eastAsia"/>
          <w:sz w:val="21"/>
          <w:szCs w:val="21"/>
          <w:lang w:eastAsia="zh-CN"/>
        </w:rPr>
        <w:t>。</w:t>
      </w:r>
      <w:r w:rsidR="00DB66D3" w:rsidRPr="00123293">
        <w:rPr>
          <w:sz w:val="21"/>
          <w:szCs w:val="21"/>
          <w:lang w:eastAsia="zh-CN"/>
        </w:rPr>
        <w:t>根据模拟数据</w:t>
      </w:r>
      <w:r w:rsidR="00DB66D3" w:rsidRPr="00123293">
        <w:rPr>
          <w:rFonts w:hint="eastAsia"/>
          <w:sz w:val="21"/>
          <w:szCs w:val="21"/>
          <w:lang w:eastAsia="zh-CN"/>
        </w:rPr>
        <w:t>，</w:t>
      </w:r>
      <w:r w:rsidR="00DB66D3" w:rsidRPr="00123293">
        <w:rPr>
          <w:sz w:val="21"/>
          <w:szCs w:val="21"/>
          <w:lang w:eastAsia="zh-CN"/>
        </w:rPr>
        <w:t>市政综合体在供冷季新风冷负荷</w:t>
      </w:r>
      <w:proofErr w:type="gramStart"/>
      <w:r w:rsidR="00DB66D3" w:rsidRPr="00123293">
        <w:rPr>
          <w:sz w:val="21"/>
          <w:szCs w:val="21"/>
          <w:lang w:eastAsia="zh-CN"/>
        </w:rPr>
        <w:t>占总冷负荷</w:t>
      </w:r>
      <w:proofErr w:type="gramEnd"/>
      <w:r w:rsidR="00DB66D3" w:rsidRPr="00123293">
        <w:rPr>
          <w:sz w:val="21"/>
          <w:szCs w:val="21"/>
          <w:lang w:eastAsia="zh-CN"/>
        </w:rPr>
        <w:t>的</w:t>
      </w:r>
      <w:r w:rsidR="00DB66D3" w:rsidRPr="00123293">
        <w:rPr>
          <w:rFonts w:hint="eastAsia"/>
          <w:sz w:val="21"/>
          <w:szCs w:val="21"/>
          <w:lang w:eastAsia="zh-CN"/>
        </w:rPr>
        <w:t>23.49%</w:t>
      </w:r>
      <w:r w:rsidR="00DB66D3" w:rsidRPr="00123293">
        <w:rPr>
          <w:rFonts w:hint="eastAsia"/>
          <w:sz w:val="21"/>
          <w:szCs w:val="21"/>
          <w:lang w:eastAsia="zh-CN"/>
        </w:rPr>
        <w:t>，而在冬季新风热负荷则占总热负荷的</w:t>
      </w:r>
      <w:r w:rsidR="00DB66D3" w:rsidRPr="00123293">
        <w:rPr>
          <w:rFonts w:hint="eastAsia"/>
          <w:sz w:val="21"/>
          <w:szCs w:val="21"/>
          <w:lang w:eastAsia="zh-CN"/>
        </w:rPr>
        <w:t>34.52%</w:t>
      </w:r>
      <w:r w:rsidR="00DB66D3" w:rsidRPr="00123293">
        <w:rPr>
          <w:rFonts w:hint="eastAsia"/>
          <w:sz w:val="21"/>
          <w:szCs w:val="21"/>
          <w:lang w:eastAsia="zh-CN"/>
        </w:rPr>
        <w:t>。若能够采取手段降低机组处理新风时的能耗则可有效降低建筑能耗。</w:t>
      </w:r>
      <w:r w:rsidR="0027015B" w:rsidRPr="00123293">
        <w:rPr>
          <w:rFonts w:hint="eastAsia"/>
          <w:sz w:val="21"/>
          <w:szCs w:val="21"/>
          <w:lang w:eastAsia="zh-CN"/>
        </w:rPr>
        <w:t>新风热回收技术可有效解决这一问题，该技术利用室内排风与室外新风之间存在</w:t>
      </w:r>
      <w:proofErr w:type="gramStart"/>
      <w:r w:rsidR="0027015B" w:rsidRPr="00123293">
        <w:rPr>
          <w:rFonts w:hint="eastAsia"/>
          <w:sz w:val="21"/>
          <w:szCs w:val="21"/>
          <w:lang w:eastAsia="zh-CN"/>
        </w:rPr>
        <w:t>焓</w:t>
      </w:r>
      <w:proofErr w:type="gramEnd"/>
      <w:r w:rsidR="0027015B" w:rsidRPr="00123293">
        <w:rPr>
          <w:rFonts w:hint="eastAsia"/>
          <w:sz w:val="21"/>
          <w:szCs w:val="21"/>
          <w:lang w:eastAsia="zh-CN"/>
        </w:rPr>
        <w:t>差的特点，在新风进入新风处理机组之前使室内排风与室外新风进行热交换，从而实现对室内排风中的热量回收，减小新风处理机组的冷热负荷，从而降低能耗。根据</w:t>
      </w:r>
      <w:r w:rsidR="0027015B" w:rsidRPr="00123293">
        <w:rPr>
          <w:rFonts w:hint="eastAsia"/>
          <w:sz w:val="21"/>
          <w:szCs w:val="21"/>
          <w:lang w:eastAsia="zh-CN"/>
        </w:rPr>
        <w:t>GB/T 51350-2019</w:t>
      </w:r>
      <w:r w:rsidR="0027015B" w:rsidRPr="00123293">
        <w:rPr>
          <w:rFonts w:hint="eastAsia"/>
          <w:sz w:val="21"/>
          <w:szCs w:val="21"/>
          <w:lang w:eastAsia="zh-CN"/>
        </w:rPr>
        <w:t>《近零能耗建筑技术标准》，显热回收机组的热回收效率须达到</w:t>
      </w:r>
      <w:r w:rsidR="0027015B" w:rsidRPr="00123293">
        <w:rPr>
          <w:rFonts w:hint="eastAsia"/>
          <w:sz w:val="21"/>
          <w:szCs w:val="21"/>
          <w:lang w:eastAsia="zh-CN"/>
        </w:rPr>
        <w:t>75%</w:t>
      </w:r>
      <w:r w:rsidR="0027015B" w:rsidRPr="00123293">
        <w:rPr>
          <w:rFonts w:hint="eastAsia"/>
          <w:sz w:val="21"/>
          <w:szCs w:val="21"/>
          <w:lang w:eastAsia="zh-CN"/>
        </w:rPr>
        <w:t>。基于此参数对设置新风热回收之后的建筑能耗进行模拟，模拟结果表明</w:t>
      </w:r>
      <w:r w:rsidR="00BA1E4D" w:rsidRPr="00123293">
        <w:rPr>
          <w:rFonts w:hint="eastAsia"/>
          <w:sz w:val="21"/>
          <w:szCs w:val="21"/>
          <w:lang w:eastAsia="zh-CN"/>
        </w:rPr>
        <w:t>使用该技术后</w:t>
      </w:r>
      <w:r w:rsidR="00BA1E4D" w:rsidRPr="00123293">
        <w:rPr>
          <w:rFonts w:hint="eastAsia"/>
          <w:sz w:val="21"/>
          <w:szCs w:val="21"/>
          <w:lang w:eastAsia="zh-CN"/>
        </w:rPr>
        <w:t>HVAC</w:t>
      </w:r>
      <w:r w:rsidR="00BA1E4D" w:rsidRPr="00123293">
        <w:rPr>
          <w:rFonts w:hint="eastAsia"/>
          <w:sz w:val="21"/>
          <w:szCs w:val="21"/>
          <w:lang w:eastAsia="zh-CN"/>
        </w:rPr>
        <w:t>系统的能耗可降低</w:t>
      </w:r>
      <w:r w:rsidR="00BA1E4D" w:rsidRPr="00123293">
        <w:rPr>
          <w:rFonts w:hint="eastAsia"/>
          <w:sz w:val="21"/>
          <w:szCs w:val="21"/>
          <w:lang w:eastAsia="zh-CN"/>
        </w:rPr>
        <w:t>11.77%</w:t>
      </w:r>
      <w:r w:rsidR="00AA771D" w:rsidRPr="00123293">
        <w:rPr>
          <w:rFonts w:hint="eastAsia"/>
          <w:sz w:val="21"/>
          <w:szCs w:val="21"/>
          <w:lang w:eastAsia="zh-CN"/>
        </w:rPr>
        <w:t>，等效每年减少碳排放</w:t>
      </w:r>
      <w:r w:rsidR="00AA771D" w:rsidRPr="00123293">
        <w:rPr>
          <w:rFonts w:hint="eastAsia"/>
          <w:sz w:val="21"/>
          <w:szCs w:val="21"/>
          <w:lang w:eastAsia="zh-CN"/>
        </w:rPr>
        <w:t>192.77 tCO</w:t>
      </w:r>
      <w:r w:rsidR="00AA771D" w:rsidRPr="00123293">
        <w:rPr>
          <w:rFonts w:hint="eastAsia"/>
          <w:sz w:val="21"/>
          <w:szCs w:val="21"/>
          <w:vertAlign w:val="subscript"/>
          <w:lang w:eastAsia="zh-CN"/>
        </w:rPr>
        <w:t>2</w:t>
      </w:r>
      <w:r w:rsidR="00AA771D" w:rsidRPr="00123293">
        <w:rPr>
          <w:rFonts w:hint="eastAsia"/>
          <w:sz w:val="21"/>
          <w:szCs w:val="21"/>
          <w:lang w:eastAsia="zh-CN"/>
        </w:rPr>
        <w:t>，在市政综合体全生命周期内可</w:t>
      </w:r>
      <w:proofErr w:type="gramStart"/>
      <w:r w:rsidR="00AA771D" w:rsidRPr="00123293">
        <w:rPr>
          <w:rFonts w:hint="eastAsia"/>
          <w:sz w:val="21"/>
          <w:szCs w:val="21"/>
          <w:lang w:eastAsia="zh-CN"/>
        </w:rPr>
        <w:t>实现减碳</w:t>
      </w:r>
      <w:proofErr w:type="gramEnd"/>
      <w:r w:rsidR="00AA771D" w:rsidRPr="00123293">
        <w:rPr>
          <w:rFonts w:hint="eastAsia"/>
          <w:sz w:val="21"/>
          <w:szCs w:val="21"/>
          <w:lang w:eastAsia="zh-CN"/>
        </w:rPr>
        <w:t>4.07%</w:t>
      </w:r>
      <w:r w:rsidR="00AA771D" w:rsidRPr="00123293">
        <w:rPr>
          <w:rFonts w:hint="eastAsia"/>
          <w:sz w:val="21"/>
          <w:szCs w:val="21"/>
          <w:lang w:eastAsia="zh-CN"/>
        </w:rPr>
        <w:t>。</w:t>
      </w:r>
    </w:p>
    <w:p w:rsidR="00A34423" w:rsidRDefault="00A34423" w:rsidP="00674767">
      <w:pPr>
        <w:pStyle w:val="a3"/>
        <w:spacing w:line="240" w:lineRule="auto"/>
        <w:ind w:left="405" w:right="210"/>
        <w:rPr>
          <w:sz w:val="21"/>
          <w:szCs w:val="21"/>
          <w:lang w:eastAsia="zh-CN"/>
        </w:rPr>
      </w:pPr>
    </w:p>
    <w:p w:rsidR="00A34423" w:rsidRPr="00123293" w:rsidRDefault="00841967" w:rsidP="00123293">
      <w:pPr>
        <w:spacing w:line="240" w:lineRule="auto"/>
        <w:ind w:right="210"/>
        <w:rPr>
          <w:sz w:val="21"/>
          <w:szCs w:val="21"/>
          <w:lang w:eastAsia="zh-CN"/>
        </w:rPr>
      </w:pPr>
      <w:r w:rsidRPr="00123293">
        <w:rPr>
          <w:rFonts w:hint="eastAsia"/>
          <w:sz w:val="21"/>
          <w:szCs w:val="21"/>
          <w:lang w:eastAsia="zh-CN"/>
        </w:rPr>
        <w:t>实施</w:t>
      </w:r>
      <w:proofErr w:type="gramStart"/>
      <w:r w:rsidRPr="00123293">
        <w:rPr>
          <w:rFonts w:hint="eastAsia"/>
          <w:sz w:val="21"/>
          <w:szCs w:val="21"/>
          <w:lang w:eastAsia="zh-CN"/>
        </w:rPr>
        <w:t>以上减碳</w:t>
      </w:r>
      <w:proofErr w:type="gramEnd"/>
      <w:r w:rsidRPr="00123293">
        <w:rPr>
          <w:rFonts w:hint="eastAsia"/>
          <w:sz w:val="21"/>
          <w:szCs w:val="21"/>
          <w:lang w:eastAsia="zh-CN"/>
        </w:rPr>
        <w:t>路径后市政综合体在生命周期内预计可减少碳排放</w:t>
      </w:r>
      <w:r w:rsidRPr="00123293">
        <w:rPr>
          <w:rFonts w:hint="eastAsia"/>
          <w:sz w:val="21"/>
          <w:szCs w:val="21"/>
          <w:lang w:eastAsia="zh-CN"/>
        </w:rPr>
        <w:t>44.28%</w:t>
      </w:r>
      <w:r w:rsidRPr="00123293">
        <w:rPr>
          <w:rFonts w:hint="eastAsia"/>
          <w:sz w:val="21"/>
          <w:szCs w:val="21"/>
          <w:lang w:eastAsia="zh-CN"/>
        </w:rPr>
        <w:t>。</w:t>
      </w:r>
    </w:p>
    <w:p w:rsidR="00841967" w:rsidRPr="00841967" w:rsidRDefault="00841967" w:rsidP="00841967">
      <w:pPr>
        <w:pStyle w:val="a3"/>
        <w:numPr>
          <w:ilvl w:val="1"/>
          <w:numId w:val="1"/>
        </w:numPr>
        <w:spacing w:line="240" w:lineRule="auto"/>
        <w:ind w:right="210"/>
        <w:rPr>
          <w:sz w:val="21"/>
          <w:szCs w:val="21"/>
          <w:lang w:eastAsia="zh-CN"/>
        </w:rPr>
      </w:pPr>
      <w:r w:rsidRPr="00841967">
        <w:rPr>
          <w:rFonts w:hint="eastAsia"/>
          <w:sz w:val="21"/>
          <w:szCs w:val="21"/>
          <w:lang w:eastAsia="zh-CN"/>
        </w:rPr>
        <w:t>开发市政综合体低碳教育功能</w:t>
      </w:r>
    </w:p>
    <w:p w:rsidR="00841967" w:rsidRPr="00123293" w:rsidRDefault="00F010BA" w:rsidP="00123293">
      <w:pPr>
        <w:spacing w:line="240" w:lineRule="auto"/>
        <w:ind w:left="210" w:right="210"/>
        <w:rPr>
          <w:sz w:val="21"/>
          <w:szCs w:val="21"/>
          <w:lang w:eastAsia="zh-CN"/>
        </w:rPr>
      </w:pPr>
      <w:r w:rsidRPr="00123293">
        <w:rPr>
          <w:rFonts w:hint="eastAsia"/>
          <w:sz w:val="21"/>
          <w:szCs w:val="21"/>
          <w:lang w:eastAsia="zh-CN"/>
        </w:rPr>
        <w:t>市政综合体集合了各种社区功能于一身，其中也包括了教育功能，而此处的教育功能并非狭义的技能教育或文化教育，而应将公民社会教育也纳入其中，即要起到向社区居民传播新的社会理念，推动社会文明的进步。“双碳”战略是国家层面的战略需求，这一战略将贯穿十九大所提出的</w:t>
      </w:r>
      <w:r w:rsidR="003F481B" w:rsidRPr="00123293">
        <w:rPr>
          <w:rFonts w:hint="eastAsia"/>
          <w:sz w:val="21"/>
          <w:szCs w:val="21"/>
          <w:lang w:eastAsia="zh-CN"/>
        </w:rPr>
        <w:t>“发展新阶段”，这是在进入新时代后实现真正意义上的生态文明、美丽</w:t>
      </w:r>
      <w:proofErr w:type="gramStart"/>
      <w:r w:rsidR="003F481B" w:rsidRPr="00123293">
        <w:rPr>
          <w:rFonts w:hint="eastAsia"/>
          <w:sz w:val="21"/>
          <w:szCs w:val="21"/>
          <w:lang w:eastAsia="zh-CN"/>
        </w:rPr>
        <w:t>中国愿景以及</w:t>
      </w:r>
      <w:proofErr w:type="gramEnd"/>
      <w:r w:rsidR="003F481B" w:rsidRPr="00123293">
        <w:rPr>
          <w:rFonts w:hint="eastAsia"/>
          <w:sz w:val="21"/>
          <w:szCs w:val="21"/>
          <w:lang w:eastAsia="zh-CN"/>
        </w:rPr>
        <w:t>现代化的重要保障。居民作为社区的主体，也是市政综合体</w:t>
      </w:r>
      <w:r w:rsidR="003F481B" w:rsidRPr="00123293">
        <w:rPr>
          <w:rFonts w:hint="eastAsia"/>
          <w:sz w:val="21"/>
          <w:szCs w:val="21"/>
          <w:lang w:eastAsia="zh-CN"/>
        </w:rPr>
        <w:lastRenderedPageBreak/>
        <w:t>的主要用户理应充分理解并在生活中</w:t>
      </w:r>
      <w:proofErr w:type="gramStart"/>
      <w:r w:rsidR="003F481B" w:rsidRPr="00123293">
        <w:rPr>
          <w:rFonts w:hint="eastAsia"/>
          <w:sz w:val="21"/>
          <w:szCs w:val="21"/>
          <w:lang w:eastAsia="zh-CN"/>
        </w:rPr>
        <w:t>践行</w:t>
      </w:r>
      <w:proofErr w:type="gramEnd"/>
      <w:r w:rsidR="003F481B" w:rsidRPr="00123293">
        <w:rPr>
          <w:rFonts w:hint="eastAsia"/>
          <w:sz w:val="21"/>
          <w:szCs w:val="21"/>
          <w:lang w:eastAsia="zh-CN"/>
        </w:rPr>
        <w:t>“双碳”理念，但目前</w:t>
      </w:r>
      <w:proofErr w:type="gramStart"/>
      <w:r w:rsidR="003F481B" w:rsidRPr="00123293">
        <w:rPr>
          <w:rFonts w:hint="eastAsia"/>
          <w:sz w:val="21"/>
          <w:szCs w:val="21"/>
          <w:lang w:eastAsia="zh-CN"/>
        </w:rPr>
        <w:t>减碳行动</w:t>
      </w:r>
      <w:proofErr w:type="gramEnd"/>
      <w:r w:rsidR="003F481B" w:rsidRPr="00123293">
        <w:rPr>
          <w:rFonts w:hint="eastAsia"/>
          <w:sz w:val="21"/>
          <w:szCs w:val="21"/>
          <w:lang w:eastAsia="zh-CN"/>
        </w:rPr>
        <w:t>多面向于产业结构层面，而较少涉及民众生活，因此民众对何为“双碳”战略、如何实现“双碳战略”认识不清，亟需合适的平台进行相关宣传工作。市政综合体作为低碳示范建筑计划应用大量的低碳技术，并且作为居民的活动中心有开展群众集体教育的条件，因此十分适合进行相关低碳教育。</w:t>
      </w:r>
    </w:p>
    <w:p w:rsidR="00680C48" w:rsidRDefault="00680C48" w:rsidP="00680C48">
      <w:pPr>
        <w:pStyle w:val="a3"/>
        <w:numPr>
          <w:ilvl w:val="2"/>
          <w:numId w:val="1"/>
        </w:numPr>
        <w:spacing w:line="240" w:lineRule="auto"/>
        <w:ind w:right="210"/>
        <w:rPr>
          <w:sz w:val="21"/>
          <w:szCs w:val="21"/>
          <w:lang w:eastAsia="zh-CN"/>
        </w:rPr>
      </w:pPr>
      <w:r>
        <w:rPr>
          <w:rFonts w:hint="eastAsia"/>
          <w:sz w:val="21"/>
          <w:szCs w:val="21"/>
          <w:lang w:eastAsia="zh-CN"/>
        </w:rPr>
        <w:t>能源站运行参观功能设计</w:t>
      </w:r>
    </w:p>
    <w:p w:rsidR="002862D5" w:rsidRDefault="00680C48" w:rsidP="00F42DC9">
      <w:pPr>
        <w:spacing w:line="240" w:lineRule="auto"/>
        <w:ind w:left="210" w:right="210"/>
        <w:rPr>
          <w:sz w:val="21"/>
          <w:szCs w:val="21"/>
          <w:lang w:eastAsia="zh-CN"/>
        </w:rPr>
      </w:pPr>
      <w:r>
        <w:rPr>
          <w:rFonts w:hint="eastAsia"/>
          <w:sz w:val="21"/>
          <w:szCs w:val="21"/>
          <w:lang w:eastAsia="zh-CN"/>
        </w:rPr>
        <w:t>市政综合体的能源站设在地下二层，其用于安装供市政综合体所有建筑</w:t>
      </w:r>
      <w:r w:rsidR="00A44B54">
        <w:rPr>
          <w:rFonts w:hint="eastAsia"/>
          <w:sz w:val="21"/>
          <w:szCs w:val="21"/>
          <w:lang w:eastAsia="zh-CN"/>
        </w:rPr>
        <w:t>使用</w:t>
      </w:r>
      <w:r>
        <w:rPr>
          <w:rFonts w:hint="eastAsia"/>
          <w:sz w:val="21"/>
          <w:szCs w:val="21"/>
          <w:lang w:eastAsia="zh-CN"/>
        </w:rPr>
        <w:t>的冷热源设备、热水系统设备、外部能源接入设备以及储能设备，其作为市政综合体的能源中枢起到了各种能源的管理分配与能耗监测作用，是进行能耗管理及低碳运行设计的关键。</w:t>
      </w:r>
      <w:r w:rsidR="00A44B54">
        <w:rPr>
          <w:rFonts w:hint="eastAsia"/>
          <w:sz w:val="21"/>
          <w:szCs w:val="21"/>
          <w:lang w:eastAsia="zh-CN"/>
        </w:rPr>
        <w:t>因此具有进行低碳教育的先天优势。并且能源站采取顶部上空结构，与地下一层打通，形成了高</w:t>
      </w:r>
      <w:r w:rsidR="00A44B54">
        <w:rPr>
          <w:rFonts w:hint="eastAsia"/>
          <w:sz w:val="21"/>
          <w:szCs w:val="21"/>
          <w:lang w:eastAsia="zh-CN"/>
        </w:rPr>
        <w:t>9.3m</w:t>
      </w:r>
      <w:r w:rsidR="00A44B54">
        <w:rPr>
          <w:rFonts w:hint="eastAsia"/>
          <w:sz w:val="21"/>
          <w:szCs w:val="21"/>
          <w:lang w:eastAsia="zh-CN"/>
        </w:rPr>
        <w:t>的独立开敞空间，适于各种展示设备的布置。</w:t>
      </w:r>
    </w:p>
    <w:p w:rsidR="00E4047E" w:rsidRDefault="00E4047E" w:rsidP="00680C48">
      <w:pPr>
        <w:spacing w:line="240" w:lineRule="auto"/>
        <w:ind w:left="210" w:right="210"/>
        <w:rPr>
          <w:sz w:val="21"/>
          <w:szCs w:val="21"/>
          <w:lang w:eastAsia="zh-CN"/>
        </w:rPr>
      </w:pPr>
      <w:r>
        <w:rPr>
          <w:rFonts w:hint="eastAsia"/>
          <w:sz w:val="21"/>
          <w:szCs w:val="21"/>
          <w:lang w:eastAsia="zh-CN"/>
        </w:rPr>
        <w:t>为了保证参观者的安全以及设备的正常运转，参观者在参观时</w:t>
      </w:r>
      <w:proofErr w:type="gramStart"/>
      <w:r>
        <w:rPr>
          <w:rFonts w:hint="eastAsia"/>
          <w:sz w:val="21"/>
          <w:szCs w:val="21"/>
          <w:lang w:eastAsia="zh-CN"/>
        </w:rPr>
        <w:t>不</w:t>
      </w:r>
      <w:proofErr w:type="gramEnd"/>
      <w:r>
        <w:rPr>
          <w:rFonts w:hint="eastAsia"/>
          <w:sz w:val="21"/>
          <w:szCs w:val="21"/>
          <w:lang w:eastAsia="zh-CN"/>
        </w:rPr>
        <w:t>近距离靠近设备，因此需要设置专用的参观廊道</w:t>
      </w:r>
      <w:r w:rsidR="002862D5">
        <w:rPr>
          <w:rFonts w:hint="eastAsia"/>
          <w:sz w:val="21"/>
          <w:szCs w:val="21"/>
          <w:lang w:eastAsia="zh-CN"/>
        </w:rPr>
        <w:t>，参观廊道的平面示意图如图</w:t>
      </w:r>
      <w:r w:rsidR="002862D5">
        <w:rPr>
          <w:rFonts w:hint="eastAsia"/>
          <w:sz w:val="21"/>
          <w:szCs w:val="21"/>
          <w:lang w:eastAsia="zh-CN"/>
        </w:rPr>
        <w:t>x</w:t>
      </w:r>
      <w:r w:rsidR="002862D5">
        <w:rPr>
          <w:rFonts w:hint="eastAsia"/>
          <w:sz w:val="21"/>
          <w:szCs w:val="21"/>
          <w:lang w:eastAsia="zh-CN"/>
        </w:rPr>
        <w:t>所示</w:t>
      </w:r>
      <w:r w:rsidR="00220D73">
        <w:rPr>
          <w:rFonts w:hint="eastAsia"/>
          <w:sz w:val="21"/>
          <w:szCs w:val="21"/>
          <w:lang w:eastAsia="zh-CN"/>
        </w:rPr>
        <w:t>。考虑到进入的方便性以及消防疏散等需求，参观廊道</w:t>
      </w:r>
      <w:proofErr w:type="gramStart"/>
      <w:r w:rsidR="00220D73">
        <w:rPr>
          <w:rFonts w:hint="eastAsia"/>
          <w:sz w:val="21"/>
          <w:szCs w:val="21"/>
          <w:lang w:eastAsia="zh-CN"/>
        </w:rPr>
        <w:t>宜设置</w:t>
      </w:r>
      <w:proofErr w:type="gramEnd"/>
      <w:r w:rsidR="00220D73">
        <w:rPr>
          <w:rFonts w:hint="eastAsia"/>
          <w:sz w:val="21"/>
          <w:szCs w:val="21"/>
          <w:lang w:eastAsia="zh-CN"/>
        </w:rPr>
        <w:t>在地下一层至地下二层之间，</w:t>
      </w:r>
      <w:r w:rsidR="002C1A08">
        <w:rPr>
          <w:rFonts w:hint="eastAsia"/>
          <w:sz w:val="21"/>
          <w:szCs w:val="21"/>
          <w:lang w:eastAsia="zh-CN"/>
        </w:rPr>
        <w:t>参观</w:t>
      </w:r>
      <w:r w:rsidR="00220D73">
        <w:rPr>
          <w:rFonts w:hint="eastAsia"/>
          <w:sz w:val="21"/>
          <w:szCs w:val="21"/>
          <w:lang w:eastAsia="zh-CN"/>
        </w:rPr>
        <w:t>入口设置在地下一层南侧楼梯</w:t>
      </w:r>
      <w:proofErr w:type="gramStart"/>
      <w:r w:rsidR="00220D73">
        <w:rPr>
          <w:rFonts w:hint="eastAsia"/>
          <w:sz w:val="21"/>
          <w:szCs w:val="21"/>
          <w:lang w:eastAsia="zh-CN"/>
        </w:rPr>
        <w:t>及直梯</w:t>
      </w:r>
      <w:r w:rsidR="002C1A08">
        <w:rPr>
          <w:rFonts w:hint="eastAsia"/>
          <w:sz w:val="21"/>
          <w:szCs w:val="21"/>
          <w:lang w:eastAsia="zh-CN"/>
        </w:rPr>
        <w:t>间</w:t>
      </w:r>
      <w:proofErr w:type="gramEnd"/>
      <w:r w:rsidR="00220D73">
        <w:rPr>
          <w:rFonts w:hint="eastAsia"/>
          <w:sz w:val="21"/>
          <w:szCs w:val="21"/>
          <w:lang w:eastAsia="zh-CN"/>
        </w:rPr>
        <w:t>出入口处</w:t>
      </w:r>
      <w:r w:rsidR="002C1A08">
        <w:rPr>
          <w:rFonts w:hint="eastAsia"/>
          <w:sz w:val="21"/>
          <w:szCs w:val="21"/>
          <w:lang w:eastAsia="zh-CN"/>
        </w:rPr>
        <w:t>，参观出口设置在南侧楼梯</w:t>
      </w:r>
      <w:proofErr w:type="gramStart"/>
      <w:r w:rsidR="002C1A08">
        <w:rPr>
          <w:rFonts w:hint="eastAsia"/>
          <w:sz w:val="21"/>
          <w:szCs w:val="21"/>
          <w:lang w:eastAsia="zh-CN"/>
        </w:rPr>
        <w:t>及直梯间</w:t>
      </w:r>
      <w:proofErr w:type="gramEnd"/>
      <w:r w:rsidR="002C1A08">
        <w:rPr>
          <w:rFonts w:hint="eastAsia"/>
          <w:sz w:val="21"/>
          <w:szCs w:val="21"/>
          <w:lang w:eastAsia="zh-CN"/>
        </w:rPr>
        <w:t>入口处。</w:t>
      </w:r>
      <w:proofErr w:type="gramStart"/>
      <w:r w:rsidR="002C1A08">
        <w:rPr>
          <w:rFonts w:hint="eastAsia"/>
          <w:sz w:val="21"/>
          <w:szCs w:val="21"/>
          <w:lang w:eastAsia="zh-CN"/>
        </w:rPr>
        <w:t>其参观</w:t>
      </w:r>
      <w:proofErr w:type="gramEnd"/>
      <w:r w:rsidR="002C1A08">
        <w:rPr>
          <w:rFonts w:hint="eastAsia"/>
          <w:sz w:val="21"/>
          <w:szCs w:val="21"/>
          <w:lang w:eastAsia="zh-CN"/>
        </w:rPr>
        <w:t>流程如下：进入参观廊道可以俯视整个能源站布局，向前参观可通往科普展示平台，可以与平台上的各种参观设备进行互动。结束科普平台参观后，继续沿廊道参观，可以观看污水源热泵机组工作状况，随后由出口离开能源站结束参观。</w:t>
      </w:r>
    </w:p>
    <w:p w:rsidR="002862D5" w:rsidRDefault="002862D5" w:rsidP="002862D5">
      <w:pPr>
        <w:keepNext/>
        <w:spacing w:line="240" w:lineRule="auto"/>
        <w:ind w:left="210" w:right="210"/>
        <w:jc w:val="center"/>
      </w:pPr>
      <w:r>
        <w:rPr>
          <w:noProof/>
          <w:sz w:val="21"/>
          <w:szCs w:val="21"/>
          <w:lang w:eastAsia="zh-CN" w:bidi="ar-SA"/>
        </w:rPr>
        <w:drawing>
          <wp:inline distT="0" distB="0" distL="0" distR="0">
            <wp:extent cx="4510457" cy="3547872"/>
            <wp:effectExtent l="19050" t="0" r="4393" b="0"/>
            <wp:docPr id="4" name="图片 3" descr="20211119国际路市政综合体_能源站参观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11119国际路市政综合体_能源站参观1.jpg"/>
                    <pic:cNvPicPr/>
                  </pic:nvPicPr>
                  <pic:blipFill>
                    <a:blip r:embed="rId13" cstate="print"/>
                    <a:srcRect r="10100"/>
                    <a:stretch>
                      <a:fillRect/>
                    </a:stretch>
                  </pic:blipFill>
                  <pic:spPr>
                    <a:xfrm>
                      <a:off x="0" y="0"/>
                      <a:ext cx="4510457" cy="3547872"/>
                    </a:xfrm>
                    <a:prstGeom prst="rect">
                      <a:avLst/>
                    </a:prstGeom>
                  </pic:spPr>
                </pic:pic>
              </a:graphicData>
            </a:graphic>
          </wp:inline>
        </w:drawing>
      </w:r>
    </w:p>
    <w:p w:rsidR="002862D5" w:rsidRPr="00F42DC9" w:rsidRDefault="002862D5" w:rsidP="002862D5">
      <w:pPr>
        <w:pStyle w:val="a8"/>
        <w:jc w:val="center"/>
        <w:rPr>
          <w:rFonts w:ascii="黑体" w:eastAsia="黑体" w:hAnsi="黑体"/>
          <w:b w:val="0"/>
          <w:color w:val="auto"/>
          <w:sz w:val="21"/>
          <w:szCs w:val="21"/>
          <w:lang w:eastAsia="zh-CN"/>
        </w:rPr>
      </w:pPr>
      <w:r w:rsidRPr="00F42DC9">
        <w:rPr>
          <w:rFonts w:ascii="黑体" w:eastAsia="黑体" w:hAnsi="黑体" w:hint="eastAsia"/>
          <w:b w:val="0"/>
          <w:color w:val="auto"/>
          <w:sz w:val="21"/>
          <w:szCs w:val="21"/>
          <w:lang w:eastAsia="zh-CN"/>
        </w:rPr>
        <w:t>图x 能源站参观廊道示意图</w:t>
      </w:r>
    </w:p>
    <w:p w:rsidR="002C1A08" w:rsidRDefault="002C1A08" w:rsidP="00680C48">
      <w:pPr>
        <w:spacing w:line="240" w:lineRule="auto"/>
        <w:ind w:left="210" w:right="210"/>
        <w:rPr>
          <w:sz w:val="21"/>
          <w:szCs w:val="21"/>
          <w:lang w:eastAsia="zh-CN"/>
        </w:rPr>
      </w:pPr>
      <w:r>
        <w:rPr>
          <w:rFonts w:hint="eastAsia"/>
          <w:sz w:val="21"/>
          <w:szCs w:val="21"/>
          <w:lang w:eastAsia="zh-CN"/>
        </w:rPr>
        <w:t>参观廊道</w:t>
      </w:r>
      <w:r w:rsidR="00D80F2F">
        <w:rPr>
          <w:rFonts w:hint="eastAsia"/>
          <w:sz w:val="21"/>
          <w:szCs w:val="21"/>
          <w:lang w:eastAsia="zh-CN"/>
        </w:rPr>
        <w:t>设计</w:t>
      </w:r>
      <w:r>
        <w:rPr>
          <w:rFonts w:hint="eastAsia"/>
          <w:sz w:val="21"/>
          <w:szCs w:val="21"/>
          <w:lang w:eastAsia="zh-CN"/>
        </w:rPr>
        <w:t>宽</w:t>
      </w:r>
      <w:r>
        <w:rPr>
          <w:rFonts w:hint="eastAsia"/>
          <w:sz w:val="21"/>
          <w:szCs w:val="21"/>
          <w:lang w:eastAsia="zh-CN"/>
        </w:rPr>
        <w:t>2m</w:t>
      </w:r>
      <w:r>
        <w:rPr>
          <w:rFonts w:hint="eastAsia"/>
          <w:sz w:val="21"/>
          <w:szCs w:val="21"/>
          <w:lang w:eastAsia="zh-CN"/>
        </w:rPr>
        <w:t>，考虑到降低成本及资源循环利用思想，廊道主体由建造阶段的</w:t>
      </w:r>
      <w:proofErr w:type="gramStart"/>
      <w:r>
        <w:rPr>
          <w:rFonts w:hint="eastAsia"/>
          <w:sz w:val="21"/>
          <w:szCs w:val="21"/>
          <w:lang w:eastAsia="zh-CN"/>
        </w:rPr>
        <w:t>各种余废建筑材料</w:t>
      </w:r>
      <w:proofErr w:type="gramEnd"/>
      <w:r>
        <w:rPr>
          <w:rFonts w:hint="eastAsia"/>
          <w:sz w:val="21"/>
          <w:szCs w:val="21"/>
          <w:lang w:eastAsia="zh-CN"/>
        </w:rPr>
        <w:t>制成，在建筑构件及结构的醒目位置处表明使用的建筑余废料类型以及</w:t>
      </w:r>
      <w:r>
        <w:rPr>
          <w:rFonts w:hint="eastAsia"/>
          <w:sz w:val="21"/>
          <w:szCs w:val="21"/>
          <w:lang w:eastAsia="zh-CN"/>
        </w:rPr>
        <w:lastRenderedPageBreak/>
        <w:t>其碳排放因子，这一设计可以使参观者直观了解到建筑材料的碳排放情况，增强其资源回收利用意识。</w:t>
      </w:r>
    </w:p>
    <w:p w:rsidR="00D80F2F" w:rsidRDefault="00D80F2F" w:rsidP="00680C48">
      <w:pPr>
        <w:spacing w:line="240" w:lineRule="auto"/>
        <w:ind w:left="210" w:right="210"/>
        <w:rPr>
          <w:sz w:val="21"/>
          <w:szCs w:val="21"/>
          <w:lang w:eastAsia="zh-CN"/>
        </w:rPr>
      </w:pPr>
      <w:r>
        <w:rPr>
          <w:rFonts w:hint="eastAsia"/>
          <w:sz w:val="21"/>
          <w:szCs w:val="21"/>
          <w:lang w:eastAsia="zh-CN"/>
        </w:rPr>
        <w:t>科普展示平台设计面积为</w:t>
      </w:r>
      <w:r>
        <w:rPr>
          <w:rFonts w:hint="eastAsia"/>
          <w:sz w:val="21"/>
          <w:szCs w:val="21"/>
          <w:lang w:eastAsia="zh-CN"/>
        </w:rPr>
        <w:t>70.8m</w:t>
      </w:r>
      <w:r w:rsidRPr="00D80F2F">
        <w:rPr>
          <w:rFonts w:hint="eastAsia"/>
          <w:sz w:val="21"/>
          <w:szCs w:val="21"/>
          <w:vertAlign w:val="superscript"/>
          <w:lang w:eastAsia="zh-CN"/>
        </w:rPr>
        <w:t>2</w:t>
      </w:r>
      <w:r>
        <w:rPr>
          <w:rFonts w:hint="eastAsia"/>
          <w:sz w:val="21"/>
          <w:szCs w:val="21"/>
          <w:lang w:eastAsia="zh-CN"/>
        </w:rPr>
        <w:t>，主要用于布置各种展示设备以及参观辅助设备。利用显示设备显示市政综合体的实时用电数据以及可再生</w:t>
      </w:r>
      <w:r w:rsidR="002862D5">
        <w:rPr>
          <w:rFonts w:hint="eastAsia"/>
          <w:sz w:val="21"/>
          <w:szCs w:val="21"/>
          <w:lang w:eastAsia="zh-CN"/>
        </w:rPr>
        <w:t>能源接入情况，并计算各用电设备的实时碳排放情况。利用展台向参观者讲解说明市政综合体所采用的</w:t>
      </w:r>
      <w:proofErr w:type="gramStart"/>
      <w:r w:rsidR="002862D5">
        <w:rPr>
          <w:rFonts w:hint="eastAsia"/>
          <w:sz w:val="21"/>
          <w:szCs w:val="21"/>
          <w:lang w:eastAsia="zh-CN"/>
        </w:rPr>
        <w:t>各种减碳策略</w:t>
      </w:r>
      <w:proofErr w:type="gramEnd"/>
      <w:r w:rsidR="002862D5">
        <w:rPr>
          <w:rFonts w:hint="eastAsia"/>
          <w:sz w:val="21"/>
          <w:szCs w:val="21"/>
          <w:lang w:eastAsia="zh-CN"/>
        </w:rPr>
        <w:t>，并着重展示各种技术是如何</w:t>
      </w:r>
      <w:proofErr w:type="gramStart"/>
      <w:r w:rsidR="002862D5">
        <w:rPr>
          <w:rFonts w:hint="eastAsia"/>
          <w:sz w:val="21"/>
          <w:szCs w:val="21"/>
          <w:lang w:eastAsia="zh-CN"/>
        </w:rPr>
        <w:t>实现碳减排</w:t>
      </w:r>
      <w:proofErr w:type="gramEnd"/>
      <w:r w:rsidR="002862D5">
        <w:rPr>
          <w:rFonts w:hint="eastAsia"/>
          <w:sz w:val="21"/>
          <w:szCs w:val="21"/>
          <w:lang w:eastAsia="zh-CN"/>
        </w:rPr>
        <w:t>的功能。与此同时可以展示污水源热泵的工作原理模型（数字或缩比实物），向参观者演示如何从污水中获取热能，加深参观者对资源高效利用技术的认知程度。</w:t>
      </w:r>
    </w:p>
    <w:p w:rsidR="002862D5" w:rsidRPr="002862D5" w:rsidRDefault="001057A3" w:rsidP="002862D5">
      <w:pPr>
        <w:pStyle w:val="a3"/>
        <w:numPr>
          <w:ilvl w:val="2"/>
          <w:numId w:val="1"/>
        </w:numPr>
        <w:spacing w:line="240" w:lineRule="auto"/>
        <w:ind w:right="210"/>
        <w:rPr>
          <w:sz w:val="21"/>
          <w:szCs w:val="21"/>
          <w:lang w:eastAsia="zh-CN"/>
        </w:rPr>
      </w:pPr>
      <w:r>
        <w:rPr>
          <w:rFonts w:hint="eastAsia"/>
          <w:sz w:val="21"/>
          <w:szCs w:val="21"/>
          <w:lang w:eastAsia="zh-CN"/>
        </w:rPr>
        <w:t>开发屋顶绿化及光</w:t>
      </w:r>
      <w:proofErr w:type="gramStart"/>
      <w:r>
        <w:rPr>
          <w:rFonts w:hint="eastAsia"/>
          <w:sz w:val="21"/>
          <w:szCs w:val="21"/>
          <w:lang w:eastAsia="zh-CN"/>
        </w:rPr>
        <w:t>伏设备</w:t>
      </w:r>
      <w:proofErr w:type="gramEnd"/>
      <w:r>
        <w:rPr>
          <w:rFonts w:hint="eastAsia"/>
          <w:sz w:val="21"/>
          <w:szCs w:val="21"/>
          <w:lang w:eastAsia="zh-CN"/>
        </w:rPr>
        <w:t>的</w:t>
      </w:r>
      <w:r w:rsidR="002862D5" w:rsidRPr="002862D5">
        <w:rPr>
          <w:rFonts w:hint="eastAsia"/>
          <w:sz w:val="21"/>
          <w:szCs w:val="21"/>
          <w:lang w:eastAsia="zh-CN"/>
        </w:rPr>
        <w:t>低碳教育作用</w:t>
      </w:r>
    </w:p>
    <w:p w:rsidR="002862D5" w:rsidRDefault="002862D5" w:rsidP="002862D5">
      <w:pPr>
        <w:spacing w:line="240" w:lineRule="auto"/>
        <w:ind w:left="210" w:right="210"/>
        <w:rPr>
          <w:sz w:val="21"/>
          <w:szCs w:val="21"/>
          <w:lang w:eastAsia="zh-CN"/>
        </w:rPr>
      </w:pPr>
      <w:r>
        <w:rPr>
          <w:rFonts w:hint="eastAsia"/>
          <w:sz w:val="21"/>
          <w:szCs w:val="21"/>
          <w:lang w:eastAsia="zh-CN"/>
        </w:rPr>
        <w:t>市政综合体在规划之初将屋顶闲置区域设计成为空中绿地，以供市民休闲娱乐。</w:t>
      </w:r>
      <w:r w:rsidR="001057A3">
        <w:rPr>
          <w:rFonts w:hint="eastAsia"/>
          <w:sz w:val="21"/>
          <w:szCs w:val="21"/>
          <w:lang w:eastAsia="zh-CN"/>
        </w:rPr>
        <w:t>除此之外，在制定低碳路径时还考虑在屋顶区域安装光伏光热一体化设备，在规划时按照屋顶可利用面积的</w:t>
      </w:r>
      <w:r w:rsidR="001057A3">
        <w:rPr>
          <w:rFonts w:hint="eastAsia"/>
          <w:sz w:val="21"/>
          <w:szCs w:val="21"/>
          <w:lang w:eastAsia="zh-CN"/>
        </w:rPr>
        <w:t>50%</w:t>
      </w:r>
      <w:r w:rsidR="001057A3">
        <w:rPr>
          <w:rFonts w:hint="eastAsia"/>
          <w:sz w:val="21"/>
          <w:szCs w:val="21"/>
          <w:lang w:eastAsia="zh-CN"/>
        </w:rPr>
        <w:t>进行布置。以上二者均布置在屋顶的可上人开阔区域，可以充分发挥其</w:t>
      </w:r>
      <w:r w:rsidR="00064352">
        <w:rPr>
          <w:rFonts w:hint="eastAsia"/>
          <w:sz w:val="21"/>
          <w:szCs w:val="21"/>
          <w:lang w:eastAsia="zh-CN"/>
        </w:rPr>
        <w:t>低碳教育作用。</w:t>
      </w:r>
    </w:p>
    <w:p w:rsidR="00064352" w:rsidRDefault="00064352" w:rsidP="002862D5">
      <w:pPr>
        <w:spacing w:line="240" w:lineRule="auto"/>
        <w:ind w:left="210" w:right="210"/>
        <w:rPr>
          <w:sz w:val="21"/>
          <w:szCs w:val="21"/>
          <w:lang w:eastAsia="zh-CN"/>
        </w:rPr>
      </w:pPr>
      <w:r>
        <w:rPr>
          <w:rFonts w:hint="eastAsia"/>
          <w:sz w:val="21"/>
          <w:szCs w:val="21"/>
          <w:lang w:eastAsia="zh-CN"/>
        </w:rPr>
        <w:t>对于屋顶绿化部分，其在</w:t>
      </w:r>
      <w:proofErr w:type="gramStart"/>
      <w:r>
        <w:rPr>
          <w:rFonts w:hint="eastAsia"/>
          <w:sz w:val="21"/>
          <w:szCs w:val="21"/>
          <w:lang w:eastAsia="zh-CN"/>
        </w:rPr>
        <w:t>减碳方面</w:t>
      </w:r>
      <w:proofErr w:type="gramEnd"/>
      <w:r>
        <w:rPr>
          <w:rFonts w:hint="eastAsia"/>
          <w:sz w:val="21"/>
          <w:szCs w:val="21"/>
          <w:lang w:eastAsia="zh-CN"/>
        </w:rPr>
        <w:t>最突出的</w:t>
      </w:r>
      <w:r w:rsidR="00E82FF3">
        <w:rPr>
          <w:rFonts w:hint="eastAsia"/>
          <w:sz w:val="21"/>
          <w:szCs w:val="21"/>
          <w:lang w:eastAsia="zh-CN"/>
        </w:rPr>
        <w:t>作用</w:t>
      </w:r>
      <w:r>
        <w:rPr>
          <w:rFonts w:hint="eastAsia"/>
          <w:sz w:val="21"/>
          <w:szCs w:val="21"/>
          <w:lang w:eastAsia="zh-CN"/>
        </w:rPr>
        <w:t>就是利用光合作用进行固碳，从而在屋顶区域形成碳汇。</w:t>
      </w:r>
      <w:r w:rsidR="00881797">
        <w:rPr>
          <w:rFonts w:hint="eastAsia"/>
          <w:sz w:val="21"/>
          <w:szCs w:val="21"/>
          <w:lang w:eastAsia="zh-CN"/>
        </w:rPr>
        <w:t>与此同时，在屋顶布置绿化设施还能提高屋顶的热工性能，间接降低室内的冷热负荷，从而实现设备层面的节能降碳；除此之外，屋顶绿化所需要的土壤基础可实现雨水等水资源的回收，进一步提升市政综合体的资源利用率。根据相关研究文献</w:t>
      </w:r>
      <w:r w:rsidR="00881797">
        <w:rPr>
          <w:rFonts w:hint="eastAsia"/>
          <w:sz w:val="21"/>
          <w:szCs w:val="21"/>
          <w:lang w:eastAsia="zh-CN"/>
        </w:rPr>
        <w:t>[14][15]</w:t>
      </w:r>
      <w:r w:rsidR="00881797">
        <w:rPr>
          <w:rFonts w:hint="eastAsia"/>
          <w:sz w:val="21"/>
          <w:szCs w:val="21"/>
          <w:lang w:eastAsia="zh-CN"/>
        </w:rPr>
        <w:t>，单位绿化面积</w:t>
      </w:r>
      <w:proofErr w:type="gramStart"/>
      <w:r w:rsidR="00881797">
        <w:rPr>
          <w:rFonts w:hint="eastAsia"/>
          <w:sz w:val="21"/>
          <w:szCs w:val="21"/>
          <w:lang w:eastAsia="zh-CN"/>
        </w:rPr>
        <w:t>苋</w:t>
      </w:r>
      <w:proofErr w:type="gramEnd"/>
      <w:r w:rsidR="00881797">
        <w:rPr>
          <w:rFonts w:hint="eastAsia"/>
          <w:sz w:val="21"/>
          <w:szCs w:val="21"/>
          <w:lang w:eastAsia="zh-CN"/>
        </w:rPr>
        <w:t>科植物与景天科植物</w:t>
      </w:r>
      <w:proofErr w:type="gramStart"/>
      <w:r w:rsidR="00881797">
        <w:rPr>
          <w:rFonts w:hint="eastAsia"/>
          <w:sz w:val="21"/>
          <w:szCs w:val="21"/>
          <w:lang w:eastAsia="zh-CN"/>
        </w:rPr>
        <w:t>拥较好的固碳释氧</w:t>
      </w:r>
      <w:proofErr w:type="gramEnd"/>
      <w:r w:rsidR="00881797">
        <w:rPr>
          <w:rFonts w:hint="eastAsia"/>
          <w:sz w:val="21"/>
          <w:szCs w:val="21"/>
          <w:lang w:eastAsia="zh-CN"/>
        </w:rPr>
        <w:t>效果，其中的典型植物有大花马齿苋、毛马齿苋</w:t>
      </w:r>
      <w:proofErr w:type="gramStart"/>
      <w:r w:rsidR="00881797">
        <w:rPr>
          <w:rFonts w:hint="eastAsia"/>
          <w:sz w:val="21"/>
          <w:szCs w:val="21"/>
          <w:lang w:eastAsia="zh-CN"/>
        </w:rPr>
        <w:t>以及藓状景天</w:t>
      </w:r>
      <w:proofErr w:type="gramEnd"/>
      <w:r w:rsidR="00881797">
        <w:rPr>
          <w:rFonts w:hint="eastAsia"/>
          <w:sz w:val="21"/>
          <w:szCs w:val="21"/>
          <w:lang w:eastAsia="zh-CN"/>
        </w:rPr>
        <w:t>，且上述植物具有较好的观赏效果，适合作为屋顶绿化植物。根据估算，若在屋顶种植上述植物，每年可</w:t>
      </w:r>
      <w:proofErr w:type="gramStart"/>
      <w:r w:rsidR="00881797">
        <w:rPr>
          <w:rFonts w:hint="eastAsia"/>
          <w:sz w:val="21"/>
          <w:szCs w:val="21"/>
          <w:lang w:eastAsia="zh-CN"/>
        </w:rPr>
        <w:t>实现固碳</w:t>
      </w:r>
      <w:proofErr w:type="gramEnd"/>
      <w:r w:rsidR="002257C5">
        <w:rPr>
          <w:rFonts w:hint="eastAsia"/>
          <w:sz w:val="21"/>
          <w:szCs w:val="21"/>
          <w:lang w:eastAsia="zh-CN"/>
        </w:rPr>
        <w:t>20.08</w:t>
      </w:r>
      <w:r w:rsidR="002257C5" w:rsidRPr="000D2EC8">
        <w:rPr>
          <w:rFonts w:hint="eastAsia"/>
          <w:sz w:val="21"/>
          <w:szCs w:val="21"/>
          <w:lang w:eastAsia="zh-CN"/>
        </w:rPr>
        <w:t>tCO</w:t>
      </w:r>
      <w:r w:rsidR="002257C5" w:rsidRPr="000D2EC8">
        <w:rPr>
          <w:rFonts w:hint="eastAsia"/>
          <w:sz w:val="21"/>
          <w:szCs w:val="21"/>
          <w:vertAlign w:val="subscript"/>
          <w:lang w:eastAsia="zh-CN"/>
        </w:rPr>
        <w:t>2</w:t>
      </w:r>
      <w:r w:rsidR="002257C5">
        <w:rPr>
          <w:rFonts w:hint="eastAsia"/>
          <w:sz w:val="21"/>
          <w:szCs w:val="21"/>
          <w:lang w:eastAsia="zh-CN"/>
        </w:rPr>
        <w:t>。在屋顶绿化区域可设立电子展牌详细介绍所种植植物</w:t>
      </w:r>
      <w:proofErr w:type="gramStart"/>
      <w:r w:rsidR="002257C5">
        <w:rPr>
          <w:rFonts w:hint="eastAsia"/>
          <w:sz w:val="21"/>
          <w:szCs w:val="21"/>
          <w:lang w:eastAsia="zh-CN"/>
        </w:rPr>
        <w:t>的固碳能力</w:t>
      </w:r>
      <w:proofErr w:type="gramEnd"/>
      <w:r w:rsidR="002257C5">
        <w:rPr>
          <w:rFonts w:hint="eastAsia"/>
          <w:sz w:val="21"/>
          <w:szCs w:val="21"/>
          <w:lang w:eastAsia="zh-CN"/>
        </w:rPr>
        <w:t>，并实时显示在当日天气条件下植物的</w:t>
      </w:r>
      <w:proofErr w:type="gramStart"/>
      <w:r w:rsidR="002257C5">
        <w:rPr>
          <w:rFonts w:hint="eastAsia"/>
          <w:sz w:val="21"/>
          <w:szCs w:val="21"/>
          <w:lang w:eastAsia="zh-CN"/>
        </w:rPr>
        <w:t>固碳量</w:t>
      </w:r>
      <w:proofErr w:type="gramEnd"/>
      <w:r w:rsidR="002257C5">
        <w:rPr>
          <w:rFonts w:hint="eastAsia"/>
          <w:sz w:val="21"/>
          <w:szCs w:val="21"/>
          <w:lang w:eastAsia="zh-CN"/>
        </w:rPr>
        <w:t>，借此提高民众保护环境的意识。</w:t>
      </w:r>
    </w:p>
    <w:p w:rsidR="00F42DC9" w:rsidRDefault="00F42DC9" w:rsidP="002862D5">
      <w:pPr>
        <w:spacing w:line="240" w:lineRule="auto"/>
        <w:ind w:left="210" w:right="210"/>
        <w:rPr>
          <w:sz w:val="21"/>
          <w:szCs w:val="21"/>
          <w:lang w:eastAsia="zh-CN"/>
        </w:rPr>
      </w:pPr>
      <w:r>
        <w:rPr>
          <w:rFonts w:hint="eastAsia"/>
          <w:sz w:val="21"/>
          <w:szCs w:val="21"/>
          <w:lang w:eastAsia="zh-CN"/>
        </w:rPr>
        <w:t>对于太阳能光伏部分，可在北部</w:t>
      </w:r>
      <w:proofErr w:type="gramStart"/>
      <w:r>
        <w:rPr>
          <w:rFonts w:hint="eastAsia"/>
          <w:sz w:val="21"/>
          <w:szCs w:val="21"/>
          <w:lang w:eastAsia="zh-CN"/>
        </w:rPr>
        <w:t>医养综合</w:t>
      </w:r>
      <w:proofErr w:type="gramEnd"/>
      <w:r>
        <w:rPr>
          <w:rFonts w:hint="eastAsia"/>
          <w:sz w:val="21"/>
          <w:szCs w:val="21"/>
          <w:lang w:eastAsia="zh-CN"/>
        </w:rPr>
        <w:t>楼屋顶开辟专门的光伏光热设备参观区域，此区域可放置光伏光热设备的原理模型或定制透明外壳的光伏光热设备，使参观者直观了解光伏光热设备的工作原理</w:t>
      </w:r>
      <w:r w:rsidR="00D979EB">
        <w:rPr>
          <w:rFonts w:hint="eastAsia"/>
          <w:sz w:val="21"/>
          <w:szCs w:val="21"/>
          <w:lang w:eastAsia="zh-CN"/>
        </w:rPr>
        <w:t>，了解能源多级利用的概念。利用数字展牌等显示手段介绍光伏光热系统的实时发电量以及热水产生量，使参观者充分了解太阳能资源的重要性。</w:t>
      </w:r>
    </w:p>
    <w:p w:rsidR="00D979EB" w:rsidRPr="00D979EB" w:rsidRDefault="00D979EB" w:rsidP="00D979EB">
      <w:pPr>
        <w:pStyle w:val="a3"/>
        <w:numPr>
          <w:ilvl w:val="1"/>
          <w:numId w:val="1"/>
        </w:numPr>
        <w:spacing w:line="240" w:lineRule="auto"/>
        <w:ind w:right="210"/>
        <w:rPr>
          <w:sz w:val="21"/>
          <w:szCs w:val="21"/>
          <w:lang w:eastAsia="zh-CN"/>
        </w:rPr>
      </w:pPr>
      <w:r w:rsidRPr="00D979EB">
        <w:rPr>
          <w:rFonts w:hint="eastAsia"/>
          <w:sz w:val="21"/>
          <w:szCs w:val="21"/>
          <w:lang w:eastAsia="zh-CN"/>
        </w:rPr>
        <w:t>面向远期的市政综合体能源结构优化</w:t>
      </w:r>
    </w:p>
    <w:p w:rsidR="00D979EB" w:rsidRPr="00D979EB" w:rsidRDefault="00810B2E" w:rsidP="00D979EB">
      <w:pPr>
        <w:spacing w:line="240" w:lineRule="auto"/>
        <w:ind w:left="210" w:right="210"/>
        <w:rPr>
          <w:sz w:val="21"/>
          <w:szCs w:val="21"/>
          <w:lang w:eastAsia="zh-CN"/>
        </w:rPr>
      </w:pPr>
      <w:r>
        <w:rPr>
          <w:rFonts w:hint="eastAsia"/>
          <w:sz w:val="21"/>
          <w:szCs w:val="21"/>
          <w:lang w:eastAsia="zh-CN"/>
        </w:rPr>
        <w:t>上述部分已将市政综合体在设计建造阶段以及运营阶段前期可采用</w:t>
      </w:r>
      <w:proofErr w:type="gramStart"/>
      <w:r>
        <w:rPr>
          <w:rFonts w:hint="eastAsia"/>
          <w:sz w:val="21"/>
          <w:szCs w:val="21"/>
          <w:lang w:eastAsia="zh-CN"/>
        </w:rPr>
        <w:t>的减碳路径</w:t>
      </w:r>
      <w:proofErr w:type="gramEnd"/>
      <w:r>
        <w:rPr>
          <w:rFonts w:hint="eastAsia"/>
          <w:sz w:val="21"/>
          <w:szCs w:val="21"/>
          <w:lang w:eastAsia="zh-CN"/>
        </w:rPr>
        <w:t>作了阐述</w:t>
      </w:r>
      <w:r w:rsidR="00C32AC9">
        <w:rPr>
          <w:rFonts w:hint="eastAsia"/>
          <w:sz w:val="21"/>
          <w:szCs w:val="21"/>
          <w:lang w:eastAsia="zh-CN"/>
        </w:rPr>
        <w:t>，此部分技术</w:t>
      </w:r>
      <w:r>
        <w:rPr>
          <w:rFonts w:hint="eastAsia"/>
          <w:sz w:val="21"/>
          <w:szCs w:val="21"/>
          <w:lang w:eastAsia="zh-CN"/>
        </w:rPr>
        <w:t>路径</w:t>
      </w:r>
      <w:r w:rsidR="00C32AC9">
        <w:rPr>
          <w:rFonts w:hint="eastAsia"/>
          <w:sz w:val="21"/>
          <w:szCs w:val="21"/>
          <w:lang w:eastAsia="zh-CN"/>
        </w:rPr>
        <w:t>主要是利用新技术减少建筑生命周期各活动的碳排放，是站在控制</w:t>
      </w:r>
      <w:r w:rsidR="00E82FF3">
        <w:rPr>
          <w:rFonts w:hint="eastAsia"/>
          <w:sz w:val="21"/>
          <w:szCs w:val="21"/>
          <w:lang w:eastAsia="zh-CN"/>
        </w:rPr>
        <w:t>建筑生命周期材料及能源消耗</w:t>
      </w:r>
      <w:r w:rsidR="00C32AC9">
        <w:rPr>
          <w:rFonts w:hint="eastAsia"/>
          <w:sz w:val="21"/>
          <w:szCs w:val="21"/>
          <w:lang w:eastAsia="zh-CN"/>
        </w:rPr>
        <w:t>的角度制定的，根据计算，采用上述技术路径相较于基准建筑可降低生命周期碳排放</w:t>
      </w:r>
      <w:r w:rsidR="00C32AC9">
        <w:rPr>
          <w:rFonts w:hint="eastAsia"/>
          <w:sz w:val="21"/>
          <w:szCs w:val="21"/>
          <w:lang w:eastAsia="zh-CN"/>
        </w:rPr>
        <w:t>44.28%</w:t>
      </w:r>
      <w:r w:rsidR="00C32AC9">
        <w:rPr>
          <w:rFonts w:hint="eastAsia"/>
          <w:sz w:val="21"/>
          <w:szCs w:val="21"/>
          <w:lang w:eastAsia="zh-CN"/>
        </w:rPr>
        <w:t>，预计可以实现较好</w:t>
      </w:r>
      <w:proofErr w:type="gramStart"/>
      <w:r w:rsidR="00C32AC9">
        <w:rPr>
          <w:rFonts w:hint="eastAsia"/>
          <w:sz w:val="21"/>
          <w:szCs w:val="21"/>
          <w:lang w:eastAsia="zh-CN"/>
        </w:rPr>
        <w:t>的减碳效果</w:t>
      </w:r>
      <w:proofErr w:type="gramEnd"/>
      <w:r w:rsidR="00C32AC9">
        <w:rPr>
          <w:rFonts w:hint="eastAsia"/>
          <w:sz w:val="21"/>
          <w:szCs w:val="21"/>
          <w:lang w:eastAsia="zh-CN"/>
        </w:rPr>
        <w:t>，但距离“零碳”建筑的目标仍有相当大的差距。但仅从控制</w:t>
      </w:r>
      <w:r w:rsidR="00E82FF3">
        <w:rPr>
          <w:rFonts w:hint="eastAsia"/>
          <w:sz w:val="21"/>
          <w:szCs w:val="21"/>
          <w:lang w:eastAsia="zh-CN"/>
        </w:rPr>
        <w:t>能源消耗</w:t>
      </w:r>
      <w:r w:rsidR="00C32AC9">
        <w:rPr>
          <w:rFonts w:hint="eastAsia"/>
          <w:sz w:val="21"/>
          <w:szCs w:val="21"/>
          <w:lang w:eastAsia="zh-CN"/>
        </w:rPr>
        <w:t>的角度去降低碳排放，从而</w:t>
      </w:r>
      <w:r w:rsidR="00377530">
        <w:rPr>
          <w:rFonts w:hint="eastAsia"/>
          <w:sz w:val="21"/>
          <w:szCs w:val="21"/>
          <w:lang w:eastAsia="zh-CN"/>
        </w:rPr>
        <w:t>实现建筑的“零消耗”，就目前的技术来</w:t>
      </w:r>
      <w:r w:rsidR="00C32AC9">
        <w:rPr>
          <w:rFonts w:hint="eastAsia"/>
          <w:sz w:val="21"/>
          <w:szCs w:val="21"/>
          <w:lang w:eastAsia="zh-CN"/>
        </w:rPr>
        <w:t>看是不现实的，</w:t>
      </w:r>
      <w:r w:rsidR="00377530">
        <w:rPr>
          <w:rFonts w:hint="eastAsia"/>
          <w:sz w:val="21"/>
          <w:szCs w:val="21"/>
          <w:lang w:eastAsia="zh-CN"/>
        </w:rPr>
        <w:t>因此后期应全局考虑，从优化市政综合体能源消费结构入手，尽可能增大可再生能源占比，加入</w:t>
      </w:r>
      <w:proofErr w:type="gramStart"/>
      <w:r w:rsidR="00377530">
        <w:rPr>
          <w:rFonts w:hint="eastAsia"/>
          <w:sz w:val="21"/>
          <w:szCs w:val="21"/>
          <w:lang w:eastAsia="zh-CN"/>
        </w:rPr>
        <w:t>碳交易</w:t>
      </w:r>
      <w:proofErr w:type="gramEnd"/>
      <w:r w:rsidR="00377530">
        <w:rPr>
          <w:rFonts w:hint="eastAsia"/>
          <w:sz w:val="21"/>
          <w:szCs w:val="21"/>
          <w:lang w:eastAsia="zh-CN"/>
        </w:rPr>
        <w:t>体系，从而依靠更加主动的手段实现“零碳”建筑目标。</w:t>
      </w:r>
    </w:p>
    <w:p w:rsidR="002257C5" w:rsidRPr="002257C5" w:rsidRDefault="007F5A8A" w:rsidP="002862D5">
      <w:pPr>
        <w:spacing w:line="240" w:lineRule="auto"/>
        <w:ind w:left="210" w:right="210"/>
        <w:rPr>
          <w:sz w:val="21"/>
          <w:szCs w:val="21"/>
          <w:lang w:eastAsia="zh-CN"/>
        </w:rPr>
      </w:pPr>
      <w:r>
        <w:rPr>
          <w:rFonts w:hint="eastAsia"/>
          <w:sz w:val="21"/>
          <w:szCs w:val="21"/>
          <w:lang w:eastAsia="zh-CN"/>
        </w:rPr>
        <w:t xml:space="preserve">2.4.1 </w:t>
      </w:r>
      <w:r>
        <w:rPr>
          <w:rFonts w:hint="eastAsia"/>
          <w:sz w:val="21"/>
          <w:szCs w:val="21"/>
          <w:lang w:eastAsia="zh-CN"/>
        </w:rPr>
        <w:t>引入智慧能源管理系统</w:t>
      </w:r>
    </w:p>
    <w:p w:rsidR="002257C5" w:rsidRDefault="00D53273" w:rsidP="002862D5">
      <w:pPr>
        <w:spacing w:line="240" w:lineRule="auto"/>
        <w:ind w:left="210" w:right="210"/>
        <w:rPr>
          <w:sz w:val="21"/>
          <w:szCs w:val="21"/>
          <w:lang w:eastAsia="zh-CN"/>
        </w:rPr>
      </w:pPr>
      <w:r>
        <w:rPr>
          <w:sz w:val="21"/>
          <w:szCs w:val="21"/>
          <w:lang w:eastAsia="zh-CN"/>
        </w:rPr>
        <w:t>传统建筑的能源主要来自于</w:t>
      </w:r>
      <w:r>
        <w:rPr>
          <w:rFonts w:hint="eastAsia"/>
          <w:sz w:val="21"/>
          <w:szCs w:val="21"/>
          <w:lang w:eastAsia="zh-CN"/>
        </w:rPr>
        <w:t>外部</w:t>
      </w:r>
      <w:r>
        <w:rPr>
          <w:sz w:val="21"/>
          <w:szCs w:val="21"/>
          <w:lang w:eastAsia="zh-CN"/>
        </w:rPr>
        <w:t>电网</w:t>
      </w:r>
      <w:r>
        <w:rPr>
          <w:rFonts w:hint="eastAsia"/>
          <w:sz w:val="21"/>
          <w:szCs w:val="21"/>
          <w:lang w:eastAsia="zh-CN"/>
        </w:rPr>
        <w:t>，来源相对单一，用户侧的需求也较为稳</w:t>
      </w:r>
      <w:r w:rsidR="00FC7361">
        <w:rPr>
          <w:rFonts w:hint="eastAsia"/>
          <w:sz w:val="21"/>
          <w:szCs w:val="21"/>
          <w:lang w:eastAsia="zh-CN"/>
        </w:rPr>
        <w:t>定，因此传统的建筑输配电系统多采用“被动式”配电网，即电网</w:t>
      </w:r>
      <w:r>
        <w:rPr>
          <w:rFonts w:hint="eastAsia"/>
          <w:sz w:val="21"/>
          <w:szCs w:val="21"/>
          <w:lang w:eastAsia="zh-CN"/>
        </w:rPr>
        <w:t>对建筑的能源供给完全依靠能源生产侧的情况进行调节，在不产生故障的情况下是不会对建筑的电量分配</w:t>
      </w:r>
      <w:r w:rsidR="00FC7361">
        <w:rPr>
          <w:rFonts w:hint="eastAsia"/>
          <w:sz w:val="21"/>
          <w:szCs w:val="21"/>
          <w:lang w:eastAsia="zh-CN"/>
        </w:rPr>
        <w:t>情况</w:t>
      </w:r>
      <w:r>
        <w:rPr>
          <w:rFonts w:hint="eastAsia"/>
          <w:sz w:val="21"/>
          <w:szCs w:val="21"/>
          <w:lang w:eastAsia="zh-CN"/>
        </w:rPr>
        <w:t>进行主</w:t>
      </w:r>
      <w:r>
        <w:rPr>
          <w:rFonts w:hint="eastAsia"/>
          <w:sz w:val="21"/>
          <w:szCs w:val="21"/>
          <w:lang w:eastAsia="zh-CN"/>
        </w:rPr>
        <w:lastRenderedPageBreak/>
        <w:t>动调节，这也意味着在传统的配电模式下由电网输入给建筑的电能一般是无法及时</w:t>
      </w:r>
      <w:r w:rsidR="00DA0A8B">
        <w:rPr>
          <w:rFonts w:hint="eastAsia"/>
          <w:sz w:val="21"/>
          <w:szCs w:val="21"/>
          <w:lang w:eastAsia="zh-CN"/>
        </w:rPr>
        <w:t>相应用户侧的用电需求变化</w:t>
      </w:r>
      <w:r>
        <w:rPr>
          <w:rFonts w:hint="eastAsia"/>
          <w:sz w:val="21"/>
          <w:szCs w:val="21"/>
          <w:lang w:eastAsia="zh-CN"/>
        </w:rPr>
        <w:t>。</w:t>
      </w:r>
      <w:r w:rsidR="00DA0A8B">
        <w:rPr>
          <w:rFonts w:hint="eastAsia"/>
          <w:sz w:val="21"/>
          <w:szCs w:val="21"/>
          <w:lang w:eastAsia="zh-CN"/>
        </w:rPr>
        <w:t>而随着建筑低碳化进程的快速推进，微电网、储能等</w:t>
      </w:r>
      <w:r w:rsidR="00FC7361">
        <w:rPr>
          <w:rFonts w:hint="eastAsia"/>
          <w:sz w:val="21"/>
          <w:szCs w:val="21"/>
          <w:lang w:eastAsia="zh-CN"/>
        </w:rPr>
        <w:t>分布式能源</w:t>
      </w:r>
      <w:r w:rsidR="00DA0A8B">
        <w:rPr>
          <w:rFonts w:hint="eastAsia"/>
          <w:sz w:val="21"/>
          <w:szCs w:val="21"/>
          <w:lang w:eastAsia="zh-CN"/>
        </w:rPr>
        <w:t>技术被引入建筑运营过程，建筑的能源供应愈发多样化，这也就意味着传统的“大水漫灌”的输配电模式已无法满足现代建筑的能源供给需求。</w:t>
      </w:r>
      <w:r w:rsidR="00FC7361">
        <w:rPr>
          <w:rFonts w:hint="eastAsia"/>
          <w:sz w:val="21"/>
          <w:szCs w:val="21"/>
          <w:lang w:eastAsia="zh-CN"/>
        </w:rPr>
        <w:t>对于市政综合体，目前已规划的</w:t>
      </w:r>
      <w:r w:rsidR="000D6C7C">
        <w:rPr>
          <w:rFonts w:hint="eastAsia"/>
          <w:sz w:val="21"/>
          <w:szCs w:val="21"/>
          <w:lang w:eastAsia="zh-CN"/>
        </w:rPr>
        <w:t>分布式能源系统就包含太阳能光</w:t>
      </w:r>
      <w:proofErr w:type="gramStart"/>
      <w:r w:rsidR="000D6C7C">
        <w:rPr>
          <w:rFonts w:hint="eastAsia"/>
          <w:sz w:val="21"/>
          <w:szCs w:val="21"/>
          <w:lang w:eastAsia="zh-CN"/>
        </w:rPr>
        <w:t>伏设施</w:t>
      </w:r>
      <w:proofErr w:type="gramEnd"/>
      <w:r w:rsidR="000D6C7C">
        <w:rPr>
          <w:rFonts w:hint="eastAsia"/>
          <w:sz w:val="21"/>
          <w:szCs w:val="21"/>
          <w:lang w:eastAsia="zh-CN"/>
        </w:rPr>
        <w:t>与储能设施，而在远期又规划了可再生能源接入以及电动汽车电池储能等能源系统，因此必须对所有</w:t>
      </w:r>
      <w:r w:rsidR="00802742">
        <w:rPr>
          <w:rFonts w:hint="eastAsia"/>
          <w:sz w:val="21"/>
          <w:szCs w:val="21"/>
          <w:lang w:eastAsia="zh-CN"/>
        </w:rPr>
        <w:t>供能</w:t>
      </w:r>
      <w:r w:rsidR="000D6C7C">
        <w:rPr>
          <w:rFonts w:hint="eastAsia"/>
          <w:sz w:val="21"/>
          <w:szCs w:val="21"/>
          <w:lang w:eastAsia="zh-CN"/>
        </w:rPr>
        <w:t>形式进行统一管理，并根据实际建筑实际负荷情况对各类能源进行合理调配，实现多种能源互补以实现建筑运行阶段的碳排放最小化。</w:t>
      </w:r>
      <w:r w:rsidR="006719E8">
        <w:rPr>
          <w:rFonts w:hint="eastAsia"/>
          <w:sz w:val="21"/>
          <w:szCs w:val="21"/>
          <w:lang w:eastAsia="zh-CN"/>
        </w:rPr>
        <w:t>此外</w:t>
      </w:r>
      <w:proofErr w:type="gramStart"/>
      <w:r w:rsidR="006719E8">
        <w:rPr>
          <w:rFonts w:hint="eastAsia"/>
          <w:sz w:val="21"/>
          <w:szCs w:val="21"/>
          <w:lang w:eastAsia="zh-CN"/>
        </w:rPr>
        <w:t>随着碳排放权</w:t>
      </w:r>
      <w:proofErr w:type="gramEnd"/>
      <w:r w:rsidR="006719E8">
        <w:rPr>
          <w:rFonts w:hint="eastAsia"/>
          <w:sz w:val="21"/>
          <w:szCs w:val="21"/>
          <w:lang w:eastAsia="zh-CN"/>
        </w:rPr>
        <w:t>交易制度的不断完善，为了实现“零碳”目标，加入</w:t>
      </w:r>
      <w:proofErr w:type="gramStart"/>
      <w:r w:rsidR="006719E8">
        <w:rPr>
          <w:rFonts w:hint="eastAsia"/>
          <w:sz w:val="21"/>
          <w:szCs w:val="21"/>
          <w:lang w:eastAsia="zh-CN"/>
        </w:rPr>
        <w:t>碳交易</w:t>
      </w:r>
      <w:proofErr w:type="gramEnd"/>
      <w:r w:rsidR="006719E8">
        <w:rPr>
          <w:rFonts w:hint="eastAsia"/>
          <w:sz w:val="21"/>
          <w:szCs w:val="21"/>
          <w:lang w:eastAsia="zh-CN"/>
        </w:rPr>
        <w:t>体系是建筑项目运营阶段的必然选择，</w:t>
      </w:r>
      <w:proofErr w:type="gramStart"/>
      <w:r w:rsidR="006719E8">
        <w:rPr>
          <w:rFonts w:hint="eastAsia"/>
          <w:sz w:val="21"/>
          <w:szCs w:val="21"/>
          <w:lang w:eastAsia="zh-CN"/>
        </w:rPr>
        <w:t>加入碳排放权</w:t>
      </w:r>
      <w:proofErr w:type="gramEnd"/>
      <w:r w:rsidR="006719E8">
        <w:rPr>
          <w:rFonts w:hint="eastAsia"/>
          <w:sz w:val="21"/>
          <w:szCs w:val="21"/>
          <w:lang w:eastAsia="zh-CN"/>
        </w:rPr>
        <w:t>交易市场的先决条件是建立精确可靠的碳排放审计系统，该系统需要</w:t>
      </w:r>
      <w:r w:rsidR="00D958C3">
        <w:rPr>
          <w:rFonts w:hint="eastAsia"/>
          <w:sz w:val="21"/>
          <w:szCs w:val="21"/>
          <w:lang w:eastAsia="zh-CN"/>
        </w:rPr>
        <w:t>严格</w:t>
      </w:r>
      <w:r w:rsidR="006719E8">
        <w:rPr>
          <w:rFonts w:hint="eastAsia"/>
          <w:sz w:val="21"/>
          <w:szCs w:val="21"/>
          <w:lang w:eastAsia="zh-CN"/>
        </w:rPr>
        <w:t>监测建筑内部各种</w:t>
      </w:r>
      <w:r w:rsidR="00D958C3">
        <w:rPr>
          <w:rFonts w:hint="eastAsia"/>
          <w:sz w:val="21"/>
          <w:szCs w:val="21"/>
          <w:lang w:eastAsia="zh-CN"/>
        </w:rPr>
        <w:t>分项</w:t>
      </w:r>
      <w:r w:rsidR="006719E8">
        <w:rPr>
          <w:rFonts w:hint="eastAsia"/>
          <w:sz w:val="21"/>
          <w:szCs w:val="21"/>
          <w:lang w:eastAsia="zh-CN"/>
        </w:rPr>
        <w:t>能源消耗</w:t>
      </w:r>
      <w:r w:rsidR="00D958C3">
        <w:rPr>
          <w:rFonts w:hint="eastAsia"/>
          <w:sz w:val="21"/>
          <w:szCs w:val="21"/>
          <w:lang w:eastAsia="zh-CN"/>
        </w:rPr>
        <w:t>，并评估需要购入的碳排放量或者可以售出</w:t>
      </w:r>
      <w:proofErr w:type="gramStart"/>
      <w:r w:rsidR="00D958C3">
        <w:rPr>
          <w:rFonts w:hint="eastAsia"/>
          <w:sz w:val="21"/>
          <w:szCs w:val="21"/>
          <w:lang w:eastAsia="zh-CN"/>
        </w:rPr>
        <w:t>的碳排放权</w:t>
      </w:r>
      <w:proofErr w:type="gramEnd"/>
      <w:r w:rsidR="00D958C3">
        <w:rPr>
          <w:rFonts w:hint="eastAsia"/>
          <w:sz w:val="21"/>
          <w:szCs w:val="21"/>
          <w:lang w:eastAsia="zh-CN"/>
        </w:rPr>
        <w:t>。</w:t>
      </w:r>
      <w:r w:rsidR="006719E8">
        <w:rPr>
          <w:rFonts w:hint="eastAsia"/>
          <w:sz w:val="21"/>
          <w:szCs w:val="21"/>
          <w:lang w:eastAsia="zh-CN"/>
        </w:rPr>
        <w:t>基于此种需求，需要引入智慧能源管理系统</w:t>
      </w:r>
      <w:r w:rsidR="00D958C3">
        <w:rPr>
          <w:rFonts w:hint="eastAsia"/>
          <w:sz w:val="21"/>
          <w:szCs w:val="21"/>
          <w:lang w:eastAsia="zh-CN"/>
        </w:rPr>
        <w:t>，该系统的功能架构如图</w:t>
      </w:r>
      <w:r w:rsidR="00D958C3">
        <w:rPr>
          <w:rFonts w:hint="eastAsia"/>
          <w:sz w:val="21"/>
          <w:szCs w:val="21"/>
          <w:lang w:eastAsia="zh-CN"/>
        </w:rPr>
        <w:t>x</w:t>
      </w:r>
      <w:r w:rsidR="00D958C3">
        <w:rPr>
          <w:rFonts w:hint="eastAsia"/>
          <w:sz w:val="21"/>
          <w:szCs w:val="21"/>
          <w:lang w:eastAsia="zh-CN"/>
        </w:rPr>
        <w:t>所示。</w:t>
      </w:r>
    </w:p>
    <w:p w:rsidR="00433A9A" w:rsidRDefault="00D73496" w:rsidP="00433A9A">
      <w:pPr>
        <w:keepNext/>
        <w:spacing w:line="240" w:lineRule="auto"/>
        <w:ind w:left="210" w:right="210"/>
        <w:jc w:val="center"/>
      </w:pPr>
      <w:r>
        <w:rPr>
          <w:noProof/>
          <w:sz w:val="21"/>
          <w:szCs w:val="21"/>
          <w:lang w:eastAsia="zh-CN" w:bidi="ar-SA"/>
        </w:rPr>
        <w:drawing>
          <wp:inline distT="0" distB="0" distL="0" distR="0">
            <wp:extent cx="4535424" cy="2784815"/>
            <wp:effectExtent l="19050" t="0" r="0" b="0"/>
            <wp:docPr id="5" name="图片 4" descr="能源管理系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能源管理系统.jpg"/>
                    <pic:cNvPicPr/>
                  </pic:nvPicPr>
                  <pic:blipFill>
                    <a:blip r:embed="rId14" cstate="print"/>
                    <a:stretch>
                      <a:fillRect/>
                    </a:stretch>
                  </pic:blipFill>
                  <pic:spPr>
                    <a:xfrm>
                      <a:off x="0" y="0"/>
                      <a:ext cx="4537491" cy="2786084"/>
                    </a:xfrm>
                    <a:prstGeom prst="rect">
                      <a:avLst/>
                    </a:prstGeom>
                  </pic:spPr>
                </pic:pic>
              </a:graphicData>
            </a:graphic>
          </wp:inline>
        </w:drawing>
      </w:r>
    </w:p>
    <w:p w:rsidR="00D73496" w:rsidRDefault="00433A9A" w:rsidP="00433A9A">
      <w:pPr>
        <w:pStyle w:val="a8"/>
        <w:jc w:val="center"/>
        <w:rPr>
          <w:rFonts w:ascii="黑体" w:eastAsia="黑体" w:hAnsi="黑体"/>
          <w:b w:val="0"/>
          <w:color w:val="auto"/>
          <w:lang w:eastAsia="zh-CN"/>
        </w:rPr>
      </w:pPr>
      <w:r w:rsidRPr="00433A9A">
        <w:rPr>
          <w:rFonts w:ascii="黑体" w:eastAsia="黑体" w:hAnsi="黑体" w:hint="eastAsia"/>
          <w:b w:val="0"/>
          <w:color w:val="auto"/>
          <w:lang w:eastAsia="zh-CN"/>
        </w:rPr>
        <w:t>图x 智慧能源管理系统架构图</w:t>
      </w:r>
    </w:p>
    <w:p w:rsidR="00433A9A" w:rsidRDefault="00433A9A" w:rsidP="00433A9A">
      <w:pPr>
        <w:rPr>
          <w:lang w:eastAsia="zh-CN"/>
        </w:rPr>
      </w:pPr>
      <w:r>
        <w:rPr>
          <w:rFonts w:hint="eastAsia"/>
          <w:lang w:eastAsia="zh-CN"/>
        </w:rPr>
        <w:t>为了实现</w:t>
      </w:r>
      <w:proofErr w:type="gramStart"/>
      <w:r>
        <w:rPr>
          <w:rFonts w:hint="eastAsia"/>
          <w:lang w:eastAsia="zh-CN"/>
        </w:rPr>
        <w:t>能耗及碳排放</w:t>
      </w:r>
      <w:proofErr w:type="gramEnd"/>
      <w:r>
        <w:rPr>
          <w:rFonts w:hint="eastAsia"/>
          <w:lang w:eastAsia="zh-CN"/>
        </w:rPr>
        <w:t>审计，将智能电表、智能水表等数字化在线测量仪表接入能源信息平台系统，实时监测能源消耗情况，做好数据的整理储存，并根据以往的运行大数据预测下一时刻的能耗情况；多能源监测管理系统将电网、现场光伏发电及储能等能源形式的实时可供给量进行统计，并汇总至能源信息平台，为下一时刻的</w:t>
      </w:r>
      <w:r w:rsidR="005F7EEF">
        <w:rPr>
          <w:rFonts w:hint="eastAsia"/>
          <w:lang w:eastAsia="zh-CN"/>
        </w:rPr>
        <w:t>配电方案的制定提供依据；能源信息平台将能源消耗情况以及可供利用的能源情况进行汇总将相应的数据分发给智能物业管理系统以及智能配电系统</w:t>
      </w:r>
      <w:r w:rsidR="00855ADD">
        <w:rPr>
          <w:rFonts w:hint="eastAsia"/>
          <w:lang w:eastAsia="zh-CN"/>
        </w:rPr>
        <w:t>。</w:t>
      </w:r>
      <w:r w:rsidR="005F7EEF">
        <w:rPr>
          <w:rFonts w:hint="eastAsia"/>
          <w:lang w:eastAsia="zh-CN"/>
        </w:rPr>
        <w:t>智能物业管理系统会根据实时能源消耗情况判断能耗异常的用电设施，如当某区域人员较少但空调与照明能耗偏高，此时将调整冷热源设备出力及减小该区域的好命输出功率</w:t>
      </w:r>
      <w:r w:rsidR="00855ADD">
        <w:rPr>
          <w:rFonts w:hint="eastAsia"/>
          <w:lang w:eastAsia="zh-CN"/>
        </w:rPr>
        <w:t>。</w:t>
      </w:r>
      <w:r w:rsidR="005F7EEF">
        <w:rPr>
          <w:rFonts w:hint="eastAsia"/>
          <w:lang w:eastAsia="zh-CN"/>
        </w:rPr>
        <w:t>智能配电系统会根据当前建筑的需求以及</w:t>
      </w:r>
      <w:r w:rsidR="00855ADD">
        <w:rPr>
          <w:rFonts w:hint="eastAsia"/>
          <w:lang w:eastAsia="zh-CN"/>
        </w:rPr>
        <w:t>能源信息平台对下一时刻建筑能耗的预测</w:t>
      </w:r>
      <w:r w:rsidR="00325BB8">
        <w:rPr>
          <w:rFonts w:hint="eastAsia"/>
          <w:lang w:eastAsia="zh-CN"/>
        </w:rPr>
        <w:t>，结合</w:t>
      </w:r>
      <w:r w:rsidR="005F7EEF">
        <w:rPr>
          <w:rFonts w:hint="eastAsia"/>
          <w:lang w:eastAsia="zh-CN"/>
        </w:rPr>
        <w:t>实时供给量决定采取何种能源为建筑功能，例如，当光伏发电量满足用电需求时则优先使用光</w:t>
      </w:r>
      <w:proofErr w:type="gramStart"/>
      <w:r w:rsidR="005F7EEF">
        <w:rPr>
          <w:rFonts w:hint="eastAsia"/>
          <w:lang w:eastAsia="zh-CN"/>
        </w:rPr>
        <w:t>伏</w:t>
      </w:r>
      <w:proofErr w:type="gramEnd"/>
      <w:r w:rsidR="005F7EEF">
        <w:rPr>
          <w:rFonts w:hint="eastAsia"/>
          <w:lang w:eastAsia="zh-CN"/>
        </w:rPr>
        <w:t>发电供能，若不能满足时则引入储能设施进行补充</w:t>
      </w:r>
      <w:r w:rsidR="00325BB8">
        <w:rPr>
          <w:rFonts w:hint="eastAsia"/>
          <w:lang w:eastAsia="zh-CN"/>
        </w:rPr>
        <w:t>，并在</w:t>
      </w:r>
      <w:proofErr w:type="gramStart"/>
      <w:r w:rsidR="00325BB8">
        <w:rPr>
          <w:rFonts w:hint="eastAsia"/>
          <w:lang w:eastAsia="zh-CN"/>
        </w:rPr>
        <w:t>谷电时段</w:t>
      </w:r>
      <w:proofErr w:type="gramEnd"/>
      <w:r w:rsidR="00325BB8">
        <w:rPr>
          <w:rFonts w:hint="eastAsia"/>
          <w:lang w:eastAsia="zh-CN"/>
        </w:rPr>
        <w:t>或可再生能源上网功率较大时为储能设备蓄能</w:t>
      </w:r>
      <w:r w:rsidR="00855ADD">
        <w:rPr>
          <w:rFonts w:hint="eastAsia"/>
          <w:lang w:eastAsia="zh-CN"/>
        </w:rPr>
        <w:t>。</w:t>
      </w:r>
    </w:p>
    <w:p w:rsidR="00325BB8" w:rsidRDefault="00325BB8" w:rsidP="00433A9A">
      <w:pPr>
        <w:rPr>
          <w:lang w:eastAsia="zh-CN"/>
        </w:rPr>
      </w:pPr>
      <w:r>
        <w:rPr>
          <w:rFonts w:hint="eastAsia"/>
          <w:lang w:eastAsia="zh-CN"/>
        </w:rPr>
        <w:lastRenderedPageBreak/>
        <w:t>智慧能源管理系统虽然无法为市政综合体</w:t>
      </w:r>
      <w:proofErr w:type="gramStart"/>
      <w:r>
        <w:rPr>
          <w:rFonts w:hint="eastAsia"/>
          <w:lang w:eastAsia="zh-CN"/>
        </w:rPr>
        <w:t>带来减碳效果</w:t>
      </w:r>
      <w:proofErr w:type="gramEnd"/>
      <w:r>
        <w:rPr>
          <w:rFonts w:hint="eastAsia"/>
          <w:lang w:eastAsia="zh-CN"/>
        </w:rPr>
        <w:t>，但实现真正意义“零碳”所需要引入的</w:t>
      </w:r>
      <w:proofErr w:type="gramStart"/>
      <w:r>
        <w:rPr>
          <w:rFonts w:hint="eastAsia"/>
          <w:lang w:eastAsia="zh-CN"/>
        </w:rPr>
        <w:t>碳交易</w:t>
      </w:r>
      <w:proofErr w:type="gramEnd"/>
      <w:r>
        <w:rPr>
          <w:rFonts w:hint="eastAsia"/>
          <w:lang w:eastAsia="zh-CN"/>
        </w:rPr>
        <w:t>系统以及可再生能源接入等方法都需要以智慧能源管理系统为基础，</w:t>
      </w:r>
      <w:r w:rsidR="0058057E">
        <w:rPr>
          <w:rFonts w:hint="eastAsia"/>
          <w:lang w:eastAsia="zh-CN"/>
        </w:rPr>
        <w:t>因此</w:t>
      </w:r>
      <w:r>
        <w:rPr>
          <w:rFonts w:hint="eastAsia"/>
          <w:lang w:eastAsia="zh-CN"/>
        </w:rPr>
        <w:t>市政综合体引入智慧能源管理系统</w:t>
      </w:r>
      <w:r w:rsidR="0058057E">
        <w:rPr>
          <w:rFonts w:hint="eastAsia"/>
          <w:lang w:eastAsia="zh-CN"/>
        </w:rPr>
        <w:t>由</w:t>
      </w:r>
      <w:r>
        <w:rPr>
          <w:rFonts w:hint="eastAsia"/>
          <w:lang w:eastAsia="zh-CN"/>
        </w:rPr>
        <w:t>其必要性。</w:t>
      </w:r>
    </w:p>
    <w:p w:rsidR="00325BB8" w:rsidRDefault="00325BB8" w:rsidP="00433A9A">
      <w:pPr>
        <w:rPr>
          <w:lang w:eastAsia="zh-CN"/>
        </w:rPr>
      </w:pPr>
      <w:r>
        <w:rPr>
          <w:rFonts w:hint="eastAsia"/>
          <w:lang w:eastAsia="zh-CN"/>
        </w:rPr>
        <w:t xml:space="preserve">2.4.2 </w:t>
      </w:r>
      <w:r w:rsidR="0058057E">
        <w:rPr>
          <w:rFonts w:hint="eastAsia"/>
          <w:lang w:eastAsia="zh-CN"/>
        </w:rPr>
        <w:t>提高可再生能源消纳水平</w:t>
      </w:r>
    </w:p>
    <w:p w:rsidR="0058057E" w:rsidRPr="00FE7C8B" w:rsidRDefault="00C90591" w:rsidP="00433A9A">
      <w:pPr>
        <w:rPr>
          <w:rFonts w:ascii="Times New Roman" w:hAnsi="Times New Roman" w:cs="Times New Roman"/>
          <w:sz w:val="21"/>
          <w:szCs w:val="21"/>
          <w:lang w:eastAsia="zh-CN"/>
        </w:rPr>
      </w:pPr>
      <w:r w:rsidRPr="00FE7C8B">
        <w:rPr>
          <w:rFonts w:ascii="Times New Roman" w:cs="Times New Roman"/>
          <w:sz w:val="21"/>
          <w:szCs w:val="21"/>
          <w:lang w:eastAsia="zh-CN"/>
        </w:rPr>
        <w:t>以可再生能源代替传统的高碳排放能源是实现建筑</w:t>
      </w:r>
      <w:r w:rsidRPr="00FE7C8B">
        <w:rPr>
          <w:rFonts w:ascii="Times New Roman" w:hAnsi="Times New Roman" w:cs="Times New Roman"/>
          <w:sz w:val="21"/>
          <w:szCs w:val="21"/>
          <w:lang w:eastAsia="zh-CN"/>
        </w:rPr>
        <w:t>“</w:t>
      </w:r>
      <w:r w:rsidRPr="00FE7C8B">
        <w:rPr>
          <w:rFonts w:ascii="Times New Roman" w:cs="Times New Roman"/>
          <w:sz w:val="21"/>
          <w:szCs w:val="21"/>
          <w:lang w:eastAsia="zh-CN"/>
        </w:rPr>
        <w:t>零碳化</w:t>
      </w:r>
      <w:r w:rsidRPr="00FE7C8B">
        <w:rPr>
          <w:rFonts w:ascii="Times New Roman" w:hAnsi="Times New Roman" w:cs="Times New Roman"/>
          <w:sz w:val="21"/>
          <w:szCs w:val="21"/>
          <w:lang w:eastAsia="zh-CN"/>
        </w:rPr>
        <w:t>”</w:t>
      </w:r>
      <w:r w:rsidRPr="00FE7C8B">
        <w:rPr>
          <w:rFonts w:ascii="Times New Roman" w:cs="Times New Roman"/>
          <w:sz w:val="21"/>
          <w:szCs w:val="21"/>
          <w:lang w:eastAsia="zh-CN"/>
        </w:rPr>
        <w:t>的重要手段，但对于以光伏、风电、水电等为代表的可再生能源，其发电量很容易受到天气影响，发电量不稳定，具有很强的波动性与间歇性，因此无法</w:t>
      </w:r>
      <w:proofErr w:type="gramStart"/>
      <w:r w:rsidRPr="00FE7C8B">
        <w:rPr>
          <w:rFonts w:ascii="Times New Roman" w:cs="Times New Roman"/>
          <w:sz w:val="21"/>
          <w:szCs w:val="21"/>
          <w:lang w:eastAsia="zh-CN"/>
        </w:rPr>
        <w:t>随区域</w:t>
      </w:r>
      <w:proofErr w:type="gramEnd"/>
      <w:r w:rsidRPr="00FE7C8B">
        <w:rPr>
          <w:rFonts w:ascii="Times New Roman" w:cs="Times New Roman"/>
          <w:sz w:val="21"/>
          <w:szCs w:val="21"/>
          <w:lang w:eastAsia="zh-CN"/>
        </w:rPr>
        <w:t>电网进行大规模调度</w:t>
      </w:r>
      <w:r w:rsidRPr="00FE7C8B">
        <w:rPr>
          <w:rFonts w:ascii="Times New Roman" w:hAnsi="Times New Roman" w:cs="Times New Roman"/>
          <w:sz w:val="21"/>
          <w:szCs w:val="21"/>
          <w:lang w:eastAsia="zh-CN"/>
        </w:rPr>
        <w:t>[16</w:t>
      </w:r>
      <w:r w:rsidR="00B95DF9" w:rsidRPr="00FE7C8B">
        <w:rPr>
          <w:rFonts w:ascii="Times New Roman" w:hAnsi="Times New Roman" w:cs="Times New Roman"/>
          <w:sz w:val="21"/>
          <w:szCs w:val="21"/>
          <w:lang w:eastAsia="zh-CN"/>
        </w:rPr>
        <w:t>]</w:t>
      </w:r>
      <w:r w:rsidR="00B95DF9" w:rsidRPr="00FE7C8B">
        <w:rPr>
          <w:rFonts w:ascii="Times New Roman" w:cs="Times New Roman"/>
          <w:sz w:val="21"/>
          <w:szCs w:val="21"/>
          <w:lang w:eastAsia="zh-CN"/>
        </w:rPr>
        <w:t>，这一特性使得可再生能源不易被利用，如何消纳可再生能源成为了</w:t>
      </w:r>
      <w:r w:rsidR="002C2275" w:rsidRPr="00FE7C8B">
        <w:rPr>
          <w:rFonts w:ascii="Times New Roman" w:cs="Times New Roman"/>
          <w:sz w:val="21"/>
          <w:szCs w:val="21"/>
          <w:lang w:eastAsia="zh-CN"/>
        </w:rPr>
        <w:t>建筑</w:t>
      </w:r>
      <w:proofErr w:type="gramStart"/>
      <w:r w:rsidR="002C2275" w:rsidRPr="00FE7C8B">
        <w:rPr>
          <w:rFonts w:ascii="Times New Roman" w:cs="Times New Roman"/>
          <w:sz w:val="21"/>
          <w:szCs w:val="21"/>
          <w:lang w:eastAsia="zh-CN"/>
        </w:rPr>
        <w:t>减碳领域</w:t>
      </w:r>
      <w:proofErr w:type="gramEnd"/>
      <w:r w:rsidR="00856EE1" w:rsidRPr="00FE7C8B">
        <w:rPr>
          <w:rFonts w:ascii="Times New Roman" w:cs="Times New Roman"/>
          <w:sz w:val="21"/>
          <w:szCs w:val="21"/>
          <w:lang w:eastAsia="zh-CN"/>
        </w:rPr>
        <w:t>研究的重点</w:t>
      </w:r>
      <w:r w:rsidR="00B95DF9" w:rsidRPr="00FE7C8B">
        <w:rPr>
          <w:rFonts w:ascii="Times New Roman" w:cs="Times New Roman"/>
          <w:sz w:val="21"/>
          <w:szCs w:val="21"/>
          <w:lang w:eastAsia="zh-CN"/>
        </w:rPr>
        <w:t>。储能技术的发展，给可再生能源的大规模应用提供了可能，利用储能技术可以使无法被立即使用的可再生能源暂存，而在建筑有能源需求的时刻被释放出来，实现时间</w:t>
      </w:r>
      <w:r w:rsidR="002C2275" w:rsidRPr="00FE7C8B">
        <w:rPr>
          <w:rFonts w:ascii="Times New Roman" w:cs="Times New Roman"/>
          <w:sz w:val="21"/>
          <w:szCs w:val="21"/>
          <w:lang w:eastAsia="zh-CN"/>
        </w:rPr>
        <w:t>维度</w:t>
      </w:r>
      <w:r w:rsidR="00B95DF9" w:rsidRPr="00FE7C8B">
        <w:rPr>
          <w:rFonts w:ascii="Times New Roman" w:cs="Times New Roman"/>
          <w:sz w:val="21"/>
          <w:szCs w:val="21"/>
          <w:lang w:eastAsia="zh-CN"/>
        </w:rPr>
        <w:t>上的调节。</w:t>
      </w:r>
      <w:r w:rsidR="00856EE1" w:rsidRPr="00FE7C8B">
        <w:rPr>
          <w:rFonts w:ascii="Times New Roman" w:cs="Times New Roman"/>
          <w:sz w:val="21"/>
          <w:szCs w:val="21"/>
          <w:lang w:eastAsia="zh-CN"/>
        </w:rPr>
        <w:t>目前市政综合体中规划了消防水池作为蓄冷、蓄热装置，该消防水池可储水</w:t>
      </w:r>
      <w:r w:rsidR="00856EE1" w:rsidRPr="00FE7C8B">
        <w:rPr>
          <w:rFonts w:ascii="Times New Roman" w:hAnsi="Times New Roman" w:cs="Times New Roman"/>
          <w:sz w:val="21"/>
          <w:szCs w:val="21"/>
          <w:lang w:eastAsia="zh-CN"/>
        </w:rPr>
        <w:t>720m³</w:t>
      </w:r>
      <w:r w:rsidR="00856EE1" w:rsidRPr="00FE7C8B">
        <w:rPr>
          <w:rFonts w:ascii="Times New Roman" w:cs="Times New Roman"/>
          <w:sz w:val="21"/>
          <w:szCs w:val="21"/>
          <w:lang w:eastAsia="zh-CN"/>
        </w:rPr>
        <w:t>，单次</w:t>
      </w:r>
      <w:r w:rsidR="003110DB" w:rsidRPr="00FE7C8B">
        <w:rPr>
          <w:rFonts w:ascii="Times New Roman" w:cs="Times New Roman"/>
          <w:sz w:val="21"/>
          <w:szCs w:val="21"/>
          <w:lang w:eastAsia="zh-CN"/>
        </w:rPr>
        <w:t>可以通过热泵</w:t>
      </w:r>
      <w:proofErr w:type="gramStart"/>
      <w:r w:rsidR="003110DB" w:rsidRPr="00FE7C8B">
        <w:rPr>
          <w:rFonts w:ascii="Times New Roman" w:cs="Times New Roman"/>
          <w:sz w:val="21"/>
          <w:szCs w:val="21"/>
          <w:lang w:eastAsia="zh-CN"/>
        </w:rPr>
        <w:t>机组</w:t>
      </w:r>
      <w:r w:rsidR="00856EE1" w:rsidRPr="00FE7C8B">
        <w:rPr>
          <w:rFonts w:ascii="Times New Roman" w:cs="Times New Roman"/>
          <w:sz w:val="21"/>
          <w:szCs w:val="21"/>
          <w:lang w:eastAsia="zh-CN"/>
        </w:rPr>
        <w:t>储冷或</w:t>
      </w:r>
      <w:proofErr w:type="gramEnd"/>
      <w:r w:rsidR="00856EE1" w:rsidRPr="00FE7C8B">
        <w:rPr>
          <w:rFonts w:ascii="Times New Roman" w:cs="Times New Roman"/>
          <w:sz w:val="21"/>
          <w:szCs w:val="21"/>
          <w:lang w:eastAsia="zh-CN"/>
        </w:rPr>
        <w:t>储热</w:t>
      </w:r>
      <w:r w:rsidR="003110DB" w:rsidRPr="00FE7C8B">
        <w:rPr>
          <w:rFonts w:ascii="Times New Roman" w:hAnsi="Times New Roman" w:cs="Times New Roman"/>
          <w:sz w:val="21"/>
          <w:szCs w:val="21"/>
          <w:lang w:eastAsia="zh-CN"/>
        </w:rPr>
        <w:t>5292kWh</w:t>
      </w:r>
      <w:r w:rsidR="003110DB" w:rsidRPr="00FE7C8B">
        <w:rPr>
          <w:rFonts w:ascii="Times New Roman" w:cs="Times New Roman"/>
          <w:sz w:val="21"/>
          <w:szCs w:val="21"/>
          <w:lang w:eastAsia="zh-CN"/>
        </w:rPr>
        <w:t>。但这一储能量不大，无法满足市政</w:t>
      </w:r>
      <w:proofErr w:type="gramStart"/>
      <w:r w:rsidR="003110DB" w:rsidRPr="00FE7C8B">
        <w:rPr>
          <w:rFonts w:ascii="Times New Roman" w:cs="Times New Roman"/>
          <w:sz w:val="21"/>
          <w:szCs w:val="21"/>
          <w:lang w:eastAsia="zh-CN"/>
        </w:rPr>
        <w:t>综合体减碳的</w:t>
      </w:r>
      <w:proofErr w:type="gramEnd"/>
      <w:r w:rsidR="003110DB" w:rsidRPr="00FE7C8B">
        <w:rPr>
          <w:rFonts w:ascii="Times New Roman" w:cs="Times New Roman"/>
          <w:sz w:val="21"/>
          <w:szCs w:val="21"/>
          <w:lang w:eastAsia="zh-CN"/>
        </w:rPr>
        <w:t>需求，且该部分能量只能用于为建筑</w:t>
      </w:r>
      <w:r w:rsidR="002C2275" w:rsidRPr="00FE7C8B">
        <w:rPr>
          <w:rFonts w:ascii="Times New Roman" w:cs="Times New Roman"/>
          <w:sz w:val="21"/>
          <w:szCs w:val="21"/>
          <w:lang w:eastAsia="zh-CN"/>
        </w:rPr>
        <w:t>供冷</w:t>
      </w:r>
      <w:r w:rsidR="003110DB" w:rsidRPr="00FE7C8B">
        <w:rPr>
          <w:rFonts w:ascii="Times New Roman" w:cs="Times New Roman"/>
          <w:sz w:val="21"/>
          <w:szCs w:val="21"/>
          <w:lang w:eastAsia="zh-CN"/>
        </w:rPr>
        <w:t>或供热，有较大的局限性。因此要实现市政综合体的</w:t>
      </w:r>
      <w:r w:rsidR="003110DB" w:rsidRPr="00FE7C8B">
        <w:rPr>
          <w:rFonts w:ascii="Times New Roman" w:hAnsi="Times New Roman" w:cs="Times New Roman"/>
          <w:sz w:val="21"/>
          <w:szCs w:val="21"/>
          <w:lang w:eastAsia="zh-CN"/>
        </w:rPr>
        <w:t>“</w:t>
      </w:r>
      <w:r w:rsidR="003110DB" w:rsidRPr="00FE7C8B">
        <w:rPr>
          <w:rFonts w:ascii="Times New Roman" w:cs="Times New Roman"/>
          <w:sz w:val="21"/>
          <w:szCs w:val="21"/>
          <w:lang w:eastAsia="zh-CN"/>
        </w:rPr>
        <w:t>零碳</w:t>
      </w:r>
      <w:r w:rsidR="003110DB" w:rsidRPr="00FE7C8B">
        <w:rPr>
          <w:rFonts w:ascii="Times New Roman" w:hAnsi="Times New Roman" w:cs="Times New Roman"/>
          <w:sz w:val="21"/>
          <w:szCs w:val="21"/>
          <w:lang w:eastAsia="zh-CN"/>
        </w:rPr>
        <w:t>”</w:t>
      </w:r>
      <w:r w:rsidR="003110DB" w:rsidRPr="00FE7C8B">
        <w:rPr>
          <w:rFonts w:ascii="Times New Roman" w:cs="Times New Roman"/>
          <w:sz w:val="21"/>
          <w:szCs w:val="21"/>
          <w:lang w:eastAsia="zh-CN"/>
        </w:rPr>
        <w:t>构想，就要引入其他的可再生能源消纳技术。值得注意的是，随着国家大力推广电动汽车，</w:t>
      </w:r>
      <w:r w:rsidR="005000E1" w:rsidRPr="00FE7C8B">
        <w:rPr>
          <w:rFonts w:ascii="Times New Roman" w:hAnsi="Times New Roman" w:cs="Times New Roman"/>
          <w:sz w:val="21"/>
          <w:szCs w:val="21"/>
          <w:lang w:eastAsia="zh-CN"/>
        </w:rPr>
        <w:t>2022</w:t>
      </w:r>
      <w:r w:rsidR="005000E1" w:rsidRPr="00FE7C8B">
        <w:rPr>
          <w:rFonts w:ascii="Times New Roman" w:cs="Times New Roman"/>
          <w:sz w:val="21"/>
          <w:szCs w:val="21"/>
          <w:lang w:eastAsia="zh-CN"/>
        </w:rPr>
        <w:t>年</w:t>
      </w:r>
      <w:r w:rsidR="003110DB" w:rsidRPr="00FE7C8B">
        <w:rPr>
          <w:rFonts w:ascii="Times New Roman" w:cs="Times New Roman"/>
          <w:sz w:val="21"/>
          <w:szCs w:val="21"/>
          <w:lang w:eastAsia="zh-CN"/>
        </w:rPr>
        <w:t>我国的电动汽车保有量</w:t>
      </w:r>
      <w:r w:rsidR="001E707F" w:rsidRPr="00FE7C8B">
        <w:rPr>
          <w:rFonts w:ascii="Times New Roman" w:cs="Times New Roman"/>
          <w:sz w:val="21"/>
          <w:szCs w:val="21"/>
          <w:lang w:eastAsia="zh-CN"/>
        </w:rPr>
        <w:t>已突破</w:t>
      </w:r>
      <w:r w:rsidR="005000E1" w:rsidRPr="00FE7C8B">
        <w:rPr>
          <w:rFonts w:ascii="Times New Roman" w:hAnsi="Times New Roman" w:cs="Times New Roman"/>
          <w:sz w:val="21"/>
          <w:szCs w:val="21"/>
          <w:lang w:eastAsia="zh-CN"/>
        </w:rPr>
        <w:t>640</w:t>
      </w:r>
      <w:r w:rsidR="001E707F" w:rsidRPr="00FE7C8B">
        <w:rPr>
          <w:rFonts w:ascii="Times New Roman" w:cs="Times New Roman"/>
          <w:sz w:val="21"/>
          <w:szCs w:val="21"/>
          <w:lang w:eastAsia="zh-CN"/>
        </w:rPr>
        <w:t>万辆，预计在</w:t>
      </w:r>
      <w:r w:rsidR="001E707F" w:rsidRPr="00FE7C8B">
        <w:rPr>
          <w:rFonts w:ascii="Times New Roman" w:hAnsi="Times New Roman" w:cs="Times New Roman"/>
          <w:sz w:val="21"/>
          <w:szCs w:val="21"/>
          <w:lang w:eastAsia="zh-CN"/>
        </w:rPr>
        <w:t>2030</w:t>
      </w:r>
      <w:r w:rsidR="001E707F" w:rsidRPr="00FE7C8B">
        <w:rPr>
          <w:rFonts w:ascii="Times New Roman" w:cs="Times New Roman"/>
          <w:sz w:val="21"/>
          <w:szCs w:val="21"/>
          <w:lang w:eastAsia="zh-CN"/>
        </w:rPr>
        <w:t>年突破</w:t>
      </w:r>
      <w:r w:rsidR="001E707F" w:rsidRPr="00FE7C8B">
        <w:rPr>
          <w:rFonts w:ascii="Times New Roman" w:hAnsi="Times New Roman" w:cs="Times New Roman"/>
          <w:sz w:val="21"/>
          <w:szCs w:val="21"/>
          <w:lang w:eastAsia="zh-CN"/>
        </w:rPr>
        <w:t>8000</w:t>
      </w:r>
      <w:r w:rsidR="001E707F" w:rsidRPr="00FE7C8B">
        <w:rPr>
          <w:rFonts w:ascii="Times New Roman" w:cs="Times New Roman"/>
          <w:sz w:val="21"/>
          <w:szCs w:val="21"/>
          <w:lang w:eastAsia="zh-CN"/>
        </w:rPr>
        <w:t>万辆</w:t>
      </w:r>
      <w:r w:rsidR="005000E1" w:rsidRPr="00FE7C8B">
        <w:rPr>
          <w:rFonts w:ascii="Times New Roman" w:hAnsi="Times New Roman" w:cs="Times New Roman"/>
          <w:sz w:val="21"/>
          <w:szCs w:val="21"/>
          <w:lang w:eastAsia="zh-CN"/>
        </w:rPr>
        <w:t>[17]</w:t>
      </w:r>
      <w:r w:rsidR="001E707F" w:rsidRPr="00FE7C8B">
        <w:rPr>
          <w:rFonts w:ascii="Times New Roman" w:cs="Times New Roman"/>
          <w:sz w:val="21"/>
          <w:szCs w:val="21"/>
          <w:lang w:eastAsia="zh-CN"/>
        </w:rPr>
        <w:t>。</w:t>
      </w:r>
      <w:r w:rsidR="00217A42" w:rsidRPr="00FE7C8B">
        <w:rPr>
          <w:rFonts w:ascii="Times New Roman" w:cs="Times New Roman"/>
          <w:sz w:val="21"/>
          <w:szCs w:val="21"/>
          <w:lang w:eastAsia="zh-CN"/>
        </w:rPr>
        <w:t>对于纯电动汽车</w:t>
      </w:r>
      <w:r w:rsidR="002C2275" w:rsidRPr="00FE7C8B">
        <w:rPr>
          <w:rFonts w:ascii="Times New Roman" w:cs="Times New Roman"/>
          <w:sz w:val="21"/>
          <w:szCs w:val="21"/>
          <w:lang w:eastAsia="zh-CN"/>
        </w:rPr>
        <w:t>，</w:t>
      </w:r>
      <w:r w:rsidR="00217A42" w:rsidRPr="00FE7C8B">
        <w:rPr>
          <w:rFonts w:ascii="Times New Roman" w:cs="Times New Roman"/>
          <w:sz w:val="21"/>
          <w:szCs w:val="21"/>
          <w:lang w:eastAsia="zh-CN"/>
        </w:rPr>
        <w:t>其最大的</w:t>
      </w:r>
      <w:r w:rsidR="005000E1" w:rsidRPr="00FE7C8B">
        <w:rPr>
          <w:rFonts w:ascii="Times New Roman" w:cs="Times New Roman"/>
          <w:sz w:val="21"/>
          <w:szCs w:val="21"/>
          <w:lang w:eastAsia="zh-CN"/>
        </w:rPr>
        <w:t>特点是配备了可循环充放电的电池组</w:t>
      </w:r>
      <w:r w:rsidR="00217A42" w:rsidRPr="00FE7C8B">
        <w:rPr>
          <w:rFonts w:ascii="Times New Roman" w:cs="Times New Roman"/>
          <w:sz w:val="21"/>
          <w:szCs w:val="21"/>
          <w:lang w:eastAsia="zh-CN"/>
        </w:rPr>
        <w:t>作为动力来源，在不使用时可接入外部电源进行充电。根据</w:t>
      </w:r>
      <w:r w:rsidR="004D7FB2" w:rsidRPr="00FE7C8B">
        <w:rPr>
          <w:rFonts w:ascii="Times New Roman" w:cs="Times New Roman"/>
          <w:sz w:val="21"/>
          <w:szCs w:val="21"/>
          <w:lang w:eastAsia="zh-CN"/>
        </w:rPr>
        <w:t>江苏省关于电动汽车及其配套基础设施发展的相关文件</w:t>
      </w:r>
      <w:r w:rsidR="004D7FB2" w:rsidRPr="00FE7C8B">
        <w:rPr>
          <w:rFonts w:ascii="Times New Roman" w:hAnsi="Times New Roman" w:cs="Times New Roman"/>
          <w:sz w:val="21"/>
          <w:szCs w:val="21"/>
          <w:lang w:eastAsia="zh-CN"/>
        </w:rPr>
        <w:t>[18]</w:t>
      </w:r>
      <w:r w:rsidR="004D7FB2" w:rsidRPr="00FE7C8B">
        <w:rPr>
          <w:rFonts w:ascii="Times New Roman" w:cs="Times New Roman"/>
          <w:sz w:val="21"/>
          <w:szCs w:val="21"/>
          <w:lang w:eastAsia="zh-CN"/>
        </w:rPr>
        <w:t>，</w:t>
      </w:r>
      <w:r w:rsidR="004D7FB2" w:rsidRPr="00FE7C8B">
        <w:rPr>
          <w:rFonts w:ascii="Times New Roman" w:hAnsi="Times New Roman" w:cs="Times New Roman"/>
          <w:sz w:val="21"/>
          <w:szCs w:val="21"/>
          <w:lang w:eastAsia="zh-CN"/>
        </w:rPr>
        <w:t>“</w:t>
      </w:r>
      <w:r w:rsidR="004D7FB2" w:rsidRPr="00FE7C8B">
        <w:rPr>
          <w:rFonts w:ascii="Times New Roman" w:cs="Times New Roman"/>
          <w:sz w:val="21"/>
          <w:szCs w:val="21"/>
          <w:lang w:eastAsia="zh-CN"/>
        </w:rPr>
        <w:t>十四五</w:t>
      </w:r>
      <w:r w:rsidR="004D7FB2" w:rsidRPr="00FE7C8B">
        <w:rPr>
          <w:rFonts w:ascii="Times New Roman" w:hAnsi="Times New Roman" w:cs="Times New Roman"/>
          <w:sz w:val="21"/>
          <w:szCs w:val="21"/>
          <w:lang w:eastAsia="zh-CN"/>
        </w:rPr>
        <w:t>”</w:t>
      </w:r>
      <w:r w:rsidR="004D7FB2" w:rsidRPr="00FE7C8B">
        <w:rPr>
          <w:rFonts w:ascii="Times New Roman" w:cs="Times New Roman"/>
          <w:sz w:val="21"/>
          <w:szCs w:val="21"/>
          <w:lang w:eastAsia="zh-CN"/>
        </w:rPr>
        <w:t>期间新建建筑配套车位应</w:t>
      </w:r>
      <w:r w:rsidR="004D7FB2" w:rsidRPr="00FE7C8B">
        <w:rPr>
          <w:rFonts w:ascii="Times New Roman" w:hAnsi="Times New Roman" w:cs="Times New Roman"/>
          <w:sz w:val="21"/>
          <w:szCs w:val="21"/>
          <w:lang w:eastAsia="zh-CN"/>
        </w:rPr>
        <w:t>100%</w:t>
      </w:r>
      <w:r w:rsidR="004D7FB2" w:rsidRPr="00FE7C8B">
        <w:rPr>
          <w:rFonts w:ascii="Times New Roman" w:cs="Times New Roman"/>
          <w:sz w:val="21"/>
          <w:szCs w:val="21"/>
          <w:lang w:eastAsia="zh-CN"/>
        </w:rPr>
        <w:t>建设充电设施，保障纯电动汽车的使用。对于市政综合体，其地下一二层均设有停车设施，按照文件要求应配套布置对应数量的充电设施，满足纯电动汽车的充电需求。当电动车接入电网时进行充电时，便可视作蓄能过程，因此如果能将电动汽车的电池储能纳入统一的能源管理系统，可大大提高市政综合体的能源消纳能力。</w:t>
      </w:r>
      <w:r w:rsidR="009270EE" w:rsidRPr="00FE7C8B">
        <w:rPr>
          <w:rFonts w:ascii="Times New Roman" w:cs="Times New Roman"/>
          <w:sz w:val="21"/>
          <w:szCs w:val="21"/>
          <w:lang w:eastAsia="zh-CN"/>
        </w:rPr>
        <w:t>市政综合体作为综合性办公及商业场所，其人流量多集中于白天的工作时段，即</w:t>
      </w:r>
      <w:r w:rsidR="009270EE" w:rsidRPr="00FE7C8B">
        <w:rPr>
          <w:rFonts w:ascii="Times New Roman" w:hAnsi="Times New Roman" w:cs="Times New Roman"/>
          <w:sz w:val="21"/>
          <w:szCs w:val="21"/>
          <w:lang w:eastAsia="zh-CN"/>
        </w:rPr>
        <w:t>8:00</w:t>
      </w:r>
      <w:r w:rsidR="009270EE" w:rsidRPr="00FE7C8B">
        <w:rPr>
          <w:rFonts w:ascii="Times New Roman" w:cs="Times New Roman"/>
          <w:sz w:val="21"/>
          <w:szCs w:val="21"/>
          <w:lang w:eastAsia="zh-CN"/>
        </w:rPr>
        <w:t>至</w:t>
      </w:r>
      <w:r w:rsidR="009270EE" w:rsidRPr="00FE7C8B">
        <w:rPr>
          <w:rFonts w:ascii="Times New Roman" w:hAnsi="Times New Roman" w:cs="Times New Roman"/>
          <w:sz w:val="21"/>
          <w:szCs w:val="21"/>
          <w:lang w:eastAsia="zh-CN"/>
        </w:rPr>
        <w:t>18:00</w:t>
      </w:r>
      <w:r w:rsidR="009270EE" w:rsidRPr="00FE7C8B">
        <w:rPr>
          <w:rFonts w:ascii="Times New Roman" w:cs="Times New Roman"/>
          <w:sz w:val="21"/>
          <w:szCs w:val="21"/>
          <w:lang w:eastAsia="zh-CN"/>
        </w:rPr>
        <w:t>这一区间，停车设施使用也应集中在这一时段</w:t>
      </w:r>
      <w:r w:rsidR="00B969E0" w:rsidRPr="00FE7C8B">
        <w:rPr>
          <w:rFonts w:ascii="Times New Roman" w:cs="Times New Roman"/>
          <w:sz w:val="21"/>
          <w:szCs w:val="21"/>
          <w:lang w:eastAsia="zh-CN"/>
        </w:rPr>
        <w:t>。根据规划，市政综合体共设有机动车停车位</w:t>
      </w:r>
      <w:r w:rsidR="00B969E0" w:rsidRPr="00FE7C8B">
        <w:rPr>
          <w:rFonts w:ascii="Times New Roman" w:hAnsi="Times New Roman" w:cs="Times New Roman"/>
          <w:sz w:val="21"/>
          <w:szCs w:val="21"/>
          <w:lang w:eastAsia="zh-CN"/>
        </w:rPr>
        <w:t>527</w:t>
      </w:r>
      <w:r w:rsidR="00B969E0" w:rsidRPr="00FE7C8B">
        <w:rPr>
          <w:rFonts w:ascii="Times New Roman" w:cs="Times New Roman"/>
          <w:sz w:val="21"/>
          <w:szCs w:val="21"/>
          <w:lang w:eastAsia="zh-CN"/>
        </w:rPr>
        <w:t>个，其中</w:t>
      </w:r>
      <w:r w:rsidR="00B969E0" w:rsidRPr="00FE7C8B">
        <w:rPr>
          <w:rFonts w:ascii="Times New Roman" w:hAnsi="Times New Roman" w:cs="Times New Roman"/>
          <w:sz w:val="21"/>
          <w:szCs w:val="21"/>
          <w:lang w:eastAsia="zh-CN"/>
        </w:rPr>
        <w:t>140</w:t>
      </w:r>
      <w:r w:rsidR="00B969E0" w:rsidRPr="00FE7C8B">
        <w:rPr>
          <w:rFonts w:ascii="Times New Roman" w:cs="Times New Roman"/>
          <w:sz w:val="21"/>
          <w:szCs w:val="21"/>
          <w:lang w:eastAsia="zh-CN"/>
        </w:rPr>
        <w:t>个车位为社会停车车位，其余为内部工作人员用车位。</w:t>
      </w:r>
      <w:r w:rsidR="002C2275" w:rsidRPr="00FE7C8B">
        <w:rPr>
          <w:rFonts w:ascii="Times New Roman" w:cs="Times New Roman"/>
          <w:sz w:val="21"/>
          <w:szCs w:val="21"/>
          <w:lang w:eastAsia="zh-CN"/>
        </w:rPr>
        <w:t>王鹏飞</w:t>
      </w:r>
      <w:r w:rsidR="002C2275" w:rsidRPr="00FE7C8B">
        <w:rPr>
          <w:rFonts w:ascii="Times New Roman" w:hAnsi="Times New Roman" w:cs="Times New Roman"/>
          <w:sz w:val="21"/>
          <w:szCs w:val="21"/>
          <w:lang w:eastAsia="zh-CN"/>
        </w:rPr>
        <w:t>[</w:t>
      </w:r>
      <w:r w:rsidR="009B5363" w:rsidRPr="00FE7C8B">
        <w:rPr>
          <w:rFonts w:ascii="Times New Roman" w:hAnsi="Times New Roman" w:cs="Times New Roman"/>
          <w:sz w:val="21"/>
          <w:szCs w:val="21"/>
          <w:lang w:eastAsia="zh-CN"/>
        </w:rPr>
        <w:t>19</w:t>
      </w:r>
      <w:r w:rsidR="002C2275" w:rsidRPr="00FE7C8B">
        <w:rPr>
          <w:rFonts w:ascii="Times New Roman" w:hAnsi="Times New Roman" w:cs="Times New Roman"/>
          <w:sz w:val="21"/>
          <w:szCs w:val="21"/>
          <w:lang w:eastAsia="zh-CN"/>
        </w:rPr>
        <w:t>]</w:t>
      </w:r>
      <w:r w:rsidR="002C2275" w:rsidRPr="00FE7C8B">
        <w:rPr>
          <w:rFonts w:ascii="Times New Roman" w:cs="Times New Roman"/>
          <w:sz w:val="21"/>
          <w:szCs w:val="21"/>
          <w:lang w:eastAsia="zh-CN"/>
        </w:rPr>
        <w:t>对城市综合体地下停车场的使用率进行了研究，作者指出对于位于区域中心，交通便捷的城市综合体，其工作时段内的停车位占用率可以达到</w:t>
      </w:r>
      <w:r w:rsidR="002C2275" w:rsidRPr="00FE7C8B">
        <w:rPr>
          <w:rFonts w:ascii="Times New Roman" w:hAnsi="Times New Roman" w:cs="Times New Roman"/>
          <w:sz w:val="21"/>
          <w:szCs w:val="21"/>
          <w:lang w:eastAsia="zh-CN"/>
        </w:rPr>
        <w:t>89.75%</w:t>
      </w:r>
      <w:r w:rsidR="00B5132D" w:rsidRPr="00FE7C8B">
        <w:rPr>
          <w:rFonts w:ascii="Times New Roman" w:cs="Times New Roman"/>
          <w:sz w:val="21"/>
          <w:szCs w:val="21"/>
          <w:lang w:eastAsia="zh-CN"/>
        </w:rPr>
        <w:t>，</w:t>
      </w:r>
      <w:r w:rsidR="009B5363" w:rsidRPr="00FE7C8B">
        <w:rPr>
          <w:rFonts w:ascii="Times New Roman" w:cs="Times New Roman"/>
          <w:sz w:val="21"/>
          <w:szCs w:val="21"/>
          <w:lang w:eastAsia="zh-CN"/>
        </w:rPr>
        <w:t>平均</w:t>
      </w:r>
      <w:r w:rsidR="00B5132D" w:rsidRPr="00FE7C8B">
        <w:rPr>
          <w:rFonts w:ascii="Times New Roman" w:cs="Times New Roman"/>
          <w:sz w:val="21"/>
          <w:szCs w:val="21"/>
          <w:lang w:eastAsia="zh-CN"/>
        </w:rPr>
        <w:t>停车时间</w:t>
      </w:r>
      <w:r w:rsidR="009B5363" w:rsidRPr="00FE7C8B">
        <w:rPr>
          <w:rFonts w:ascii="Times New Roman" w:cs="Times New Roman"/>
          <w:sz w:val="21"/>
          <w:szCs w:val="21"/>
          <w:lang w:eastAsia="zh-CN"/>
        </w:rPr>
        <w:t>为</w:t>
      </w:r>
      <w:r w:rsidR="00B5132D" w:rsidRPr="00FE7C8B">
        <w:rPr>
          <w:rFonts w:ascii="Times New Roman" w:hAnsi="Times New Roman" w:cs="Times New Roman"/>
          <w:sz w:val="21"/>
          <w:szCs w:val="21"/>
          <w:lang w:eastAsia="zh-CN"/>
        </w:rPr>
        <w:t>2</w:t>
      </w:r>
      <w:r w:rsidR="00B5132D" w:rsidRPr="00FE7C8B">
        <w:rPr>
          <w:rFonts w:ascii="Times New Roman" w:cs="Times New Roman"/>
          <w:sz w:val="21"/>
          <w:szCs w:val="21"/>
          <w:lang w:eastAsia="zh-CN"/>
        </w:rPr>
        <w:t>小时</w:t>
      </w:r>
      <w:r w:rsidR="002C2275" w:rsidRPr="00FE7C8B">
        <w:rPr>
          <w:rFonts w:ascii="Times New Roman" w:cs="Times New Roman"/>
          <w:sz w:val="21"/>
          <w:szCs w:val="21"/>
          <w:lang w:eastAsia="zh-CN"/>
        </w:rPr>
        <w:t>。</w:t>
      </w:r>
      <w:r w:rsidR="00E71CA1" w:rsidRPr="00FE7C8B">
        <w:rPr>
          <w:rFonts w:ascii="Times New Roman" w:cs="Times New Roman"/>
          <w:sz w:val="21"/>
          <w:szCs w:val="21"/>
          <w:lang w:eastAsia="zh-CN"/>
        </w:rPr>
        <w:t>停车车辆中按照</w:t>
      </w:r>
      <w:r w:rsidR="00E71CA1" w:rsidRPr="00FE7C8B">
        <w:rPr>
          <w:rFonts w:ascii="Times New Roman" w:hAnsi="Times New Roman" w:cs="Times New Roman"/>
          <w:sz w:val="21"/>
          <w:szCs w:val="21"/>
          <w:lang w:eastAsia="zh-CN"/>
        </w:rPr>
        <w:t>20%</w:t>
      </w:r>
      <w:r w:rsidR="00E71CA1" w:rsidRPr="00FE7C8B">
        <w:rPr>
          <w:rFonts w:ascii="Times New Roman" w:cs="Times New Roman"/>
          <w:sz w:val="21"/>
          <w:szCs w:val="21"/>
          <w:lang w:eastAsia="zh-CN"/>
        </w:rPr>
        <w:t>的纯电动汽车进行估算，在工作日时间内各时刻约有</w:t>
      </w:r>
      <w:r w:rsidR="00E71CA1" w:rsidRPr="00FE7C8B">
        <w:rPr>
          <w:rFonts w:ascii="Times New Roman" w:hAnsi="Times New Roman" w:cs="Times New Roman"/>
          <w:sz w:val="21"/>
          <w:szCs w:val="21"/>
          <w:lang w:eastAsia="zh-CN"/>
        </w:rPr>
        <w:t>96</w:t>
      </w:r>
      <w:r w:rsidR="00E71CA1" w:rsidRPr="00FE7C8B">
        <w:rPr>
          <w:rFonts w:ascii="Times New Roman" w:cs="Times New Roman"/>
          <w:sz w:val="21"/>
          <w:szCs w:val="21"/>
          <w:lang w:eastAsia="zh-CN"/>
        </w:rPr>
        <w:t>辆纯电动车接入电网</w:t>
      </w:r>
      <w:r w:rsidR="00B5132D" w:rsidRPr="00FE7C8B">
        <w:rPr>
          <w:rFonts w:ascii="Times New Roman" w:cs="Times New Roman"/>
          <w:sz w:val="21"/>
          <w:szCs w:val="21"/>
          <w:lang w:eastAsia="zh-CN"/>
        </w:rPr>
        <w:t>，且</w:t>
      </w:r>
      <w:r w:rsidR="00E71CA1" w:rsidRPr="00FE7C8B">
        <w:rPr>
          <w:rFonts w:ascii="Times New Roman" w:cs="Times New Roman"/>
          <w:sz w:val="21"/>
          <w:szCs w:val="21"/>
          <w:lang w:eastAsia="zh-CN"/>
        </w:rPr>
        <w:t>，根据</w:t>
      </w:r>
      <w:proofErr w:type="gramStart"/>
      <w:r w:rsidR="00E71CA1" w:rsidRPr="00FE7C8B">
        <w:rPr>
          <w:rFonts w:ascii="Times New Roman" w:cs="Times New Roman"/>
          <w:sz w:val="21"/>
          <w:szCs w:val="21"/>
          <w:lang w:eastAsia="zh-CN"/>
        </w:rPr>
        <w:t>梁登香</w:t>
      </w:r>
      <w:proofErr w:type="gramEnd"/>
      <w:r w:rsidR="00E71CA1" w:rsidRPr="00FE7C8B">
        <w:rPr>
          <w:rFonts w:ascii="Times New Roman" w:hAnsi="Times New Roman" w:cs="Times New Roman"/>
          <w:sz w:val="21"/>
          <w:szCs w:val="21"/>
          <w:lang w:eastAsia="zh-CN"/>
        </w:rPr>
        <w:t>[</w:t>
      </w:r>
      <w:r w:rsidR="009B5363" w:rsidRPr="00FE7C8B">
        <w:rPr>
          <w:rFonts w:ascii="Times New Roman" w:hAnsi="Times New Roman" w:cs="Times New Roman"/>
          <w:sz w:val="21"/>
          <w:szCs w:val="21"/>
          <w:lang w:eastAsia="zh-CN"/>
        </w:rPr>
        <w:t>20</w:t>
      </w:r>
      <w:r w:rsidR="00E71CA1" w:rsidRPr="00FE7C8B">
        <w:rPr>
          <w:rFonts w:ascii="Times New Roman" w:hAnsi="Times New Roman" w:cs="Times New Roman"/>
          <w:sz w:val="21"/>
          <w:szCs w:val="21"/>
          <w:lang w:eastAsia="zh-CN"/>
        </w:rPr>
        <w:t>]</w:t>
      </w:r>
      <w:r w:rsidR="00E71CA1" w:rsidRPr="00FE7C8B">
        <w:rPr>
          <w:rFonts w:ascii="Times New Roman" w:cs="Times New Roman"/>
          <w:sz w:val="21"/>
          <w:szCs w:val="21"/>
          <w:lang w:eastAsia="zh-CN"/>
        </w:rPr>
        <w:t>的研究结果，目前市场上销售的主流品牌纯电动汽车电池容量平均为</w:t>
      </w:r>
      <w:r w:rsidR="00E71CA1" w:rsidRPr="00FE7C8B">
        <w:rPr>
          <w:rFonts w:ascii="Times New Roman" w:hAnsi="Times New Roman" w:cs="Times New Roman"/>
          <w:sz w:val="21"/>
          <w:szCs w:val="21"/>
          <w:lang w:eastAsia="zh-CN"/>
        </w:rPr>
        <w:t>69.48kWh</w:t>
      </w:r>
      <w:r w:rsidR="00B5132D" w:rsidRPr="00FE7C8B">
        <w:rPr>
          <w:rFonts w:ascii="Times New Roman" w:cs="Times New Roman"/>
          <w:sz w:val="21"/>
          <w:szCs w:val="21"/>
          <w:lang w:eastAsia="zh-CN"/>
        </w:rPr>
        <w:t>，为了防止过度充放电</w:t>
      </w:r>
      <w:r w:rsidR="009B5363" w:rsidRPr="00FE7C8B">
        <w:rPr>
          <w:rFonts w:ascii="Times New Roman" w:cs="Times New Roman"/>
          <w:sz w:val="21"/>
          <w:szCs w:val="21"/>
          <w:lang w:eastAsia="zh-CN"/>
        </w:rPr>
        <w:t>并保证用户的正常用车</w:t>
      </w:r>
      <w:r w:rsidR="00B5132D" w:rsidRPr="00FE7C8B">
        <w:rPr>
          <w:rFonts w:ascii="Times New Roman" w:cs="Times New Roman"/>
          <w:sz w:val="21"/>
          <w:szCs w:val="21"/>
          <w:lang w:eastAsia="zh-CN"/>
        </w:rPr>
        <w:t>，按照电量的</w:t>
      </w:r>
      <w:r w:rsidR="009B5363" w:rsidRPr="00FE7C8B">
        <w:rPr>
          <w:rFonts w:ascii="Times New Roman" w:hAnsi="Times New Roman" w:cs="Times New Roman"/>
          <w:sz w:val="21"/>
          <w:szCs w:val="21"/>
          <w:lang w:eastAsia="zh-CN"/>
        </w:rPr>
        <w:t>20%</w:t>
      </w:r>
      <w:r w:rsidR="00B5132D" w:rsidRPr="00FE7C8B">
        <w:rPr>
          <w:rFonts w:ascii="Times New Roman" w:cs="Times New Roman"/>
          <w:sz w:val="21"/>
          <w:szCs w:val="21"/>
          <w:lang w:eastAsia="zh-CN"/>
        </w:rPr>
        <w:t>作为可蓄能部分。按此估计纯电动汽车接入电网后可每天可实现能源消纳</w:t>
      </w:r>
      <w:r w:rsidR="00B5132D" w:rsidRPr="00FE7C8B">
        <w:rPr>
          <w:rFonts w:ascii="Times New Roman" w:hAnsi="Times New Roman" w:cs="Times New Roman"/>
          <w:sz w:val="21"/>
          <w:szCs w:val="21"/>
          <w:lang w:eastAsia="zh-CN"/>
        </w:rPr>
        <w:t>13340.16kWh</w:t>
      </w:r>
      <w:r w:rsidR="00B5132D" w:rsidRPr="00FE7C8B">
        <w:rPr>
          <w:rFonts w:ascii="Times New Roman" w:cs="Times New Roman"/>
          <w:sz w:val="21"/>
          <w:szCs w:val="21"/>
          <w:lang w:eastAsia="zh-CN"/>
        </w:rPr>
        <w:t>。在生命周期内预计可以给市政综合体带来</w:t>
      </w:r>
      <w:r w:rsidR="009B5363" w:rsidRPr="00FE7C8B">
        <w:rPr>
          <w:rFonts w:ascii="Times New Roman" w:hAnsi="Times New Roman" w:cs="Times New Roman"/>
          <w:sz w:val="21"/>
          <w:szCs w:val="21"/>
          <w:lang w:eastAsia="zh-CN"/>
        </w:rPr>
        <w:t>57412.25</w:t>
      </w:r>
      <w:r w:rsidR="00B5132D" w:rsidRPr="00FE7C8B">
        <w:rPr>
          <w:rFonts w:ascii="Times New Roman" w:hAnsi="Times New Roman" w:cs="Times New Roman"/>
          <w:sz w:val="21"/>
          <w:szCs w:val="21"/>
          <w:lang w:eastAsia="zh-CN"/>
        </w:rPr>
        <w:t xml:space="preserve"> tCO</w:t>
      </w:r>
      <w:r w:rsidR="00B5132D" w:rsidRPr="00FE7C8B">
        <w:rPr>
          <w:rFonts w:ascii="Times New Roman" w:hAnsi="Times New Roman" w:cs="Times New Roman"/>
          <w:sz w:val="21"/>
          <w:szCs w:val="21"/>
          <w:vertAlign w:val="subscript"/>
          <w:lang w:eastAsia="zh-CN"/>
        </w:rPr>
        <w:t>2</w:t>
      </w:r>
      <w:r w:rsidR="00B5132D" w:rsidRPr="00FE7C8B">
        <w:rPr>
          <w:rFonts w:ascii="Times New Roman" w:cs="Times New Roman"/>
          <w:sz w:val="21"/>
          <w:szCs w:val="21"/>
          <w:lang w:eastAsia="zh-CN"/>
        </w:rPr>
        <w:t>的</w:t>
      </w:r>
      <w:proofErr w:type="gramStart"/>
      <w:r w:rsidR="00B5132D" w:rsidRPr="00FE7C8B">
        <w:rPr>
          <w:rFonts w:ascii="Times New Roman" w:cs="Times New Roman"/>
          <w:sz w:val="21"/>
          <w:szCs w:val="21"/>
          <w:lang w:eastAsia="zh-CN"/>
        </w:rPr>
        <w:t>减碳量</w:t>
      </w:r>
      <w:proofErr w:type="gramEnd"/>
      <w:r w:rsidR="00B5132D" w:rsidRPr="00FE7C8B">
        <w:rPr>
          <w:rFonts w:ascii="Times New Roman" w:cs="Times New Roman"/>
          <w:sz w:val="21"/>
          <w:szCs w:val="21"/>
          <w:lang w:eastAsia="zh-CN"/>
        </w:rPr>
        <w:t>，约占</w:t>
      </w:r>
      <w:r w:rsidR="009B5363" w:rsidRPr="00FE7C8B">
        <w:rPr>
          <w:rFonts w:ascii="Times New Roman" w:cs="Times New Roman"/>
          <w:sz w:val="21"/>
          <w:szCs w:val="21"/>
          <w:lang w:eastAsia="zh-CN"/>
        </w:rPr>
        <w:t>基准</w:t>
      </w:r>
      <w:proofErr w:type="gramStart"/>
      <w:r w:rsidR="009B5363" w:rsidRPr="00FE7C8B">
        <w:rPr>
          <w:rFonts w:ascii="Times New Roman" w:cs="Times New Roman"/>
          <w:sz w:val="21"/>
          <w:szCs w:val="21"/>
          <w:lang w:eastAsia="zh-CN"/>
        </w:rPr>
        <w:t>情况下碳排放量</w:t>
      </w:r>
      <w:proofErr w:type="gramEnd"/>
      <w:r w:rsidR="009B5363" w:rsidRPr="00FE7C8B">
        <w:rPr>
          <w:rFonts w:ascii="Times New Roman" w:cs="Times New Roman"/>
          <w:sz w:val="21"/>
          <w:szCs w:val="21"/>
          <w:lang w:eastAsia="zh-CN"/>
        </w:rPr>
        <w:t>的</w:t>
      </w:r>
      <w:r w:rsidR="009B5363" w:rsidRPr="00FE7C8B">
        <w:rPr>
          <w:rFonts w:ascii="Times New Roman" w:hAnsi="Times New Roman" w:cs="Times New Roman"/>
          <w:sz w:val="21"/>
          <w:szCs w:val="21"/>
          <w:lang w:eastAsia="zh-CN"/>
        </w:rPr>
        <w:t>24.2%</w:t>
      </w:r>
      <w:r w:rsidR="009B5363" w:rsidRPr="00FE7C8B">
        <w:rPr>
          <w:rFonts w:ascii="Times New Roman" w:cs="Times New Roman"/>
          <w:sz w:val="21"/>
          <w:szCs w:val="21"/>
          <w:lang w:eastAsia="zh-CN"/>
        </w:rPr>
        <w:t>。</w:t>
      </w:r>
    </w:p>
    <w:p w:rsidR="00027DDB" w:rsidRPr="00027DDB" w:rsidRDefault="00027DDB" w:rsidP="00027DDB">
      <w:pPr>
        <w:pStyle w:val="a3"/>
        <w:numPr>
          <w:ilvl w:val="1"/>
          <w:numId w:val="1"/>
        </w:numPr>
        <w:rPr>
          <w:sz w:val="21"/>
          <w:szCs w:val="21"/>
          <w:lang w:eastAsia="zh-CN"/>
        </w:rPr>
      </w:pPr>
      <w:r w:rsidRPr="00027DDB">
        <w:rPr>
          <w:rFonts w:hint="eastAsia"/>
          <w:sz w:val="21"/>
          <w:szCs w:val="21"/>
          <w:lang w:eastAsia="zh-CN"/>
        </w:rPr>
        <w:t>技术路径</w:t>
      </w:r>
      <w:r w:rsidR="00A056BA">
        <w:rPr>
          <w:rFonts w:hint="eastAsia"/>
          <w:sz w:val="21"/>
          <w:szCs w:val="21"/>
          <w:lang w:eastAsia="zh-CN"/>
        </w:rPr>
        <w:t>适用性分析及</w:t>
      </w:r>
      <w:r w:rsidR="003537BB">
        <w:rPr>
          <w:rFonts w:hint="eastAsia"/>
          <w:sz w:val="21"/>
          <w:szCs w:val="21"/>
          <w:lang w:eastAsia="zh-CN"/>
        </w:rPr>
        <w:t>综合选择</w:t>
      </w:r>
    </w:p>
    <w:p w:rsidR="00027DDB" w:rsidRDefault="00027DDB" w:rsidP="003537BB">
      <w:pPr>
        <w:rPr>
          <w:sz w:val="21"/>
          <w:szCs w:val="21"/>
          <w:lang w:eastAsia="zh-CN"/>
        </w:rPr>
      </w:pPr>
      <w:r>
        <w:rPr>
          <w:rFonts w:hint="eastAsia"/>
          <w:sz w:val="21"/>
          <w:szCs w:val="21"/>
          <w:lang w:eastAsia="zh-CN"/>
        </w:rPr>
        <w:t>上述部分对可以应用于市政综合体的</w:t>
      </w:r>
      <w:proofErr w:type="gramStart"/>
      <w:r>
        <w:rPr>
          <w:rFonts w:hint="eastAsia"/>
          <w:sz w:val="21"/>
          <w:szCs w:val="21"/>
          <w:lang w:eastAsia="zh-CN"/>
        </w:rPr>
        <w:t>减碳技术</w:t>
      </w:r>
      <w:proofErr w:type="gramEnd"/>
      <w:r>
        <w:rPr>
          <w:rFonts w:hint="eastAsia"/>
          <w:sz w:val="21"/>
          <w:szCs w:val="21"/>
          <w:lang w:eastAsia="zh-CN"/>
        </w:rPr>
        <w:t>进行了评估，各种及</w:t>
      </w:r>
      <w:proofErr w:type="gramStart"/>
      <w:r>
        <w:rPr>
          <w:rFonts w:hint="eastAsia"/>
          <w:sz w:val="21"/>
          <w:szCs w:val="21"/>
          <w:lang w:eastAsia="zh-CN"/>
        </w:rPr>
        <w:t>减碳技术</w:t>
      </w:r>
      <w:proofErr w:type="gramEnd"/>
      <w:r>
        <w:rPr>
          <w:rFonts w:hint="eastAsia"/>
          <w:sz w:val="21"/>
          <w:szCs w:val="21"/>
          <w:lang w:eastAsia="zh-CN"/>
        </w:rPr>
        <w:t>的成本与带来的</w:t>
      </w:r>
      <w:proofErr w:type="gramStart"/>
      <w:r>
        <w:rPr>
          <w:rFonts w:hint="eastAsia"/>
          <w:sz w:val="21"/>
          <w:szCs w:val="21"/>
          <w:lang w:eastAsia="zh-CN"/>
        </w:rPr>
        <w:t>减碳效果</w:t>
      </w:r>
      <w:proofErr w:type="gramEnd"/>
      <w:r>
        <w:rPr>
          <w:rFonts w:hint="eastAsia"/>
          <w:sz w:val="21"/>
          <w:szCs w:val="21"/>
          <w:lang w:eastAsia="zh-CN"/>
        </w:rPr>
        <w:t>不尽相同，因此应根据建筑的设计思路</w:t>
      </w:r>
      <w:proofErr w:type="gramStart"/>
      <w:r>
        <w:rPr>
          <w:rFonts w:hint="eastAsia"/>
          <w:sz w:val="21"/>
          <w:szCs w:val="21"/>
          <w:lang w:eastAsia="zh-CN"/>
        </w:rPr>
        <w:t>对减碳技术</w:t>
      </w:r>
      <w:proofErr w:type="gramEnd"/>
      <w:r>
        <w:rPr>
          <w:rFonts w:hint="eastAsia"/>
          <w:sz w:val="21"/>
          <w:szCs w:val="21"/>
          <w:lang w:eastAsia="zh-CN"/>
        </w:rPr>
        <w:t>进行取舍。市政综合体作为“零碳示范性建筑”，力求在工程可行的基础上实现全生命周期的低碳排放，因此在进行决策时应以技术的</w:t>
      </w:r>
      <w:proofErr w:type="gramStart"/>
      <w:r>
        <w:rPr>
          <w:rFonts w:hint="eastAsia"/>
          <w:sz w:val="21"/>
          <w:szCs w:val="21"/>
          <w:lang w:eastAsia="zh-CN"/>
        </w:rPr>
        <w:t>减碳潜力</w:t>
      </w:r>
      <w:proofErr w:type="gramEnd"/>
      <w:r>
        <w:rPr>
          <w:rFonts w:hint="eastAsia"/>
          <w:sz w:val="21"/>
          <w:szCs w:val="21"/>
          <w:lang w:eastAsia="zh-CN"/>
        </w:rPr>
        <w:t>为指标，选择</w:t>
      </w:r>
      <w:proofErr w:type="gramStart"/>
      <w:r>
        <w:rPr>
          <w:rFonts w:hint="eastAsia"/>
          <w:sz w:val="21"/>
          <w:szCs w:val="21"/>
          <w:lang w:eastAsia="zh-CN"/>
        </w:rPr>
        <w:t>综合减碳性能</w:t>
      </w:r>
      <w:proofErr w:type="gramEnd"/>
      <w:r>
        <w:rPr>
          <w:rFonts w:hint="eastAsia"/>
          <w:sz w:val="21"/>
          <w:szCs w:val="21"/>
          <w:lang w:eastAsia="zh-CN"/>
        </w:rPr>
        <w:t>最佳的技术路径方案。</w:t>
      </w:r>
    </w:p>
    <w:p w:rsidR="002E7819" w:rsidRDefault="003537BB" w:rsidP="003537BB">
      <w:pPr>
        <w:rPr>
          <w:sz w:val="21"/>
          <w:szCs w:val="21"/>
          <w:lang w:eastAsia="zh-CN"/>
        </w:rPr>
      </w:pPr>
      <w:r>
        <w:rPr>
          <w:rFonts w:hint="eastAsia"/>
          <w:sz w:val="21"/>
          <w:szCs w:val="21"/>
          <w:lang w:eastAsia="zh-CN"/>
        </w:rPr>
        <w:lastRenderedPageBreak/>
        <w:t>在建筑材料生产及建筑施工阶段，</w:t>
      </w:r>
      <w:r w:rsidR="00A056BA">
        <w:rPr>
          <w:rFonts w:hint="eastAsia"/>
          <w:sz w:val="21"/>
          <w:szCs w:val="21"/>
          <w:lang w:eastAsia="zh-CN"/>
        </w:rPr>
        <w:t>可采用可回收建筑材料、装配式建筑以及</w:t>
      </w:r>
      <w:proofErr w:type="gramStart"/>
      <w:r w:rsidR="00987579">
        <w:rPr>
          <w:rFonts w:hint="eastAsia"/>
          <w:sz w:val="21"/>
          <w:szCs w:val="21"/>
          <w:lang w:eastAsia="zh-CN"/>
        </w:rPr>
        <w:t>高热工性能</w:t>
      </w:r>
      <w:proofErr w:type="gramEnd"/>
      <w:r w:rsidR="00987579">
        <w:rPr>
          <w:rFonts w:hint="eastAsia"/>
          <w:sz w:val="21"/>
          <w:szCs w:val="21"/>
          <w:lang w:eastAsia="zh-CN"/>
        </w:rPr>
        <w:t>围护结构</w:t>
      </w:r>
      <w:r w:rsidR="00A056BA">
        <w:rPr>
          <w:rFonts w:hint="eastAsia"/>
          <w:sz w:val="21"/>
          <w:szCs w:val="21"/>
          <w:lang w:eastAsia="zh-CN"/>
        </w:rPr>
        <w:t>的技术减小碳排放。</w:t>
      </w:r>
      <w:r w:rsidR="002E7819">
        <w:rPr>
          <w:rFonts w:hint="eastAsia"/>
          <w:sz w:val="21"/>
          <w:szCs w:val="21"/>
          <w:lang w:eastAsia="zh-CN"/>
        </w:rPr>
        <w:t>对于市政综合体，其为混凝土框架式结构，而目前的回收钢材冶炼技术得到的钢材强度与原生钢材无异，可再生混凝土的强度亦符合当前的强度要求，因此可以应用于建造过程中。而对于装配式建筑，目前已有《装配式建筑评价标准》等规范性文件可以参考，因此具有可行性。围护结构热工性能的提升可采用构造方式改进以及使用高性能建材实现，亦具有可行性。</w:t>
      </w:r>
    </w:p>
    <w:p w:rsidR="00CD180B" w:rsidRDefault="00CD180B" w:rsidP="003537BB">
      <w:pPr>
        <w:rPr>
          <w:sz w:val="21"/>
          <w:szCs w:val="21"/>
          <w:lang w:eastAsia="zh-CN"/>
        </w:rPr>
      </w:pPr>
      <w:r>
        <w:rPr>
          <w:rFonts w:hint="eastAsia"/>
          <w:sz w:val="21"/>
          <w:szCs w:val="21"/>
          <w:lang w:eastAsia="zh-CN"/>
        </w:rPr>
        <w:t>对于运营阶段可采用</w:t>
      </w:r>
      <w:proofErr w:type="gramStart"/>
      <w:r>
        <w:rPr>
          <w:rFonts w:hint="eastAsia"/>
          <w:sz w:val="21"/>
          <w:szCs w:val="21"/>
          <w:lang w:eastAsia="zh-CN"/>
        </w:rPr>
        <w:t>的减碳技术</w:t>
      </w:r>
      <w:proofErr w:type="gramEnd"/>
      <w:r w:rsidR="004E54F4">
        <w:rPr>
          <w:rFonts w:hint="eastAsia"/>
          <w:sz w:val="21"/>
          <w:szCs w:val="21"/>
          <w:lang w:eastAsia="zh-CN"/>
        </w:rPr>
        <w:t>，冷热源设备、</w:t>
      </w:r>
      <w:r>
        <w:rPr>
          <w:rFonts w:hint="eastAsia"/>
          <w:sz w:val="21"/>
          <w:szCs w:val="21"/>
          <w:lang w:eastAsia="zh-CN"/>
        </w:rPr>
        <w:t>空调系统的运营策略优化都是从设备层面考虑，较易实现</w:t>
      </w:r>
      <w:r w:rsidR="004E54F4">
        <w:rPr>
          <w:rFonts w:hint="eastAsia"/>
          <w:sz w:val="21"/>
          <w:szCs w:val="21"/>
          <w:lang w:eastAsia="zh-CN"/>
        </w:rPr>
        <w:t>，具有可行性。太阳能利用方面</w:t>
      </w:r>
      <w:r w:rsidR="00987579">
        <w:rPr>
          <w:rFonts w:hint="eastAsia"/>
          <w:sz w:val="21"/>
          <w:szCs w:val="21"/>
          <w:lang w:eastAsia="zh-CN"/>
        </w:rPr>
        <w:t>，太阳能设备的布置问题已在技术方案中进行阐述，具有可行性，而光伏光热一体化设备带来的</w:t>
      </w:r>
      <w:proofErr w:type="gramStart"/>
      <w:r w:rsidR="00987579">
        <w:rPr>
          <w:rFonts w:hint="eastAsia"/>
          <w:sz w:val="21"/>
          <w:szCs w:val="21"/>
          <w:lang w:eastAsia="zh-CN"/>
        </w:rPr>
        <w:t>减碳效益</w:t>
      </w:r>
      <w:proofErr w:type="gramEnd"/>
      <w:r w:rsidR="00987579">
        <w:rPr>
          <w:rFonts w:hint="eastAsia"/>
          <w:sz w:val="21"/>
          <w:szCs w:val="21"/>
          <w:lang w:eastAsia="zh-CN"/>
        </w:rPr>
        <w:t>最大，故此部分采用光伏光热一体化设备作为太阳能利用解决方案。对于遮阳设施以及灯光自动控制技术，在技术上已十分成熟，但需要注意到遮阳设施的使用会在一定程度上影响自然采光，从而影响照明自动控制的效果。经过模拟，发现在遮阳设施与灯光自动控制联合使用时，灯光自动控制的节能效果会下降</w:t>
      </w:r>
      <w:r w:rsidR="007F77C5">
        <w:rPr>
          <w:rFonts w:hint="eastAsia"/>
          <w:sz w:val="21"/>
          <w:szCs w:val="21"/>
          <w:lang w:eastAsia="zh-CN"/>
        </w:rPr>
        <w:t>16%</w:t>
      </w:r>
      <w:r w:rsidR="001679E3">
        <w:rPr>
          <w:rFonts w:hint="eastAsia"/>
          <w:sz w:val="21"/>
          <w:szCs w:val="21"/>
          <w:lang w:eastAsia="zh-CN"/>
        </w:rPr>
        <w:t>。但两种技术联合使用后的节能效果仍优于单独某一种技术带来的节能效果，因此二者适于同时使用。室内设备节能管理与新风热回收技术的技术可行性已在上文阐述，在此不再赘述。</w:t>
      </w:r>
    </w:p>
    <w:p w:rsidR="001679E3" w:rsidRPr="00027DDB" w:rsidRDefault="001679E3" w:rsidP="003537BB">
      <w:pPr>
        <w:rPr>
          <w:sz w:val="21"/>
          <w:szCs w:val="21"/>
          <w:lang w:eastAsia="zh-CN"/>
        </w:rPr>
      </w:pPr>
      <w:r>
        <w:rPr>
          <w:rFonts w:hint="eastAsia"/>
          <w:sz w:val="21"/>
          <w:szCs w:val="21"/>
          <w:lang w:eastAsia="zh-CN"/>
        </w:rPr>
        <w:t>上述短期内在市政综合体项目中应用的</w:t>
      </w:r>
      <w:proofErr w:type="gramStart"/>
      <w:r>
        <w:rPr>
          <w:rFonts w:hint="eastAsia"/>
          <w:sz w:val="21"/>
          <w:szCs w:val="21"/>
          <w:lang w:eastAsia="zh-CN"/>
        </w:rPr>
        <w:t>减碳技术</w:t>
      </w:r>
      <w:proofErr w:type="gramEnd"/>
      <w:r>
        <w:rPr>
          <w:rFonts w:hint="eastAsia"/>
          <w:sz w:val="21"/>
          <w:szCs w:val="21"/>
          <w:lang w:eastAsia="zh-CN"/>
        </w:rPr>
        <w:t>的适用性已论证完毕，</w:t>
      </w:r>
      <w:proofErr w:type="gramStart"/>
      <w:r>
        <w:rPr>
          <w:rFonts w:hint="eastAsia"/>
          <w:sz w:val="21"/>
          <w:szCs w:val="21"/>
          <w:lang w:eastAsia="zh-CN"/>
        </w:rPr>
        <w:t>减碳技术</w:t>
      </w:r>
      <w:proofErr w:type="gramEnd"/>
      <w:r>
        <w:rPr>
          <w:rFonts w:hint="eastAsia"/>
          <w:sz w:val="21"/>
          <w:szCs w:val="21"/>
          <w:lang w:eastAsia="zh-CN"/>
        </w:rPr>
        <w:t>应用效果与完整的技术路径清单如</w:t>
      </w:r>
      <w:r>
        <w:rPr>
          <w:rFonts w:hint="eastAsia"/>
          <w:sz w:val="21"/>
          <w:szCs w:val="21"/>
          <w:lang w:eastAsia="zh-CN"/>
        </w:rPr>
        <w:t>x</w:t>
      </w:r>
      <w:r>
        <w:rPr>
          <w:rFonts w:hint="eastAsia"/>
          <w:sz w:val="21"/>
          <w:szCs w:val="21"/>
          <w:lang w:eastAsia="zh-CN"/>
        </w:rPr>
        <w:t>与表</w:t>
      </w:r>
      <w:r>
        <w:rPr>
          <w:rFonts w:hint="eastAsia"/>
          <w:sz w:val="21"/>
          <w:szCs w:val="21"/>
          <w:lang w:eastAsia="zh-CN"/>
        </w:rPr>
        <w:t>x</w:t>
      </w:r>
      <w:r>
        <w:rPr>
          <w:rFonts w:hint="eastAsia"/>
          <w:sz w:val="21"/>
          <w:szCs w:val="21"/>
          <w:lang w:eastAsia="zh-CN"/>
        </w:rPr>
        <w:t>所示。</w:t>
      </w:r>
    </w:p>
    <w:p w:rsidR="00947576" w:rsidRDefault="0052001F" w:rsidP="00947576">
      <w:pPr>
        <w:keepNext/>
        <w:jc w:val="center"/>
      </w:pPr>
      <w:r>
        <w:rPr>
          <w:noProof/>
          <w:sz w:val="21"/>
          <w:szCs w:val="21"/>
          <w:lang w:eastAsia="zh-CN" w:bidi="ar-SA"/>
        </w:rPr>
        <w:drawing>
          <wp:inline distT="0" distB="0" distL="0" distR="0">
            <wp:extent cx="4583095" cy="2512451"/>
            <wp:effectExtent l="19050" t="0" r="7955" b="0"/>
            <wp:docPr id="6" name="图片 5" descr="技术路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技术路径.jpg"/>
                    <pic:cNvPicPr/>
                  </pic:nvPicPr>
                  <pic:blipFill>
                    <a:blip r:embed="rId15" cstate="print"/>
                    <a:srcRect l="13123" b="12114"/>
                    <a:stretch>
                      <a:fillRect/>
                    </a:stretch>
                  </pic:blipFill>
                  <pic:spPr>
                    <a:xfrm>
                      <a:off x="0" y="0"/>
                      <a:ext cx="4583095" cy="2512451"/>
                    </a:xfrm>
                    <a:prstGeom prst="rect">
                      <a:avLst/>
                    </a:prstGeom>
                  </pic:spPr>
                </pic:pic>
              </a:graphicData>
            </a:graphic>
          </wp:inline>
        </w:drawing>
      </w:r>
    </w:p>
    <w:p w:rsidR="0052001F" w:rsidRDefault="00947576" w:rsidP="00947576">
      <w:pPr>
        <w:pStyle w:val="a8"/>
        <w:jc w:val="center"/>
        <w:rPr>
          <w:rFonts w:ascii="黑体" w:eastAsia="黑体" w:hAnsi="黑体"/>
          <w:b w:val="0"/>
          <w:color w:val="auto"/>
          <w:lang w:eastAsia="zh-CN"/>
        </w:rPr>
      </w:pPr>
      <w:r w:rsidRPr="00947576">
        <w:rPr>
          <w:rFonts w:ascii="黑体" w:eastAsia="黑体" w:hAnsi="黑体" w:hint="eastAsia"/>
          <w:b w:val="0"/>
          <w:color w:val="auto"/>
          <w:lang w:eastAsia="zh-CN"/>
        </w:rPr>
        <w:t xml:space="preserve">图x </w:t>
      </w:r>
      <w:proofErr w:type="gramStart"/>
      <w:r w:rsidRPr="00947576">
        <w:rPr>
          <w:rFonts w:ascii="黑体" w:eastAsia="黑体" w:hAnsi="黑体" w:hint="eastAsia"/>
          <w:b w:val="0"/>
          <w:color w:val="auto"/>
          <w:lang w:eastAsia="zh-CN"/>
        </w:rPr>
        <w:t>减碳技术</w:t>
      </w:r>
      <w:proofErr w:type="gramEnd"/>
      <w:r w:rsidRPr="00947576">
        <w:rPr>
          <w:rFonts w:ascii="黑体" w:eastAsia="黑体" w:hAnsi="黑体" w:hint="eastAsia"/>
          <w:b w:val="0"/>
          <w:color w:val="auto"/>
          <w:lang w:eastAsia="zh-CN"/>
        </w:rPr>
        <w:t>应用效果</w:t>
      </w:r>
    </w:p>
    <w:p w:rsidR="00BE5341" w:rsidRDefault="00BE5341" w:rsidP="00BE5341">
      <w:pPr>
        <w:rPr>
          <w:lang w:eastAsia="zh-CN"/>
        </w:rPr>
      </w:pPr>
    </w:p>
    <w:p w:rsidR="00BE5341" w:rsidRDefault="00BE5341" w:rsidP="00BE5341">
      <w:pPr>
        <w:rPr>
          <w:lang w:eastAsia="zh-CN"/>
        </w:rPr>
      </w:pPr>
    </w:p>
    <w:p w:rsidR="00BE5341" w:rsidRDefault="00BE5341" w:rsidP="00BE5341">
      <w:pPr>
        <w:rPr>
          <w:lang w:eastAsia="zh-CN"/>
        </w:rPr>
      </w:pPr>
    </w:p>
    <w:p w:rsidR="00FE7C8B" w:rsidRPr="00BE5341" w:rsidRDefault="00FE7C8B" w:rsidP="00BE5341">
      <w:pPr>
        <w:rPr>
          <w:lang w:eastAsia="zh-CN"/>
        </w:rPr>
      </w:pPr>
    </w:p>
    <w:p w:rsidR="0052001F" w:rsidRDefault="002E59E0" w:rsidP="0052001F">
      <w:pPr>
        <w:jc w:val="center"/>
        <w:rPr>
          <w:sz w:val="21"/>
          <w:szCs w:val="21"/>
          <w:lang w:eastAsia="zh-CN"/>
        </w:rPr>
      </w:pPr>
      <w:r>
        <w:rPr>
          <w:sz w:val="21"/>
          <w:szCs w:val="21"/>
          <w:lang w:eastAsia="zh-CN"/>
        </w:rPr>
        <w:lastRenderedPageBreak/>
        <w:t>表</w:t>
      </w:r>
      <w:r>
        <w:rPr>
          <w:sz w:val="21"/>
          <w:szCs w:val="21"/>
          <w:lang w:eastAsia="zh-CN"/>
        </w:rPr>
        <w:t>x</w:t>
      </w:r>
      <w:r>
        <w:rPr>
          <w:rFonts w:hint="eastAsia"/>
          <w:sz w:val="21"/>
          <w:szCs w:val="21"/>
          <w:lang w:eastAsia="zh-CN"/>
        </w:rPr>
        <w:t xml:space="preserve"> </w:t>
      </w:r>
      <w:r>
        <w:rPr>
          <w:rFonts w:hint="eastAsia"/>
          <w:sz w:val="21"/>
          <w:szCs w:val="21"/>
          <w:lang w:eastAsia="zh-CN"/>
        </w:rPr>
        <w:t>建筑节能技术使用情况</w:t>
      </w:r>
    </w:p>
    <w:tbl>
      <w:tblPr>
        <w:tblW w:w="8726" w:type="dxa"/>
        <w:tblBorders>
          <w:top w:val="single" w:sz="12" w:space="0" w:color="auto"/>
          <w:bottom w:val="single" w:sz="12" w:space="0" w:color="auto"/>
          <w:insideH w:val="single" w:sz="4" w:space="0" w:color="auto"/>
          <w:insideV w:val="single" w:sz="4" w:space="0" w:color="auto"/>
        </w:tblBorders>
        <w:tblLook w:val="04A0"/>
      </w:tblPr>
      <w:tblGrid>
        <w:gridCol w:w="1901"/>
        <w:gridCol w:w="2531"/>
        <w:gridCol w:w="1956"/>
        <w:gridCol w:w="1242"/>
        <w:gridCol w:w="1096"/>
      </w:tblGrid>
      <w:tr w:rsidR="00BE5341" w:rsidRPr="00FE7C8B" w:rsidTr="00BE5341">
        <w:trPr>
          <w:trHeight w:val="270"/>
        </w:trPr>
        <w:tc>
          <w:tcPr>
            <w:tcW w:w="1901" w:type="dxa"/>
            <w:shd w:val="clear" w:color="auto" w:fill="auto"/>
            <w:noWrap/>
            <w:vAlign w:val="center"/>
            <w:hideMark/>
          </w:tcPr>
          <w:p w:rsidR="00BE5341" w:rsidRPr="00FE7C8B" w:rsidRDefault="00BE5341" w:rsidP="00BE5341">
            <w:pPr>
              <w:spacing w:after="0" w:line="240" w:lineRule="auto"/>
              <w:jc w:val="center"/>
              <w:rPr>
                <w:rFonts w:ascii="宋体" w:eastAsia="宋体" w:hAnsi="宋体" w:cs="宋体"/>
                <w:color w:val="000000"/>
                <w:sz w:val="21"/>
                <w:szCs w:val="21"/>
                <w:lang w:eastAsia="zh-CN" w:bidi="ar-SA"/>
              </w:rPr>
            </w:pPr>
            <w:r w:rsidRPr="00FE7C8B">
              <w:rPr>
                <w:rFonts w:ascii="宋体" w:eastAsia="宋体" w:hAnsi="宋体" w:cs="宋体" w:hint="eastAsia"/>
                <w:color w:val="000000"/>
                <w:sz w:val="21"/>
                <w:szCs w:val="21"/>
                <w:lang w:eastAsia="zh-CN" w:bidi="ar-SA"/>
              </w:rPr>
              <w:t>应用阶段</w:t>
            </w:r>
          </w:p>
        </w:tc>
        <w:tc>
          <w:tcPr>
            <w:tcW w:w="2531" w:type="dxa"/>
            <w:shd w:val="clear" w:color="auto" w:fill="auto"/>
            <w:noWrap/>
            <w:vAlign w:val="center"/>
            <w:hideMark/>
          </w:tcPr>
          <w:p w:rsidR="00BE5341" w:rsidRPr="00FE7C8B" w:rsidRDefault="00BE5341" w:rsidP="00BE5341">
            <w:pPr>
              <w:spacing w:after="0" w:line="240" w:lineRule="auto"/>
              <w:jc w:val="center"/>
              <w:rPr>
                <w:rFonts w:ascii="宋体" w:eastAsia="宋体" w:hAnsi="宋体" w:cs="宋体"/>
                <w:color w:val="000000"/>
                <w:sz w:val="21"/>
                <w:szCs w:val="21"/>
                <w:lang w:eastAsia="zh-CN" w:bidi="ar-SA"/>
              </w:rPr>
            </w:pPr>
            <w:proofErr w:type="gramStart"/>
            <w:r w:rsidRPr="00FE7C8B">
              <w:rPr>
                <w:rFonts w:ascii="宋体" w:eastAsia="宋体" w:hAnsi="宋体" w:cs="宋体" w:hint="eastAsia"/>
                <w:color w:val="000000"/>
                <w:sz w:val="21"/>
                <w:szCs w:val="21"/>
                <w:lang w:eastAsia="zh-CN" w:bidi="ar-SA"/>
              </w:rPr>
              <w:t>减碳技术</w:t>
            </w:r>
            <w:proofErr w:type="gramEnd"/>
          </w:p>
        </w:tc>
        <w:tc>
          <w:tcPr>
            <w:tcW w:w="1956" w:type="dxa"/>
            <w:shd w:val="clear" w:color="auto" w:fill="auto"/>
            <w:noWrap/>
            <w:vAlign w:val="center"/>
            <w:hideMark/>
          </w:tcPr>
          <w:p w:rsidR="00BE5341" w:rsidRPr="00FE7C8B" w:rsidRDefault="00BE5341" w:rsidP="00BE5341">
            <w:pPr>
              <w:spacing w:after="0" w:line="240" w:lineRule="auto"/>
              <w:jc w:val="center"/>
              <w:rPr>
                <w:rFonts w:ascii="宋体" w:eastAsia="宋体" w:hAnsi="宋体" w:cs="宋体"/>
                <w:color w:val="000000"/>
                <w:sz w:val="21"/>
                <w:szCs w:val="21"/>
                <w:lang w:eastAsia="zh-CN" w:bidi="ar-SA"/>
              </w:rPr>
            </w:pPr>
            <w:r w:rsidRPr="00FE7C8B">
              <w:rPr>
                <w:rFonts w:ascii="宋体" w:eastAsia="宋体" w:hAnsi="宋体" w:cs="宋体" w:hint="eastAsia"/>
                <w:color w:val="000000"/>
                <w:sz w:val="21"/>
                <w:szCs w:val="21"/>
                <w:lang w:eastAsia="zh-CN" w:bidi="ar-SA"/>
              </w:rPr>
              <w:t>规格</w:t>
            </w:r>
          </w:p>
        </w:tc>
        <w:tc>
          <w:tcPr>
            <w:tcW w:w="1242" w:type="dxa"/>
            <w:shd w:val="clear" w:color="auto" w:fill="auto"/>
            <w:noWrap/>
            <w:vAlign w:val="center"/>
            <w:hideMark/>
          </w:tcPr>
          <w:p w:rsidR="00BE5341" w:rsidRPr="00FE7C8B" w:rsidRDefault="00BE5341" w:rsidP="00BE5341">
            <w:pPr>
              <w:spacing w:after="0" w:line="240" w:lineRule="auto"/>
              <w:jc w:val="center"/>
              <w:rPr>
                <w:rFonts w:ascii="宋体" w:eastAsia="宋体" w:hAnsi="宋体" w:cs="宋体"/>
                <w:color w:val="000000"/>
                <w:sz w:val="21"/>
                <w:szCs w:val="21"/>
                <w:lang w:eastAsia="zh-CN" w:bidi="ar-SA"/>
              </w:rPr>
            </w:pPr>
            <w:r w:rsidRPr="00FE7C8B">
              <w:rPr>
                <w:rFonts w:ascii="宋体" w:eastAsia="宋体" w:hAnsi="宋体" w:cs="宋体" w:hint="eastAsia"/>
                <w:color w:val="000000"/>
                <w:sz w:val="21"/>
                <w:szCs w:val="21"/>
                <w:lang w:eastAsia="zh-CN" w:bidi="ar-SA"/>
              </w:rPr>
              <w:t>是否选用</w:t>
            </w:r>
          </w:p>
        </w:tc>
        <w:tc>
          <w:tcPr>
            <w:tcW w:w="1096" w:type="dxa"/>
            <w:shd w:val="clear" w:color="auto" w:fill="auto"/>
            <w:noWrap/>
            <w:vAlign w:val="center"/>
            <w:hideMark/>
          </w:tcPr>
          <w:p w:rsidR="00BE5341" w:rsidRPr="00FE7C8B" w:rsidRDefault="00BE5341" w:rsidP="00BE5341">
            <w:pPr>
              <w:spacing w:after="0" w:line="240" w:lineRule="auto"/>
              <w:jc w:val="center"/>
              <w:rPr>
                <w:rFonts w:ascii="宋体" w:eastAsia="宋体" w:hAnsi="宋体" w:cs="宋体"/>
                <w:color w:val="000000"/>
                <w:sz w:val="21"/>
                <w:szCs w:val="21"/>
                <w:lang w:eastAsia="zh-CN" w:bidi="ar-SA"/>
              </w:rPr>
            </w:pPr>
            <w:proofErr w:type="gramStart"/>
            <w:r w:rsidRPr="00FE7C8B">
              <w:rPr>
                <w:rFonts w:ascii="宋体" w:eastAsia="宋体" w:hAnsi="宋体" w:cs="宋体" w:hint="eastAsia"/>
                <w:color w:val="000000"/>
                <w:sz w:val="21"/>
                <w:szCs w:val="21"/>
                <w:lang w:eastAsia="zh-CN" w:bidi="ar-SA"/>
              </w:rPr>
              <w:t>减碳比例</w:t>
            </w:r>
            <w:proofErr w:type="gramEnd"/>
          </w:p>
        </w:tc>
      </w:tr>
      <w:tr w:rsidR="00A056BA" w:rsidRPr="00FE7C8B" w:rsidTr="00BE5341">
        <w:trPr>
          <w:trHeight w:val="285"/>
        </w:trPr>
        <w:tc>
          <w:tcPr>
            <w:tcW w:w="1901" w:type="dxa"/>
            <w:vMerge w:val="restart"/>
            <w:shd w:val="clear" w:color="auto" w:fill="auto"/>
            <w:noWrap/>
            <w:vAlign w:val="center"/>
            <w:hideMark/>
          </w:tcPr>
          <w:p w:rsidR="00A056BA" w:rsidRPr="00FE7C8B" w:rsidRDefault="00A056BA"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建材生产及建造阶段</w:t>
            </w:r>
          </w:p>
        </w:tc>
        <w:tc>
          <w:tcPr>
            <w:tcW w:w="2531" w:type="dxa"/>
            <w:shd w:val="clear" w:color="auto" w:fill="auto"/>
            <w:noWrap/>
            <w:vAlign w:val="center"/>
            <w:hideMark/>
          </w:tcPr>
          <w:p w:rsidR="00A056BA" w:rsidRPr="00FE7C8B" w:rsidRDefault="00A056BA"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利用可回收材料</w:t>
            </w:r>
          </w:p>
        </w:tc>
        <w:tc>
          <w:tcPr>
            <w:tcW w:w="1956" w:type="dxa"/>
            <w:shd w:val="clear" w:color="auto" w:fill="auto"/>
            <w:noWrap/>
            <w:vAlign w:val="center"/>
            <w:hideMark/>
          </w:tcPr>
          <w:p w:rsidR="00A056BA" w:rsidRPr="00FE7C8B" w:rsidRDefault="00A056BA"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w:t>
            </w:r>
          </w:p>
        </w:tc>
        <w:tc>
          <w:tcPr>
            <w:tcW w:w="1242" w:type="dxa"/>
            <w:shd w:val="clear" w:color="auto" w:fill="auto"/>
            <w:noWrap/>
            <w:vAlign w:val="center"/>
            <w:hideMark/>
          </w:tcPr>
          <w:p w:rsidR="00A056BA" w:rsidRPr="00FE7C8B" w:rsidRDefault="00A056BA" w:rsidP="00BE5341">
            <w:pPr>
              <w:spacing w:after="0" w:line="240" w:lineRule="auto"/>
              <w:jc w:val="center"/>
              <w:rPr>
                <w:rFonts w:ascii="Times New Roman" w:eastAsia="等线" w:hAnsi="Times New Roman" w:cs="Times New Roman"/>
                <w:color w:val="000000"/>
                <w:sz w:val="21"/>
                <w:szCs w:val="21"/>
                <w:lang w:eastAsia="zh-CN" w:bidi="ar-SA"/>
              </w:rPr>
            </w:pPr>
            <w:r w:rsidRPr="00FE7C8B">
              <w:rPr>
                <w:rFonts w:ascii="Times New Roman" w:eastAsia="等线" w:hAnsi="Times New Roman" w:cs="Times New Roman"/>
                <w:color w:val="000000"/>
                <w:sz w:val="21"/>
                <w:szCs w:val="21"/>
                <w:lang w:eastAsia="zh-CN" w:bidi="ar-SA"/>
              </w:rPr>
              <w:t>√</w:t>
            </w:r>
          </w:p>
        </w:tc>
        <w:tc>
          <w:tcPr>
            <w:tcW w:w="1096" w:type="dxa"/>
            <w:shd w:val="clear" w:color="auto" w:fill="auto"/>
            <w:noWrap/>
            <w:vAlign w:val="center"/>
            <w:hideMark/>
          </w:tcPr>
          <w:p w:rsidR="00A056BA" w:rsidRPr="00FE7C8B" w:rsidRDefault="00A056BA"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1.88%</w:t>
            </w:r>
          </w:p>
        </w:tc>
      </w:tr>
      <w:tr w:rsidR="00A056BA" w:rsidRPr="00FE7C8B" w:rsidTr="00721D42">
        <w:trPr>
          <w:trHeight w:val="455"/>
        </w:trPr>
        <w:tc>
          <w:tcPr>
            <w:tcW w:w="1901" w:type="dxa"/>
            <w:vMerge/>
            <w:vAlign w:val="center"/>
            <w:hideMark/>
          </w:tcPr>
          <w:p w:rsidR="00A056BA" w:rsidRPr="00FE7C8B" w:rsidRDefault="00A056BA" w:rsidP="00BE5341">
            <w:pPr>
              <w:spacing w:after="0" w:line="240" w:lineRule="auto"/>
              <w:jc w:val="center"/>
              <w:rPr>
                <w:rFonts w:ascii="Times New Roman" w:eastAsia="宋体" w:hAnsi="Times New Roman" w:cs="Times New Roman"/>
                <w:color w:val="000000"/>
                <w:sz w:val="21"/>
                <w:szCs w:val="21"/>
                <w:lang w:eastAsia="zh-CN" w:bidi="ar-SA"/>
              </w:rPr>
            </w:pPr>
          </w:p>
        </w:tc>
        <w:tc>
          <w:tcPr>
            <w:tcW w:w="2531" w:type="dxa"/>
            <w:shd w:val="clear" w:color="auto" w:fill="auto"/>
            <w:noWrap/>
            <w:vAlign w:val="center"/>
            <w:hideMark/>
          </w:tcPr>
          <w:p w:rsidR="00A056BA" w:rsidRPr="00FE7C8B" w:rsidRDefault="00A056BA"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采用装配式建筑设计</w:t>
            </w:r>
          </w:p>
        </w:tc>
        <w:tc>
          <w:tcPr>
            <w:tcW w:w="1956" w:type="dxa"/>
            <w:shd w:val="clear" w:color="auto" w:fill="auto"/>
            <w:noWrap/>
            <w:vAlign w:val="center"/>
            <w:hideMark/>
          </w:tcPr>
          <w:p w:rsidR="00A056BA" w:rsidRPr="00FE7C8B" w:rsidRDefault="00A056BA"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50%</w:t>
            </w:r>
            <w:r w:rsidRPr="00FE7C8B">
              <w:rPr>
                <w:rFonts w:ascii="Times New Roman" w:eastAsia="宋体" w:hAnsi="宋体" w:cs="Times New Roman"/>
                <w:color w:val="000000"/>
                <w:sz w:val="21"/>
                <w:szCs w:val="21"/>
                <w:lang w:eastAsia="zh-CN" w:bidi="ar-SA"/>
              </w:rPr>
              <w:t>预制率</w:t>
            </w:r>
          </w:p>
        </w:tc>
        <w:tc>
          <w:tcPr>
            <w:tcW w:w="1242" w:type="dxa"/>
            <w:shd w:val="clear" w:color="auto" w:fill="auto"/>
            <w:noWrap/>
            <w:vAlign w:val="center"/>
            <w:hideMark/>
          </w:tcPr>
          <w:p w:rsidR="00A056BA" w:rsidRPr="00FE7C8B" w:rsidRDefault="00A056BA" w:rsidP="00BE5341">
            <w:pPr>
              <w:spacing w:after="0" w:line="240" w:lineRule="auto"/>
              <w:jc w:val="center"/>
              <w:rPr>
                <w:rFonts w:ascii="Times New Roman" w:eastAsia="等线" w:hAnsi="Times New Roman" w:cs="Times New Roman"/>
                <w:color w:val="000000"/>
                <w:sz w:val="21"/>
                <w:szCs w:val="21"/>
                <w:lang w:eastAsia="zh-CN" w:bidi="ar-SA"/>
              </w:rPr>
            </w:pPr>
            <w:r w:rsidRPr="00FE7C8B">
              <w:rPr>
                <w:rFonts w:ascii="Times New Roman" w:eastAsia="等线" w:hAnsi="Times New Roman" w:cs="Times New Roman"/>
                <w:color w:val="000000"/>
                <w:sz w:val="21"/>
                <w:szCs w:val="21"/>
                <w:lang w:eastAsia="zh-CN" w:bidi="ar-SA"/>
              </w:rPr>
              <w:t>√</w:t>
            </w:r>
          </w:p>
        </w:tc>
        <w:tc>
          <w:tcPr>
            <w:tcW w:w="1096" w:type="dxa"/>
            <w:shd w:val="clear" w:color="auto" w:fill="auto"/>
            <w:noWrap/>
            <w:vAlign w:val="center"/>
            <w:hideMark/>
          </w:tcPr>
          <w:p w:rsidR="00A056BA" w:rsidRPr="00FE7C8B" w:rsidRDefault="00A056BA"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0.12%</w:t>
            </w:r>
          </w:p>
        </w:tc>
      </w:tr>
      <w:tr w:rsidR="00A056BA" w:rsidRPr="00FE7C8B" w:rsidTr="00BE5341">
        <w:trPr>
          <w:trHeight w:val="285"/>
        </w:trPr>
        <w:tc>
          <w:tcPr>
            <w:tcW w:w="1901" w:type="dxa"/>
            <w:vMerge/>
            <w:vAlign w:val="center"/>
            <w:hideMark/>
          </w:tcPr>
          <w:p w:rsidR="00A056BA" w:rsidRPr="00FE7C8B" w:rsidRDefault="00A056BA" w:rsidP="00BE5341">
            <w:pPr>
              <w:spacing w:after="0" w:line="240" w:lineRule="auto"/>
              <w:jc w:val="center"/>
              <w:rPr>
                <w:rFonts w:ascii="Times New Roman" w:eastAsia="宋体" w:hAnsi="Times New Roman" w:cs="Times New Roman"/>
                <w:color w:val="000000"/>
                <w:sz w:val="21"/>
                <w:szCs w:val="21"/>
                <w:lang w:eastAsia="zh-CN" w:bidi="ar-SA"/>
              </w:rPr>
            </w:pPr>
          </w:p>
        </w:tc>
        <w:tc>
          <w:tcPr>
            <w:tcW w:w="2531" w:type="dxa"/>
            <w:shd w:val="clear" w:color="auto" w:fill="auto"/>
            <w:noWrap/>
            <w:vAlign w:val="center"/>
            <w:hideMark/>
          </w:tcPr>
          <w:p w:rsidR="00A056BA" w:rsidRPr="00FE7C8B" w:rsidRDefault="00A056BA"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使用高性能围护结构</w:t>
            </w:r>
          </w:p>
        </w:tc>
        <w:tc>
          <w:tcPr>
            <w:tcW w:w="1956" w:type="dxa"/>
            <w:shd w:val="clear" w:color="auto" w:fill="auto"/>
            <w:noWrap/>
            <w:vAlign w:val="center"/>
            <w:hideMark/>
          </w:tcPr>
          <w:p w:rsidR="00A056BA" w:rsidRPr="00FE7C8B" w:rsidRDefault="00A056BA" w:rsidP="00BE5341">
            <w:pPr>
              <w:spacing w:after="0" w:line="240" w:lineRule="auto"/>
              <w:jc w:val="center"/>
              <w:rPr>
                <w:rFonts w:ascii="Times New Roman" w:eastAsia="宋体" w:hAnsi="Times New Roman" w:cs="Times New Roman"/>
                <w:color w:val="000000"/>
                <w:sz w:val="21"/>
                <w:szCs w:val="21"/>
                <w:lang w:eastAsia="zh-CN" w:bidi="ar-SA"/>
              </w:rPr>
            </w:pPr>
          </w:p>
        </w:tc>
        <w:tc>
          <w:tcPr>
            <w:tcW w:w="1242" w:type="dxa"/>
            <w:shd w:val="clear" w:color="auto" w:fill="auto"/>
            <w:noWrap/>
            <w:vAlign w:val="center"/>
            <w:hideMark/>
          </w:tcPr>
          <w:p w:rsidR="00A056BA" w:rsidRPr="00FE7C8B" w:rsidRDefault="00A056BA" w:rsidP="00BE5341">
            <w:pPr>
              <w:spacing w:after="0" w:line="240" w:lineRule="auto"/>
              <w:jc w:val="center"/>
              <w:rPr>
                <w:rFonts w:ascii="Times New Roman" w:eastAsia="等线" w:hAnsi="Times New Roman" w:cs="Times New Roman"/>
                <w:color w:val="000000"/>
                <w:sz w:val="21"/>
                <w:szCs w:val="21"/>
                <w:lang w:eastAsia="zh-CN" w:bidi="ar-SA"/>
              </w:rPr>
            </w:pPr>
            <w:r w:rsidRPr="00FE7C8B">
              <w:rPr>
                <w:rFonts w:ascii="Times New Roman" w:eastAsia="等线" w:hAnsi="Times New Roman" w:cs="Times New Roman"/>
                <w:color w:val="000000"/>
                <w:sz w:val="21"/>
                <w:szCs w:val="21"/>
                <w:lang w:eastAsia="zh-CN" w:bidi="ar-SA"/>
              </w:rPr>
              <w:t>√</w:t>
            </w:r>
          </w:p>
        </w:tc>
        <w:tc>
          <w:tcPr>
            <w:tcW w:w="1096" w:type="dxa"/>
            <w:shd w:val="clear" w:color="auto" w:fill="auto"/>
            <w:noWrap/>
            <w:vAlign w:val="center"/>
            <w:hideMark/>
          </w:tcPr>
          <w:p w:rsidR="00A056BA" w:rsidRPr="00FE7C8B" w:rsidRDefault="00A056BA"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3.28%</w:t>
            </w:r>
          </w:p>
        </w:tc>
      </w:tr>
      <w:tr w:rsidR="00BE5341" w:rsidRPr="00FE7C8B" w:rsidTr="00BE5341">
        <w:trPr>
          <w:trHeight w:val="285"/>
        </w:trPr>
        <w:tc>
          <w:tcPr>
            <w:tcW w:w="1901" w:type="dxa"/>
            <w:vMerge w:val="restart"/>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运营阶段</w:t>
            </w:r>
          </w:p>
        </w:tc>
        <w:tc>
          <w:tcPr>
            <w:tcW w:w="2531" w:type="dxa"/>
            <w:vMerge w:val="restart"/>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高性能冷热源设备</w:t>
            </w: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提升</w:t>
            </w:r>
            <w:r w:rsidRPr="00FE7C8B">
              <w:rPr>
                <w:rFonts w:ascii="Times New Roman" w:eastAsia="宋体" w:hAnsi="Times New Roman" w:cs="Times New Roman"/>
                <w:color w:val="000000"/>
                <w:sz w:val="21"/>
                <w:szCs w:val="21"/>
                <w:lang w:eastAsia="zh-CN" w:bidi="ar-SA"/>
              </w:rPr>
              <w:t>16%</w:t>
            </w:r>
          </w:p>
        </w:tc>
        <w:tc>
          <w:tcPr>
            <w:tcW w:w="1242" w:type="dxa"/>
            <w:shd w:val="clear" w:color="auto" w:fill="auto"/>
            <w:noWrap/>
            <w:vAlign w:val="center"/>
            <w:hideMark/>
          </w:tcPr>
          <w:p w:rsidR="00BE5341" w:rsidRPr="00FE7C8B" w:rsidRDefault="00BE5341" w:rsidP="00BE5341">
            <w:pPr>
              <w:spacing w:after="0" w:line="240" w:lineRule="auto"/>
              <w:jc w:val="center"/>
              <w:rPr>
                <w:rFonts w:ascii="Times New Roman" w:eastAsia="等线" w:hAnsi="Times New Roman" w:cs="Times New Roman"/>
                <w:color w:val="000000"/>
                <w:sz w:val="21"/>
                <w:szCs w:val="21"/>
                <w:lang w:eastAsia="zh-CN" w:bidi="ar-SA"/>
              </w:rPr>
            </w:pPr>
          </w:p>
        </w:tc>
        <w:tc>
          <w:tcPr>
            <w:tcW w:w="109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4.36%</w:t>
            </w:r>
          </w:p>
        </w:tc>
      </w:tr>
      <w:tr w:rsidR="00BE5341" w:rsidRPr="00FE7C8B" w:rsidTr="00BE5341">
        <w:trPr>
          <w:trHeight w:val="285"/>
        </w:trPr>
        <w:tc>
          <w:tcPr>
            <w:tcW w:w="190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253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当前</w:t>
            </w:r>
            <w:r w:rsidR="00655801" w:rsidRPr="00FE7C8B">
              <w:rPr>
                <w:rFonts w:ascii="Times New Roman" w:eastAsia="宋体" w:hAnsi="宋体" w:cs="Times New Roman"/>
                <w:color w:val="000000"/>
                <w:sz w:val="21"/>
                <w:szCs w:val="21"/>
                <w:lang w:eastAsia="zh-CN" w:bidi="ar-SA"/>
              </w:rPr>
              <w:t>最高标准（</w:t>
            </w:r>
            <w:r w:rsidR="00655801" w:rsidRPr="00FE7C8B">
              <w:rPr>
                <w:rFonts w:ascii="Times New Roman" w:eastAsia="宋体" w:hAnsi="Times New Roman" w:cs="Times New Roman"/>
                <w:color w:val="000000"/>
                <w:sz w:val="21"/>
                <w:szCs w:val="21"/>
                <w:lang w:eastAsia="zh-CN" w:bidi="ar-SA"/>
              </w:rPr>
              <w:t>COP6.0</w:t>
            </w:r>
            <w:r w:rsidR="00655801" w:rsidRPr="00FE7C8B">
              <w:rPr>
                <w:rFonts w:ascii="Times New Roman" w:eastAsia="宋体" w:hAnsi="宋体" w:cs="Times New Roman"/>
                <w:color w:val="000000"/>
                <w:sz w:val="21"/>
                <w:szCs w:val="21"/>
                <w:lang w:eastAsia="zh-CN" w:bidi="ar-SA"/>
              </w:rPr>
              <w:t>）</w:t>
            </w:r>
          </w:p>
        </w:tc>
        <w:tc>
          <w:tcPr>
            <w:tcW w:w="1242" w:type="dxa"/>
            <w:shd w:val="clear" w:color="auto" w:fill="auto"/>
            <w:noWrap/>
            <w:vAlign w:val="center"/>
            <w:hideMark/>
          </w:tcPr>
          <w:p w:rsidR="00BE5341" w:rsidRPr="00FE7C8B" w:rsidRDefault="003537BB" w:rsidP="00BE5341">
            <w:pPr>
              <w:spacing w:after="0" w:line="240" w:lineRule="auto"/>
              <w:jc w:val="center"/>
              <w:rPr>
                <w:rFonts w:ascii="Times New Roman" w:eastAsia="等线" w:hAnsi="Times New Roman" w:cs="Times New Roman"/>
                <w:color w:val="000000"/>
                <w:sz w:val="21"/>
                <w:szCs w:val="21"/>
                <w:lang w:eastAsia="zh-CN" w:bidi="ar-SA"/>
              </w:rPr>
            </w:pPr>
            <w:r w:rsidRPr="00FE7C8B">
              <w:rPr>
                <w:rFonts w:ascii="Times New Roman" w:eastAsia="等线" w:hAnsi="Times New Roman" w:cs="Times New Roman"/>
                <w:color w:val="000000"/>
                <w:sz w:val="21"/>
                <w:szCs w:val="21"/>
                <w:lang w:eastAsia="zh-CN" w:bidi="ar-SA"/>
              </w:rPr>
              <w:t>√</w:t>
            </w:r>
          </w:p>
        </w:tc>
        <w:tc>
          <w:tcPr>
            <w:tcW w:w="109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7.26%</w:t>
            </w:r>
          </w:p>
        </w:tc>
      </w:tr>
      <w:tr w:rsidR="00BE5341" w:rsidRPr="00FE7C8B" w:rsidTr="00BE5341">
        <w:trPr>
          <w:trHeight w:val="285"/>
        </w:trPr>
        <w:tc>
          <w:tcPr>
            <w:tcW w:w="190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2531"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空调系统节能策略</w:t>
            </w: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w:t>
            </w:r>
          </w:p>
        </w:tc>
        <w:tc>
          <w:tcPr>
            <w:tcW w:w="1242" w:type="dxa"/>
            <w:shd w:val="clear" w:color="auto" w:fill="auto"/>
            <w:noWrap/>
            <w:vAlign w:val="center"/>
            <w:hideMark/>
          </w:tcPr>
          <w:p w:rsidR="00BE5341" w:rsidRPr="00FE7C8B" w:rsidRDefault="00BE5341" w:rsidP="00BE5341">
            <w:pPr>
              <w:spacing w:after="0" w:line="240" w:lineRule="auto"/>
              <w:jc w:val="center"/>
              <w:rPr>
                <w:rFonts w:ascii="Times New Roman" w:eastAsia="等线" w:hAnsi="Times New Roman" w:cs="Times New Roman"/>
                <w:color w:val="000000"/>
                <w:sz w:val="21"/>
                <w:szCs w:val="21"/>
                <w:lang w:eastAsia="zh-CN" w:bidi="ar-SA"/>
              </w:rPr>
            </w:pPr>
            <w:r w:rsidRPr="00FE7C8B">
              <w:rPr>
                <w:rFonts w:ascii="Times New Roman" w:eastAsia="等线" w:hAnsi="Times New Roman" w:cs="Times New Roman"/>
                <w:color w:val="000000"/>
                <w:sz w:val="21"/>
                <w:szCs w:val="21"/>
                <w:lang w:eastAsia="zh-CN" w:bidi="ar-SA"/>
              </w:rPr>
              <w:t>√</w:t>
            </w:r>
          </w:p>
        </w:tc>
        <w:tc>
          <w:tcPr>
            <w:tcW w:w="109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2.04%</w:t>
            </w:r>
          </w:p>
        </w:tc>
      </w:tr>
      <w:tr w:rsidR="00BE5341" w:rsidRPr="00FE7C8B" w:rsidTr="00BE5341">
        <w:trPr>
          <w:trHeight w:val="270"/>
        </w:trPr>
        <w:tc>
          <w:tcPr>
            <w:tcW w:w="190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2531" w:type="dxa"/>
            <w:vMerge w:val="restart"/>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太阳能资源利用</w:t>
            </w: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光伏</w:t>
            </w:r>
          </w:p>
        </w:tc>
        <w:tc>
          <w:tcPr>
            <w:tcW w:w="1242"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109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8.29%</w:t>
            </w:r>
          </w:p>
        </w:tc>
      </w:tr>
      <w:tr w:rsidR="00BE5341" w:rsidRPr="00FE7C8B" w:rsidTr="00BE5341">
        <w:trPr>
          <w:trHeight w:val="270"/>
        </w:trPr>
        <w:tc>
          <w:tcPr>
            <w:tcW w:w="190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253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光热</w:t>
            </w:r>
          </w:p>
        </w:tc>
        <w:tc>
          <w:tcPr>
            <w:tcW w:w="1242"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1096" w:type="dxa"/>
            <w:shd w:val="clear" w:color="auto" w:fill="auto"/>
            <w:noWrap/>
            <w:vAlign w:val="center"/>
            <w:hideMark/>
          </w:tcPr>
          <w:p w:rsidR="00BE5341" w:rsidRPr="00FE7C8B" w:rsidRDefault="003537BB"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hint="eastAsia"/>
                <w:color w:val="000000"/>
                <w:sz w:val="21"/>
                <w:szCs w:val="21"/>
                <w:lang w:eastAsia="zh-CN" w:bidi="ar-SA"/>
              </w:rPr>
              <w:t>2.52%</w:t>
            </w:r>
          </w:p>
        </w:tc>
      </w:tr>
      <w:tr w:rsidR="00BE5341" w:rsidRPr="00FE7C8B" w:rsidTr="00BE5341">
        <w:trPr>
          <w:trHeight w:val="285"/>
        </w:trPr>
        <w:tc>
          <w:tcPr>
            <w:tcW w:w="190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253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光伏光热一体化</w:t>
            </w:r>
          </w:p>
        </w:tc>
        <w:tc>
          <w:tcPr>
            <w:tcW w:w="1242" w:type="dxa"/>
            <w:shd w:val="clear" w:color="auto" w:fill="auto"/>
            <w:noWrap/>
            <w:vAlign w:val="center"/>
            <w:hideMark/>
          </w:tcPr>
          <w:p w:rsidR="00BE5341" w:rsidRPr="00FE7C8B" w:rsidRDefault="00BE5341" w:rsidP="00BE5341">
            <w:pPr>
              <w:spacing w:after="0" w:line="240" w:lineRule="auto"/>
              <w:jc w:val="center"/>
              <w:rPr>
                <w:rFonts w:ascii="Times New Roman" w:eastAsia="等线" w:hAnsi="Times New Roman" w:cs="Times New Roman"/>
                <w:color w:val="000000"/>
                <w:sz w:val="21"/>
                <w:szCs w:val="21"/>
                <w:lang w:eastAsia="zh-CN" w:bidi="ar-SA"/>
              </w:rPr>
            </w:pPr>
            <w:r w:rsidRPr="00FE7C8B">
              <w:rPr>
                <w:rFonts w:ascii="Times New Roman" w:eastAsia="等线" w:hAnsi="Times New Roman" w:cs="Times New Roman"/>
                <w:color w:val="000000"/>
                <w:sz w:val="21"/>
                <w:szCs w:val="21"/>
                <w:lang w:eastAsia="zh-CN" w:bidi="ar-SA"/>
              </w:rPr>
              <w:t>√</w:t>
            </w:r>
          </w:p>
        </w:tc>
        <w:tc>
          <w:tcPr>
            <w:tcW w:w="109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10.73%</w:t>
            </w:r>
          </w:p>
        </w:tc>
      </w:tr>
      <w:tr w:rsidR="00BE5341" w:rsidRPr="00FE7C8B" w:rsidTr="00BE5341">
        <w:trPr>
          <w:trHeight w:val="270"/>
        </w:trPr>
        <w:tc>
          <w:tcPr>
            <w:tcW w:w="190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2531" w:type="dxa"/>
            <w:vMerge w:val="restart"/>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建筑遮阳</w:t>
            </w: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内遮阳</w:t>
            </w:r>
          </w:p>
        </w:tc>
        <w:tc>
          <w:tcPr>
            <w:tcW w:w="1242"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109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0.99%</w:t>
            </w:r>
          </w:p>
        </w:tc>
      </w:tr>
      <w:tr w:rsidR="00BE5341" w:rsidRPr="00FE7C8B" w:rsidTr="00BE5341">
        <w:trPr>
          <w:trHeight w:val="285"/>
        </w:trPr>
        <w:tc>
          <w:tcPr>
            <w:tcW w:w="190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253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中置遮阳</w:t>
            </w:r>
          </w:p>
        </w:tc>
        <w:tc>
          <w:tcPr>
            <w:tcW w:w="1242" w:type="dxa"/>
            <w:shd w:val="clear" w:color="auto" w:fill="auto"/>
            <w:noWrap/>
            <w:vAlign w:val="center"/>
            <w:hideMark/>
          </w:tcPr>
          <w:p w:rsidR="00BE5341" w:rsidRPr="00FE7C8B" w:rsidRDefault="00BE5341" w:rsidP="00BE5341">
            <w:pPr>
              <w:spacing w:after="0" w:line="240" w:lineRule="auto"/>
              <w:jc w:val="center"/>
              <w:rPr>
                <w:rFonts w:ascii="Times New Roman" w:eastAsia="等线" w:hAnsi="Times New Roman" w:cs="Times New Roman"/>
                <w:color w:val="000000"/>
                <w:sz w:val="21"/>
                <w:szCs w:val="21"/>
                <w:lang w:eastAsia="zh-CN" w:bidi="ar-SA"/>
              </w:rPr>
            </w:pPr>
            <w:r w:rsidRPr="00FE7C8B">
              <w:rPr>
                <w:rFonts w:ascii="Times New Roman" w:eastAsia="等线" w:hAnsi="Times New Roman" w:cs="Times New Roman"/>
                <w:color w:val="000000"/>
                <w:sz w:val="21"/>
                <w:szCs w:val="21"/>
                <w:lang w:eastAsia="zh-CN" w:bidi="ar-SA"/>
              </w:rPr>
              <w:t>√</w:t>
            </w:r>
          </w:p>
        </w:tc>
        <w:tc>
          <w:tcPr>
            <w:tcW w:w="109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1.48%</w:t>
            </w:r>
          </w:p>
        </w:tc>
      </w:tr>
      <w:tr w:rsidR="00BE5341" w:rsidRPr="00FE7C8B" w:rsidTr="00BE5341">
        <w:trPr>
          <w:trHeight w:val="270"/>
        </w:trPr>
        <w:tc>
          <w:tcPr>
            <w:tcW w:w="190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253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外遮阳</w:t>
            </w:r>
          </w:p>
        </w:tc>
        <w:tc>
          <w:tcPr>
            <w:tcW w:w="1242"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109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1.51%</w:t>
            </w:r>
          </w:p>
        </w:tc>
      </w:tr>
      <w:tr w:rsidR="00BE5341" w:rsidRPr="00FE7C8B" w:rsidTr="00BE5341">
        <w:trPr>
          <w:trHeight w:val="285"/>
        </w:trPr>
        <w:tc>
          <w:tcPr>
            <w:tcW w:w="190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2531"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自动照明控制</w:t>
            </w: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w:t>
            </w:r>
          </w:p>
        </w:tc>
        <w:tc>
          <w:tcPr>
            <w:tcW w:w="1242" w:type="dxa"/>
            <w:shd w:val="clear" w:color="auto" w:fill="auto"/>
            <w:noWrap/>
            <w:vAlign w:val="center"/>
            <w:hideMark/>
          </w:tcPr>
          <w:p w:rsidR="00BE5341" w:rsidRPr="00FE7C8B" w:rsidRDefault="00BE5341" w:rsidP="00BE5341">
            <w:pPr>
              <w:spacing w:after="0" w:line="240" w:lineRule="auto"/>
              <w:jc w:val="center"/>
              <w:rPr>
                <w:rFonts w:ascii="Times New Roman" w:eastAsia="等线" w:hAnsi="Times New Roman" w:cs="Times New Roman"/>
                <w:color w:val="000000"/>
                <w:sz w:val="21"/>
                <w:szCs w:val="21"/>
                <w:lang w:eastAsia="zh-CN" w:bidi="ar-SA"/>
              </w:rPr>
            </w:pPr>
            <w:r w:rsidRPr="00FE7C8B">
              <w:rPr>
                <w:rFonts w:ascii="Times New Roman" w:eastAsia="等线" w:hAnsi="Times New Roman" w:cs="Times New Roman"/>
                <w:color w:val="000000"/>
                <w:sz w:val="21"/>
                <w:szCs w:val="21"/>
                <w:lang w:eastAsia="zh-CN" w:bidi="ar-SA"/>
              </w:rPr>
              <w:t>√</w:t>
            </w:r>
          </w:p>
        </w:tc>
        <w:tc>
          <w:tcPr>
            <w:tcW w:w="109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8.60%</w:t>
            </w:r>
          </w:p>
        </w:tc>
      </w:tr>
      <w:tr w:rsidR="00BE5341" w:rsidRPr="00FE7C8B" w:rsidTr="00BE5341">
        <w:trPr>
          <w:trHeight w:val="285"/>
        </w:trPr>
        <w:tc>
          <w:tcPr>
            <w:tcW w:w="190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2531" w:type="dxa"/>
            <w:vMerge w:val="restart"/>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建筑设备节能</w:t>
            </w: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高能效设备</w:t>
            </w:r>
          </w:p>
        </w:tc>
        <w:tc>
          <w:tcPr>
            <w:tcW w:w="1242" w:type="dxa"/>
            <w:shd w:val="clear" w:color="auto" w:fill="auto"/>
            <w:noWrap/>
            <w:vAlign w:val="center"/>
            <w:hideMark/>
          </w:tcPr>
          <w:p w:rsidR="00BE5341" w:rsidRPr="00FE7C8B" w:rsidRDefault="00BE5341" w:rsidP="00BE5341">
            <w:pPr>
              <w:spacing w:after="0" w:line="240" w:lineRule="auto"/>
              <w:jc w:val="center"/>
              <w:rPr>
                <w:rFonts w:ascii="Times New Roman" w:eastAsia="等线" w:hAnsi="Times New Roman" w:cs="Times New Roman"/>
                <w:color w:val="000000"/>
                <w:sz w:val="21"/>
                <w:szCs w:val="21"/>
                <w:lang w:eastAsia="zh-CN" w:bidi="ar-SA"/>
              </w:rPr>
            </w:pPr>
            <w:r w:rsidRPr="00FE7C8B">
              <w:rPr>
                <w:rFonts w:ascii="Times New Roman" w:eastAsia="等线" w:hAnsi="Times New Roman" w:cs="Times New Roman"/>
                <w:color w:val="000000"/>
                <w:sz w:val="21"/>
                <w:szCs w:val="21"/>
                <w:lang w:eastAsia="zh-CN" w:bidi="ar-SA"/>
              </w:rPr>
              <w:t>√</w:t>
            </w:r>
          </w:p>
        </w:tc>
        <w:tc>
          <w:tcPr>
            <w:tcW w:w="109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2.86%</w:t>
            </w:r>
          </w:p>
        </w:tc>
      </w:tr>
      <w:tr w:rsidR="00BE5341" w:rsidRPr="00FE7C8B" w:rsidTr="00BE5341">
        <w:trPr>
          <w:trHeight w:val="285"/>
        </w:trPr>
        <w:tc>
          <w:tcPr>
            <w:tcW w:w="190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253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约束人员用电习惯</w:t>
            </w:r>
          </w:p>
        </w:tc>
        <w:tc>
          <w:tcPr>
            <w:tcW w:w="1242" w:type="dxa"/>
            <w:shd w:val="clear" w:color="auto" w:fill="auto"/>
            <w:noWrap/>
            <w:vAlign w:val="center"/>
            <w:hideMark/>
          </w:tcPr>
          <w:p w:rsidR="00BE5341" w:rsidRPr="00FE7C8B" w:rsidRDefault="00BE5341" w:rsidP="00BE5341">
            <w:pPr>
              <w:spacing w:after="0" w:line="240" w:lineRule="auto"/>
              <w:jc w:val="center"/>
              <w:rPr>
                <w:rFonts w:ascii="Times New Roman" w:eastAsia="等线" w:hAnsi="Times New Roman" w:cs="Times New Roman"/>
                <w:color w:val="000000"/>
                <w:sz w:val="21"/>
                <w:szCs w:val="21"/>
                <w:lang w:eastAsia="zh-CN" w:bidi="ar-SA"/>
              </w:rPr>
            </w:pPr>
            <w:r w:rsidRPr="00FE7C8B">
              <w:rPr>
                <w:rFonts w:ascii="Times New Roman" w:eastAsia="等线" w:hAnsi="Times New Roman" w:cs="Times New Roman"/>
                <w:color w:val="000000"/>
                <w:sz w:val="21"/>
                <w:szCs w:val="21"/>
                <w:lang w:eastAsia="zh-CN" w:bidi="ar-SA"/>
              </w:rPr>
              <w:t>√</w:t>
            </w:r>
          </w:p>
        </w:tc>
        <w:tc>
          <w:tcPr>
            <w:tcW w:w="109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0.98%</w:t>
            </w:r>
          </w:p>
        </w:tc>
      </w:tr>
      <w:tr w:rsidR="00BE5341" w:rsidRPr="00FE7C8B" w:rsidTr="00BE5341">
        <w:trPr>
          <w:trHeight w:val="285"/>
        </w:trPr>
        <w:tc>
          <w:tcPr>
            <w:tcW w:w="190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253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厨房设备低碳化</w:t>
            </w:r>
          </w:p>
        </w:tc>
        <w:tc>
          <w:tcPr>
            <w:tcW w:w="1242" w:type="dxa"/>
            <w:shd w:val="clear" w:color="auto" w:fill="auto"/>
            <w:noWrap/>
            <w:vAlign w:val="center"/>
            <w:hideMark/>
          </w:tcPr>
          <w:p w:rsidR="00BE5341" w:rsidRPr="00FE7C8B" w:rsidRDefault="00BE5341" w:rsidP="00BE5341">
            <w:pPr>
              <w:spacing w:after="0" w:line="240" w:lineRule="auto"/>
              <w:jc w:val="center"/>
              <w:rPr>
                <w:rFonts w:ascii="Times New Roman" w:eastAsia="等线" w:hAnsi="Times New Roman" w:cs="Times New Roman"/>
                <w:color w:val="000000"/>
                <w:sz w:val="21"/>
                <w:szCs w:val="21"/>
                <w:lang w:eastAsia="zh-CN" w:bidi="ar-SA"/>
              </w:rPr>
            </w:pPr>
            <w:r w:rsidRPr="00FE7C8B">
              <w:rPr>
                <w:rFonts w:ascii="Times New Roman" w:eastAsia="等线" w:hAnsi="Times New Roman" w:cs="Times New Roman"/>
                <w:color w:val="000000"/>
                <w:sz w:val="21"/>
                <w:szCs w:val="21"/>
                <w:lang w:eastAsia="zh-CN" w:bidi="ar-SA"/>
              </w:rPr>
              <w:t>√</w:t>
            </w:r>
          </w:p>
        </w:tc>
        <w:tc>
          <w:tcPr>
            <w:tcW w:w="109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0.37%</w:t>
            </w:r>
          </w:p>
        </w:tc>
      </w:tr>
      <w:tr w:rsidR="00BE5341" w:rsidRPr="00FE7C8B" w:rsidTr="00BE5341">
        <w:trPr>
          <w:trHeight w:val="285"/>
        </w:trPr>
        <w:tc>
          <w:tcPr>
            <w:tcW w:w="190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253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电梯节能</w:t>
            </w:r>
          </w:p>
        </w:tc>
        <w:tc>
          <w:tcPr>
            <w:tcW w:w="1242" w:type="dxa"/>
            <w:shd w:val="clear" w:color="auto" w:fill="auto"/>
            <w:noWrap/>
            <w:vAlign w:val="center"/>
            <w:hideMark/>
          </w:tcPr>
          <w:p w:rsidR="00BE5341" w:rsidRPr="00FE7C8B" w:rsidRDefault="00BE5341" w:rsidP="00BE5341">
            <w:pPr>
              <w:spacing w:after="0" w:line="240" w:lineRule="auto"/>
              <w:jc w:val="center"/>
              <w:rPr>
                <w:rFonts w:ascii="Times New Roman" w:eastAsia="等线" w:hAnsi="Times New Roman" w:cs="Times New Roman"/>
                <w:color w:val="000000"/>
                <w:sz w:val="21"/>
                <w:szCs w:val="21"/>
                <w:lang w:eastAsia="zh-CN" w:bidi="ar-SA"/>
              </w:rPr>
            </w:pPr>
            <w:r w:rsidRPr="00FE7C8B">
              <w:rPr>
                <w:rFonts w:ascii="Times New Roman" w:eastAsia="等线" w:hAnsi="Times New Roman" w:cs="Times New Roman"/>
                <w:color w:val="000000"/>
                <w:sz w:val="21"/>
                <w:szCs w:val="21"/>
                <w:lang w:eastAsia="zh-CN" w:bidi="ar-SA"/>
              </w:rPr>
              <w:t>√</w:t>
            </w:r>
          </w:p>
        </w:tc>
        <w:tc>
          <w:tcPr>
            <w:tcW w:w="109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2.19%</w:t>
            </w:r>
          </w:p>
        </w:tc>
      </w:tr>
      <w:tr w:rsidR="00BE5341" w:rsidRPr="00FE7C8B" w:rsidTr="00BE5341">
        <w:trPr>
          <w:trHeight w:val="285"/>
        </w:trPr>
        <w:tc>
          <w:tcPr>
            <w:tcW w:w="190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2531"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空调新风热回收</w:t>
            </w: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w:t>
            </w:r>
          </w:p>
        </w:tc>
        <w:tc>
          <w:tcPr>
            <w:tcW w:w="1242" w:type="dxa"/>
            <w:shd w:val="clear" w:color="auto" w:fill="auto"/>
            <w:noWrap/>
            <w:vAlign w:val="center"/>
            <w:hideMark/>
          </w:tcPr>
          <w:p w:rsidR="00BE5341" w:rsidRPr="00FE7C8B" w:rsidRDefault="00BE5341" w:rsidP="00BE5341">
            <w:pPr>
              <w:spacing w:after="0" w:line="240" w:lineRule="auto"/>
              <w:jc w:val="center"/>
              <w:rPr>
                <w:rFonts w:ascii="Times New Roman" w:eastAsia="等线" w:hAnsi="Times New Roman" w:cs="Times New Roman"/>
                <w:color w:val="000000"/>
                <w:sz w:val="21"/>
                <w:szCs w:val="21"/>
                <w:lang w:eastAsia="zh-CN" w:bidi="ar-SA"/>
              </w:rPr>
            </w:pPr>
            <w:r w:rsidRPr="00FE7C8B">
              <w:rPr>
                <w:rFonts w:ascii="Times New Roman" w:eastAsia="等线" w:hAnsi="Times New Roman" w:cs="Times New Roman"/>
                <w:color w:val="000000"/>
                <w:sz w:val="21"/>
                <w:szCs w:val="21"/>
                <w:lang w:eastAsia="zh-CN" w:bidi="ar-SA"/>
              </w:rPr>
              <w:t>√</w:t>
            </w:r>
          </w:p>
        </w:tc>
        <w:tc>
          <w:tcPr>
            <w:tcW w:w="109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4.07%</w:t>
            </w:r>
          </w:p>
        </w:tc>
      </w:tr>
      <w:tr w:rsidR="00BE5341" w:rsidRPr="00FE7C8B" w:rsidTr="00BE5341">
        <w:trPr>
          <w:trHeight w:val="285"/>
        </w:trPr>
        <w:tc>
          <w:tcPr>
            <w:tcW w:w="1901" w:type="dxa"/>
            <w:vMerge w:val="restart"/>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低碳教育</w:t>
            </w:r>
          </w:p>
        </w:tc>
        <w:tc>
          <w:tcPr>
            <w:tcW w:w="2531"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能源站运行参观教育</w:t>
            </w: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w:t>
            </w:r>
          </w:p>
        </w:tc>
        <w:tc>
          <w:tcPr>
            <w:tcW w:w="1242" w:type="dxa"/>
            <w:shd w:val="clear" w:color="auto" w:fill="auto"/>
            <w:noWrap/>
            <w:vAlign w:val="center"/>
            <w:hideMark/>
          </w:tcPr>
          <w:p w:rsidR="00BE5341" w:rsidRPr="00FE7C8B" w:rsidRDefault="00BE5341" w:rsidP="00BE5341">
            <w:pPr>
              <w:spacing w:after="0" w:line="240" w:lineRule="auto"/>
              <w:jc w:val="center"/>
              <w:rPr>
                <w:rFonts w:ascii="Times New Roman" w:eastAsia="等线" w:hAnsi="Times New Roman" w:cs="Times New Roman"/>
                <w:color w:val="000000"/>
                <w:sz w:val="21"/>
                <w:szCs w:val="21"/>
                <w:lang w:eastAsia="zh-CN" w:bidi="ar-SA"/>
              </w:rPr>
            </w:pPr>
            <w:r w:rsidRPr="00FE7C8B">
              <w:rPr>
                <w:rFonts w:ascii="Times New Roman" w:eastAsia="等线" w:hAnsi="Times New Roman" w:cs="Times New Roman"/>
                <w:color w:val="000000"/>
                <w:sz w:val="21"/>
                <w:szCs w:val="21"/>
                <w:lang w:eastAsia="zh-CN" w:bidi="ar-SA"/>
              </w:rPr>
              <w:t>√</w:t>
            </w:r>
          </w:p>
        </w:tc>
        <w:tc>
          <w:tcPr>
            <w:tcW w:w="109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w:t>
            </w:r>
          </w:p>
        </w:tc>
      </w:tr>
      <w:tr w:rsidR="00BE5341" w:rsidRPr="00FE7C8B" w:rsidTr="00BE5341">
        <w:trPr>
          <w:trHeight w:val="285"/>
        </w:trPr>
        <w:tc>
          <w:tcPr>
            <w:tcW w:w="190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2531"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屋顶绿化低碳教育</w:t>
            </w: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w:t>
            </w:r>
          </w:p>
        </w:tc>
        <w:tc>
          <w:tcPr>
            <w:tcW w:w="1242" w:type="dxa"/>
            <w:shd w:val="clear" w:color="auto" w:fill="auto"/>
            <w:noWrap/>
            <w:vAlign w:val="center"/>
            <w:hideMark/>
          </w:tcPr>
          <w:p w:rsidR="00BE5341" w:rsidRPr="00FE7C8B" w:rsidRDefault="00BE5341" w:rsidP="00BE5341">
            <w:pPr>
              <w:spacing w:after="0" w:line="240" w:lineRule="auto"/>
              <w:jc w:val="center"/>
              <w:rPr>
                <w:rFonts w:ascii="Times New Roman" w:eastAsia="等线" w:hAnsi="Times New Roman" w:cs="Times New Roman"/>
                <w:color w:val="000000"/>
                <w:sz w:val="21"/>
                <w:szCs w:val="21"/>
                <w:lang w:eastAsia="zh-CN" w:bidi="ar-SA"/>
              </w:rPr>
            </w:pPr>
            <w:r w:rsidRPr="00FE7C8B">
              <w:rPr>
                <w:rFonts w:ascii="Times New Roman" w:eastAsia="等线" w:hAnsi="Times New Roman" w:cs="Times New Roman"/>
                <w:color w:val="000000"/>
                <w:sz w:val="21"/>
                <w:szCs w:val="21"/>
                <w:lang w:eastAsia="zh-CN" w:bidi="ar-SA"/>
              </w:rPr>
              <w:t>√</w:t>
            </w:r>
          </w:p>
        </w:tc>
        <w:tc>
          <w:tcPr>
            <w:tcW w:w="109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w:t>
            </w:r>
          </w:p>
        </w:tc>
      </w:tr>
      <w:tr w:rsidR="00BE5341" w:rsidRPr="00FE7C8B" w:rsidTr="00BE5341">
        <w:trPr>
          <w:trHeight w:val="285"/>
        </w:trPr>
        <w:tc>
          <w:tcPr>
            <w:tcW w:w="190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2531"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光</w:t>
            </w:r>
            <w:proofErr w:type="gramStart"/>
            <w:r w:rsidRPr="00FE7C8B">
              <w:rPr>
                <w:rFonts w:ascii="Times New Roman" w:eastAsia="宋体" w:hAnsi="宋体" w:cs="Times New Roman"/>
                <w:color w:val="000000"/>
                <w:sz w:val="21"/>
                <w:szCs w:val="21"/>
                <w:lang w:eastAsia="zh-CN" w:bidi="ar-SA"/>
              </w:rPr>
              <w:t>伏设备</w:t>
            </w:r>
            <w:proofErr w:type="gramEnd"/>
            <w:r w:rsidRPr="00FE7C8B">
              <w:rPr>
                <w:rFonts w:ascii="Times New Roman" w:eastAsia="宋体" w:hAnsi="宋体" w:cs="Times New Roman"/>
                <w:color w:val="000000"/>
                <w:sz w:val="21"/>
                <w:szCs w:val="21"/>
                <w:lang w:eastAsia="zh-CN" w:bidi="ar-SA"/>
              </w:rPr>
              <w:t>参观</w:t>
            </w: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w:t>
            </w:r>
          </w:p>
        </w:tc>
        <w:tc>
          <w:tcPr>
            <w:tcW w:w="1242" w:type="dxa"/>
            <w:shd w:val="clear" w:color="auto" w:fill="auto"/>
            <w:noWrap/>
            <w:vAlign w:val="center"/>
            <w:hideMark/>
          </w:tcPr>
          <w:p w:rsidR="00BE5341" w:rsidRPr="00FE7C8B" w:rsidRDefault="00BE5341" w:rsidP="00BE5341">
            <w:pPr>
              <w:spacing w:after="0" w:line="240" w:lineRule="auto"/>
              <w:jc w:val="center"/>
              <w:rPr>
                <w:rFonts w:ascii="Times New Roman" w:eastAsia="等线" w:hAnsi="Times New Roman" w:cs="Times New Roman"/>
                <w:color w:val="000000"/>
                <w:sz w:val="21"/>
                <w:szCs w:val="21"/>
                <w:lang w:eastAsia="zh-CN" w:bidi="ar-SA"/>
              </w:rPr>
            </w:pPr>
            <w:r w:rsidRPr="00FE7C8B">
              <w:rPr>
                <w:rFonts w:ascii="Times New Roman" w:eastAsia="等线" w:hAnsi="Times New Roman" w:cs="Times New Roman"/>
                <w:color w:val="000000"/>
                <w:sz w:val="21"/>
                <w:szCs w:val="21"/>
                <w:lang w:eastAsia="zh-CN" w:bidi="ar-SA"/>
              </w:rPr>
              <w:t>√</w:t>
            </w:r>
          </w:p>
        </w:tc>
        <w:tc>
          <w:tcPr>
            <w:tcW w:w="109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w:t>
            </w:r>
          </w:p>
        </w:tc>
      </w:tr>
      <w:tr w:rsidR="00BE5341" w:rsidRPr="00FE7C8B" w:rsidTr="00BE5341">
        <w:trPr>
          <w:trHeight w:val="285"/>
        </w:trPr>
        <w:tc>
          <w:tcPr>
            <w:tcW w:w="1901" w:type="dxa"/>
            <w:vMerge w:val="restart"/>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远期能源结构优化</w:t>
            </w:r>
          </w:p>
        </w:tc>
        <w:tc>
          <w:tcPr>
            <w:tcW w:w="2531"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引入建筑智慧能源系统</w:t>
            </w: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w:t>
            </w:r>
          </w:p>
        </w:tc>
        <w:tc>
          <w:tcPr>
            <w:tcW w:w="1242" w:type="dxa"/>
            <w:shd w:val="clear" w:color="auto" w:fill="auto"/>
            <w:noWrap/>
            <w:vAlign w:val="center"/>
            <w:hideMark/>
          </w:tcPr>
          <w:p w:rsidR="00BE5341" w:rsidRPr="00FE7C8B" w:rsidRDefault="00BE5341" w:rsidP="00BE5341">
            <w:pPr>
              <w:spacing w:after="0" w:line="240" w:lineRule="auto"/>
              <w:jc w:val="center"/>
              <w:rPr>
                <w:rFonts w:ascii="Times New Roman" w:eastAsia="等线" w:hAnsi="Times New Roman" w:cs="Times New Roman"/>
                <w:color w:val="000000"/>
                <w:sz w:val="21"/>
                <w:szCs w:val="21"/>
                <w:lang w:eastAsia="zh-CN" w:bidi="ar-SA"/>
              </w:rPr>
            </w:pPr>
            <w:r w:rsidRPr="00FE7C8B">
              <w:rPr>
                <w:rFonts w:ascii="Times New Roman" w:eastAsia="等线" w:hAnsi="Times New Roman" w:cs="Times New Roman"/>
                <w:color w:val="000000"/>
                <w:sz w:val="21"/>
                <w:szCs w:val="21"/>
                <w:lang w:eastAsia="zh-CN" w:bidi="ar-SA"/>
              </w:rPr>
              <w:t>√</w:t>
            </w:r>
          </w:p>
        </w:tc>
        <w:tc>
          <w:tcPr>
            <w:tcW w:w="109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w:t>
            </w:r>
          </w:p>
        </w:tc>
      </w:tr>
      <w:tr w:rsidR="00BE5341" w:rsidRPr="00FE7C8B" w:rsidTr="00BE5341">
        <w:trPr>
          <w:trHeight w:val="285"/>
        </w:trPr>
        <w:tc>
          <w:tcPr>
            <w:tcW w:w="190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2531" w:type="dxa"/>
            <w:vMerge w:val="restart"/>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建设储能设施</w:t>
            </w: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蓄冷装置</w:t>
            </w:r>
          </w:p>
        </w:tc>
        <w:tc>
          <w:tcPr>
            <w:tcW w:w="1242" w:type="dxa"/>
            <w:shd w:val="clear" w:color="auto" w:fill="auto"/>
            <w:noWrap/>
            <w:vAlign w:val="center"/>
            <w:hideMark/>
          </w:tcPr>
          <w:p w:rsidR="00BE5341" w:rsidRPr="00FE7C8B" w:rsidRDefault="00BE5341" w:rsidP="00BE5341">
            <w:pPr>
              <w:spacing w:after="0" w:line="240" w:lineRule="auto"/>
              <w:jc w:val="center"/>
              <w:rPr>
                <w:rFonts w:ascii="Times New Roman" w:eastAsia="等线" w:hAnsi="Times New Roman" w:cs="Times New Roman"/>
                <w:color w:val="000000"/>
                <w:sz w:val="21"/>
                <w:szCs w:val="21"/>
                <w:lang w:eastAsia="zh-CN" w:bidi="ar-SA"/>
              </w:rPr>
            </w:pPr>
            <w:r w:rsidRPr="00FE7C8B">
              <w:rPr>
                <w:rFonts w:ascii="Times New Roman" w:eastAsia="等线" w:hAnsi="Times New Roman" w:cs="Times New Roman"/>
                <w:color w:val="000000"/>
                <w:sz w:val="21"/>
                <w:szCs w:val="21"/>
                <w:lang w:eastAsia="zh-CN" w:bidi="ar-SA"/>
              </w:rPr>
              <w:t>√</w:t>
            </w:r>
          </w:p>
        </w:tc>
        <w:tc>
          <w:tcPr>
            <w:tcW w:w="109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19.76%</w:t>
            </w:r>
          </w:p>
        </w:tc>
      </w:tr>
      <w:tr w:rsidR="00BE5341" w:rsidRPr="00FE7C8B" w:rsidTr="00BE5341">
        <w:trPr>
          <w:trHeight w:val="285"/>
        </w:trPr>
        <w:tc>
          <w:tcPr>
            <w:tcW w:w="190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2531" w:type="dxa"/>
            <w:vMerge/>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p>
        </w:tc>
        <w:tc>
          <w:tcPr>
            <w:tcW w:w="195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宋体" w:cs="Times New Roman"/>
                <w:color w:val="000000"/>
                <w:sz w:val="21"/>
                <w:szCs w:val="21"/>
                <w:lang w:eastAsia="zh-CN" w:bidi="ar-SA"/>
              </w:rPr>
              <w:t>电动汽车参与消纳</w:t>
            </w:r>
          </w:p>
        </w:tc>
        <w:tc>
          <w:tcPr>
            <w:tcW w:w="1242" w:type="dxa"/>
            <w:shd w:val="clear" w:color="auto" w:fill="auto"/>
            <w:noWrap/>
            <w:vAlign w:val="center"/>
            <w:hideMark/>
          </w:tcPr>
          <w:p w:rsidR="00BE5341" w:rsidRPr="00FE7C8B" w:rsidRDefault="00BE5341" w:rsidP="00BE5341">
            <w:pPr>
              <w:spacing w:after="0" w:line="240" w:lineRule="auto"/>
              <w:jc w:val="center"/>
              <w:rPr>
                <w:rFonts w:ascii="Times New Roman" w:eastAsia="等线" w:hAnsi="Times New Roman" w:cs="Times New Roman"/>
                <w:color w:val="000000"/>
                <w:sz w:val="21"/>
                <w:szCs w:val="21"/>
                <w:lang w:eastAsia="zh-CN" w:bidi="ar-SA"/>
              </w:rPr>
            </w:pPr>
            <w:r w:rsidRPr="00FE7C8B">
              <w:rPr>
                <w:rFonts w:ascii="Times New Roman" w:eastAsia="等线" w:hAnsi="Times New Roman" w:cs="Times New Roman"/>
                <w:color w:val="000000"/>
                <w:sz w:val="21"/>
                <w:szCs w:val="21"/>
                <w:lang w:eastAsia="zh-CN" w:bidi="ar-SA"/>
              </w:rPr>
              <w:t>√</w:t>
            </w:r>
          </w:p>
        </w:tc>
        <w:tc>
          <w:tcPr>
            <w:tcW w:w="1096" w:type="dxa"/>
            <w:shd w:val="clear" w:color="auto" w:fill="auto"/>
            <w:noWrap/>
            <w:vAlign w:val="center"/>
            <w:hideMark/>
          </w:tcPr>
          <w:p w:rsidR="00BE5341" w:rsidRPr="00FE7C8B" w:rsidRDefault="00BE5341" w:rsidP="00BE5341">
            <w:pPr>
              <w:spacing w:after="0" w:line="240" w:lineRule="auto"/>
              <w:jc w:val="center"/>
              <w:rPr>
                <w:rFonts w:ascii="Times New Roman" w:eastAsia="宋体" w:hAnsi="Times New Roman" w:cs="Times New Roman"/>
                <w:color w:val="000000"/>
                <w:sz w:val="21"/>
                <w:szCs w:val="21"/>
                <w:lang w:eastAsia="zh-CN" w:bidi="ar-SA"/>
              </w:rPr>
            </w:pPr>
            <w:r w:rsidRPr="00FE7C8B">
              <w:rPr>
                <w:rFonts w:ascii="Times New Roman" w:eastAsia="宋体" w:hAnsi="Times New Roman" w:cs="Times New Roman"/>
                <w:color w:val="000000"/>
                <w:sz w:val="21"/>
                <w:szCs w:val="21"/>
                <w:lang w:eastAsia="zh-CN" w:bidi="ar-SA"/>
              </w:rPr>
              <w:t>24.20%</w:t>
            </w:r>
          </w:p>
        </w:tc>
      </w:tr>
    </w:tbl>
    <w:p w:rsidR="00027DDB" w:rsidRDefault="00027DDB" w:rsidP="00027DDB">
      <w:pPr>
        <w:rPr>
          <w:sz w:val="21"/>
          <w:szCs w:val="21"/>
          <w:lang w:eastAsia="zh-CN"/>
        </w:rPr>
      </w:pPr>
      <w:r>
        <w:rPr>
          <w:sz w:val="21"/>
          <w:szCs w:val="21"/>
          <w:lang w:eastAsia="zh-CN"/>
        </w:rPr>
        <w:t>通过采取</w:t>
      </w:r>
    </w:p>
    <w:p w:rsidR="007F3216" w:rsidRPr="007F3216" w:rsidRDefault="007F3216" w:rsidP="007F3216">
      <w:pPr>
        <w:pStyle w:val="a3"/>
        <w:numPr>
          <w:ilvl w:val="1"/>
          <w:numId w:val="1"/>
        </w:numPr>
        <w:rPr>
          <w:sz w:val="21"/>
          <w:szCs w:val="21"/>
          <w:lang w:eastAsia="zh-CN"/>
        </w:rPr>
      </w:pPr>
      <w:r w:rsidRPr="007F3216">
        <w:rPr>
          <w:rFonts w:hint="eastAsia"/>
          <w:sz w:val="21"/>
          <w:szCs w:val="21"/>
          <w:lang w:eastAsia="zh-CN"/>
        </w:rPr>
        <w:t>小结</w:t>
      </w:r>
    </w:p>
    <w:p w:rsidR="007F3216" w:rsidRPr="00B5132D" w:rsidRDefault="007F3216" w:rsidP="007F3216">
      <w:pPr>
        <w:ind w:left="210"/>
        <w:rPr>
          <w:lang w:eastAsia="zh-CN"/>
        </w:rPr>
      </w:pPr>
      <w:r>
        <w:rPr>
          <w:lang w:eastAsia="zh-CN"/>
        </w:rPr>
        <w:t>本章根据市政综合体的全生命周期碳排放情况制定了针对性</w:t>
      </w:r>
      <w:proofErr w:type="gramStart"/>
      <w:r>
        <w:rPr>
          <w:lang w:eastAsia="zh-CN"/>
        </w:rPr>
        <w:t>的减碳路径</w:t>
      </w:r>
      <w:proofErr w:type="gramEnd"/>
      <w:r>
        <w:rPr>
          <w:rFonts w:hint="eastAsia"/>
          <w:lang w:eastAsia="zh-CN"/>
        </w:rPr>
        <w:t>。</w:t>
      </w:r>
      <w:proofErr w:type="gramStart"/>
      <w:r>
        <w:rPr>
          <w:rFonts w:hint="eastAsia"/>
          <w:lang w:eastAsia="zh-CN"/>
        </w:rPr>
        <w:t>减碳路径</w:t>
      </w:r>
      <w:proofErr w:type="gramEnd"/>
      <w:r>
        <w:rPr>
          <w:rFonts w:hint="eastAsia"/>
          <w:lang w:eastAsia="zh-CN"/>
        </w:rPr>
        <w:t>分为近期与远期两部分，近期主要通过对建材生产、施工建造以及运营阶段的相关碳排放活动采取节能措施以及</w:t>
      </w:r>
      <w:r w:rsidR="005F6D06">
        <w:rPr>
          <w:rFonts w:hint="eastAsia"/>
          <w:lang w:eastAsia="zh-CN"/>
        </w:rPr>
        <w:t>高效节能技术从减少能源消耗的角度降低生命周期碳排放，采用上述技术后预计可减少碳排放</w:t>
      </w:r>
      <w:r w:rsidR="005F6D06">
        <w:rPr>
          <w:rFonts w:hint="eastAsia"/>
          <w:lang w:eastAsia="zh-CN"/>
        </w:rPr>
        <w:t>44.28%</w:t>
      </w:r>
      <w:r w:rsidR="005F6D06">
        <w:rPr>
          <w:rFonts w:hint="eastAsia"/>
          <w:lang w:eastAsia="zh-CN"/>
        </w:rPr>
        <w:t>。由于单纯采用节能措施实现“零碳”化并不现实，故需要在远期优化市政综合体能源结构，引入可再生能源满足运营阶段的能耗需求，故远期</w:t>
      </w:r>
      <w:proofErr w:type="gramStart"/>
      <w:r w:rsidR="005F6D06">
        <w:rPr>
          <w:rFonts w:hint="eastAsia"/>
          <w:lang w:eastAsia="zh-CN"/>
        </w:rPr>
        <w:t>的减碳路径</w:t>
      </w:r>
      <w:proofErr w:type="gramEnd"/>
      <w:r w:rsidR="005F6D06">
        <w:rPr>
          <w:rFonts w:hint="eastAsia"/>
          <w:lang w:eastAsia="zh-CN"/>
        </w:rPr>
        <w:t>以加强能源协同管理以及引入储能设施为主，经计算优化能源结构后市政综合体的碳排放量可减少</w:t>
      </w:r>
      <w:r w:rsidR="005F6D06">
        <w:rPr>
          <w:rFonts w:hint="eastAsia"/>
          <w:lang w:eastAsia="zh-CN"/>
        </w:rPr>
        <w:t>xx%</w:t>
      </w:r>
      <w:r w:rsidR="005F6D06">
        <w:rPr>
          <w:rFonts w:hint="eastAsia"/>
          <w:lang w:eastAsia="zh-CN"/>
        </w:rPr>
        <w:t>，再辅以少量</w:t>
      </w:r>
      <w:proofErr w:type="gramStart"/>
      <w:r w:rsidR="005F6D06">
        <w:rPr>
          <w:rFonts w:hint="eastAsia"/>
          <w:lang w:eastAsia="zh-CN"/>
        </w:rPr>
        <w:t>的碳排放权</w:t>
      </w:r>
      <w:proofErr w:type="gramEnd"/>
      <w:r w:rsidR="005F6D06">
        <w:rPr>
          <w:rFonts w:hint="eastAsia"/>
          <w:lang w:eastAsia="zh-CN"/>
        </w:rPr>
        <w:t>交易可以实现全生命周期的“零碳”化。除此之外，路径在制定时还充分考虑发挥市政综合体的低碳教育功能，培养居民</w:t>
      </w:r>
      <w:proofErr w:type="gramStart"/>
      <w:r w:rsidR="005F6D06">
        <w:rPr>
          <w:rFonts w:hint="eastAsia"/>
          <w:lang w:eastAsia="zh-CN"/>
        </w:rPr>
        <w:t>节能减碳的</w:t>
      </w:r>
      <w:proofErr w:type="gramEnd"/>
      <w:r w:rsidR="005F6D06">
        <w:rPr>
          <w:rFonts w:hint="eastAsia"/>
          <w:lang w:eastAsia="zh-CN"/>
        </w:rPr>
        <w:t>意识。</w:t>
      </w:r>
    </w:p>
    <w:p w:rsidR="00CC08E3" w:rsidRPr="00C43FF6" w:rsidRDefault="00CC08E3" w:rsidP="00C43FF6">
      <w:pPr>
        <w:spacing w:line="240" w:lineRule="auto"/>
        <w:ind w:right="210"/>
        <w:rPr>
          <w:sz w:val="21"/>
          <w:szCs w:val="21"/>
          <w:lang w:eastAsia="zh-CN"/>
        </w:rPr>
      </w:pPr>
      <w:r w:rsidRPr="00C43FF6">
        <w:rPr>
          <w:rFonts w:hint="eastAsia"/>
          <w:sz w:val="21"/>
          <w:szCs w:val="21"/>
          <w:lang w:eastAsia="zh-CN"/>
        </w:rPr>
        <w:t>分业</w:t>
      </w:r>
      <w:proofErr w:type="gramStart"/>
      <w:r w:rsidRPr="00C43FF6">
        <w:rPr>
          <w:rFonts w:hint="eastAsia"/>
          <w:sz w:val="21"/>
          <w:szCs w:val="21"/>
          <w:lang w:eastAsia="zh-CN"/>
        </w:rPr>
        <w:t>态减碳</w:t>
      </w:r>
      <w:proofErr w:type="gramEnd"/>
      <w:r w:rsidRPr="00C43FF6">
        <w:rPr>
          <w:rFonts w:hint="eastAsia"/>
          <w:sz w:val="21"/>
          <w:szCs w:val="21"/>
          <w:lang w:eastAsia="zh-CN"/>
        </w:rPr>
        <w:t>路径</w:t>
      </w:r>
    </w:p>
    <w:p w:rsidR="00CC08E3" w:rsidRDefault="002052D2" w:rsidP="00CC08E3">
      <w:pPr>
        <w:spacing w:line="240" w:lineRule="auto"/>
        <w:ind w:left="210" w:right="210"/>
        <w:rPr>
          <w:sz w:val="21"/>
          <w:szCs w:val="21"/>
          <w:lang w:eastAsia="zh-CN"/>
        </w:rPr>
      </w:pPr>
      <w:r>
        <w:rPr>
          <w:sz w:val="21"/>
          <w:szCs w:val="21"/>
          <w:lang w:eastAsia="zh-CN"/>
        </w:rPr>
        <w:lastRenderedPageBreak/>
        <w:t>由于各功能</w:t>
      </w:r>
      <w:proofErr w:type="gramStart"/>
      <w:r>
        <w:rPr>
          <w:sz w:val="21"/>
          <w:szCs w:val="21"/>
          <w:lang w:eastAsia="zh-CN"/>
        </w:rPr>
        <w:t>业态所承担</w:t>
      </w:r>
      <w:proofErr w:type="gramEnd"/>
      <w:r>
        <w:rPr>
          <w:sz w:val="21"/>
          <w:szCs w:val="21"/>
          <w:lang w:eastAsia="zh-CN"/>
        </w:rPr>
        <w:t>的功能不同</w:t>
      </w:r>
      <w:r>
        <w:rPr>
          <w:rFonts w:hint="eastAsia"/>
          <w:sz w:val="21"/>
          <w:szCs w:val="21"/>
          <w:lang w:eastAsia="zh-CN"/>
        </w:rPr>
        <w:t>，</w:t>
      </w:r>
      <w:r>
        <w:rPr>
          <w:sz w:val="21"/>
          <w:szCs w:val="21"/>
          <w:lang w:eastAsia="zh-CN"/>
        </w:rPr>
        <w:t>内部设施与人员活动特征等往往有着很大区别</w:t>
      </w:r>
      <w:r>
        <w:rPr>
          <w:rFonts w:hint="eastAsia"/>
          <w:sz w:val="21"/>
          <w:szCs w:val="21"/>
          <w:lang w:eastAsia="zh-CN"/>
        </w:rPr>
        <w:t>，</w:t>
      </w:r>
      <w:r>
        <w:rPr>
          <w:sz w:val="21"/>
          <w:szCs w:val="21"/>
          <w:lang w:eastAsia="zh-CN"/>
        </w:rPr>
        <w:t>这使得各功能业态的能耗特征也不尽相同</w:t>
      </w:r>
      <w:r>
        <w:rPr>
          <w:rFonts w:hint="eastAsia"/>
          <w:sz w:val="21"/>
          <w:szCs w:val="21"/>
          <w:lang w:eastAsia="zh-CN"/>
        </w:rPr>
        <w:t>，</w:t>
      </w:r>
      <w:r>
        <w:rPr>
          <w:sz w:val="21"/>
          <w:szCs w:val="21"/>
          <w:lang w:eastAsia="zh-CN"/>
        </w:rPr>
        <w:t>为了使市政综合体的节能</w:t>
      </w:r>
      <w:proofErr w:type="gramStart"/>
      <w:r>
        <w:rPr>
          <w:sz w:val="21"/>
          <w:szCs w:val="21"/>
          <w:lang w:eastAsia="zh-CN"/>
        </w:rPr>
        <w:t>减碳效果</w:t>
      </w:r>
      <w:proofErr w:type="gramEnd"/>
      <w:r>
        <w:rPr>
          <w:sz w:val="21"/>
          <w:szCs w:val="21"/>
          <w:lang w:eastAsia="zh-CN"/>
        </w:rPr>
        <w:t>达到最优</w:t>
      </w:r>
      <w:r>
        <w:rPr>
          <w:rFonts w:hint="eastAsia"/>
          <w:sz w:val="21"/>
          <w:szCs w:val="21"/>
          <w:lang w:eastAsia="zh-CN"/>
        </w:rPr>
        <w:t>，</w:t>
      </w:r>
      <w:r>
        <w:rPr>
          <w:sz w:val="21"/>
          <w:szCs w:val="21"/>
          <w:lang w:eastAsia="zh-CN"/>
        </w:rPr>
        <w:t>仅从整体上考虑是不够的</w:t>
      </w:r>
      <w:r>
        <w:rPr>
          <w:rFonts w:hint="eastAsia"/>
          <w:sz w:val="21"/>
          <w:szCs w:val="21"/>
          <w:lang w:eastAsia="zh-CN"/>
        </w:rPr>
        <w:t>，</w:t>
      </w:r>
      <w:r>
        <w:rPr>
          <w:sz w:val="21"/>
          <w:szCs w:val="21"/>
          <w:lang w:eastAsia="zh-CN"/>
        </w:rPr>
        <w:t>要根据各功能业态的特点有针对性地提出</w:t>
      </w:r>
      <w:proofErr w:type="gramStart"/>
      <w:r>
        <w:rPr>
          <w:sz w:val="21"/>
          <w:szCs w:val="21"/>
          <w:lang w:eastAsia="zh-CN"/>
        </w:rPr>
        <w:t>节能降碳路径</w:t>
      </w:r>
      <w:proofErr w:type="gramEnd"/>
      <w:r>
        <w:rPr>
          <w:rFonts w:hint="eastAsia"/>
          <w:sz w:val="21"/>
          <w:szCs w:val="21"/>
          <w:lang w:eastAsia="zh-CN"/>
        </w:rPr>
        <w:t>，</w:t>
      </w:r>
      <w:r>
        <w:rPr>
          <w:sz w:val="21"/>
          <w:szCs w:val="21"/>
          <w:lang w:eastAsia="zh-CN"/>
        </w:rPr>
        <w:t>这样可以在避免过度投资的同时达到最优的</w:t>
      </w:r>
      <w:proofErr w:type="gramStart"/>
      <w:r>
        <w:rPr>
          <w:sz w:val="21"/>
          <w:szCs w:val="21"/>
          <w:lang w:eastAsia="zh-CN"/>
        </w:rPr>
        <w:t>节能减碳效果</w:t>
      </w:r>
      <w:proofErr w:type="gramEnd"/>
      <w:r>
        <w:rPr>
          <w:rFonts w:hint="eastAsia"/>
          <w:sz w:val="21"/>
          <w:szCs w:val="21"/>
          <w:lang w:eastAsia="zh-CN"/>
        </w:rPr>
        <w:t>。</w:t>
      </w:r>
    </w:p>
    <w:p w:rsidR="002052D2" w:rsidRPr="002052D2" w:rsidRDefault="002052D2" w:rsidP="002052D2">
      <w:pPr>
        <w:pStyle w:val="a3"/>
        <w:numPr>
          <w:ilvl w:val="0"/>
          <w:numId w:val="4"/>
        </w:numPr>
        <w:spacing w:line="240" w:lineRule="auto"/>
        <w:ind w:right="210"/>
        <w:rPr>
          <w:sz w:val="21"/>
          <w:szCs w:val="21"/>
          <w:lang w:eastAsia="zh-CN"/>
        </w:rPr>
      </w:pPr>
      <w:r w:rsidRPr="002052D2">
        <w:rPr>
          <w:rFonts w:hint="eastAsia"/>
          <w:sz w:val="21"/>
          <w:szCs w:val="21"/>
          <w:lang w:eastAsia="zh-CN"/>
        </w:rPr>
        <w:t>商业与零售</w:t>
      </w:r>
      <w:proofErr w:type="gramStart"/>
      <w:r w:rsidRPr="002052D2">
        <w:rPr>
          <w:rFonts w:hint="eastAsia"/>
          <w:sz w:val="21"/>
          <w:szCs w:val="21"/>
          <w:lang w:eastAsia="zh-CN"/>
        </w:rPr>
        <w:t>部分减碳路径</w:t>
      </w:r>
      <w:proofErr w:type="gramEnd"/>
    </w:p>
    <w:p w:rsidR="00922C22" w:rsidRDefault="00922C22" w:rsidP="002052D2">
      <w:pPr>
        <w:pStyle w:val="a3"/>
        <w:spacing w:line="240" w:lineRule="auto"/>
        <w:ind w:left="615" w:right="210"/>
        <w:rPr>
          <w:sz w:val="21"/>
          <w:szCs w:val="21"/>
          <w:lang w:eastAsia="zh-CN"/>
        </w:rPr>
      </w:pPr>
      <w:r>
        <w:rPr>
          <w:rFonts w:hint="eastAsia"/>
          <w:sz w:val="21"/>
          <w:szCs w:val="21"/>
          <w:lang w:eastAsia="zh-CN"/>
        </w:rPr>
        <w:t>要实现商业与零售部分减碳，就要尽可能降低设备与照明能耗</w:t>
      </w:r>
      <w:r w:rsidR="00864014">
        <w:rPr>
          <w:rFonts w:hint="eastAsia"/>
          <w:sz w:val="21"/>
          <w:szCs w:val="21"/>
          <w:lang w:eastAsia="zh-CN"/>
        </w:rPr>
        <w:t>。室内设备能耗降低可以从以下几方面实现：</w:t>
      </w:r>
    </w:p>
    <w:p w:rsidR="00864014" w:rsidRDefault="00864014" w:rsidP="00864014">
      <w:pPr>
        <w:pStyle w:val="a3"/>
        <w:numPr>
          <w:ilvl w:val="0"/>
          <w:numId w:val="5"/>
        </w:numPr>
        <w:spacing w:line="240" w:lineRule="auto"/>
        <w:ind w:right="210"/>
        <w:rPr>
          <w:sz w:val="21"/>
          <w:szCs w:val="21"/>
          <w:lang w:eastAsia="zh-CN"/>
        </w:rPr>
      </w:pPr>
      <w:r>
        <w:rPr>
          <w:rFonts w:hint="eastAsia"/>
          <w:sz w:val="21"/>
          <w:szCs w:val="21"/>
          <w:lang w:eastAsia="zh-CN"/>
        </w:rPr>
        <w:t>选用高能效设备；</w:t>
      </w:r>
    </w:p>
    <w:p w:rsidR="00864014" w:rsidRDefault="00864014" w:rsidP="00864014">
      <w:pPr>
        <w:pStyle w:val="a3"/>
        <w:numPr>
          <w:ilvl w:val="0"/>
          <w:numId w:val="5"/>
        </w:numPr>
        <w:spacing w:line="240" w:lineRule="auto"/>
        <w:ind w:right="210"/>
        <w:rPr>
          <w:sz w:val="21"/>
          <w:szCs w:val="21"/>
          <w:lang w:eastAsia="zh-CN"/>
        </w:rPr>
      </w:pPr>
      <w:r>
        <w:rPr>
          <w:rFonts w:hint="eastAsia"/>
          <w:sz w:val="21"/>
          <w:szCs w:val="21"/>
          <w:lang w:eastAsia="zh-CN"/>
        </w:rPr>
        <w:t>采取节能运行策略。</w:t>
      </w:r>
    </w:p>
    <w:p w:rsidR="00864014" w:rsidRDefault="00864014" w:rsidP="00864014">
      <w:pPr>
        <w:spacing w:line="240" w:lineRule="auto"/>
        <w:ind w:left="615" w:right="210"/>
        <w:rPr>
          <w:sz w:val="21"/>
          <w:szCs w:val="21"/>
          <w:lang w:eastAsia="zh-CN"/>
        </w:rPr>
      </w:pPr>
      <w:r>
        <w:rPr>
          <w:rFonts w:hint="eastAsia"/>
          <w:sz w:val="21"/>
          <w:szCs w:val="21"/>
          <w:lang w:eastAsia="zh-CN"/>
        </w:rPr>
        <w:t>照明能耗降低可以从以下几方面实现：</w:t>
      </w:r>
    </w:p>
    <w:p w:rsidR="00864014" w:rsidRPr="00864014" w:rsidRDefault="00864014" w:rsidP="00864014">
      <w:pPr>
        <w:pStyle w:val="a3"/>
        <w:numPr>
          <w:ilvl w:val="0"/>
          <w:numId w:val="6"/>
        </w:numPr>
        <w:spacing w:line="240" w:lineRule="auto"/>
        <w:ind w:right="210"/>
        <w:rPr>
          <w:sz w:val="21"/>
          <w:szCs w:val="21"/>
          <w:lang w:eastAsia="zh-CN"/>
        </w:rPr>
      </w:pPr>
      <w:r w:rsidRPr="00864014">
        <w:rPr>
          <w:sz w:val="21"/>
          <w:szCs w:val="21"/>
          <w:lang w:eastAsia="zh-CN"/>
        </w:rPr>
        <w:t>引入自然光照明</w:t>
      </w:r>
      <w:r w:rsidRPr="00864014">
        <w:rPr>
          <w:rFonts w:hint="eastAsia"/>
          <w:sz w:val="21"/>
          <w:szCs w:val="21"/>
          <w:lang w:eastAsia="zh-CN"/>
        </w:rPr>
        <w:t>；</w:t>
      </w:r>
    </w:p>
    <w:p w:rsidR="00864014" w:rsidRDefault="00864014" w:rsidP="00864014">
      <w:pPr>
        <w:pStyle w:val="a3"/>
        <w:numPr>
          <w:ilvl w:val="0"/>
          <w:numId w:val="6"/>
        </w:numPr>
        <w:spacing w:line="240" w:lineRule="auto"/>
        <w:ind w:right="210"/>
        <w:rPr>
          <w:sz w:val="21"/>
          <w:szCs w:val="21"/>
          <w:lang w:eastAsia="zh-CN"/>
        </w:rPr>
      </w:pPr>
      <w:r>
        <w:rPr>
          <w:rFonts w:hint="eastAsia"/>
          <w:sz w:val="21"/>
          <w:szCs w:val="21"/>
          <w:lang w:eastAsia="zh-CN"/>
        </w:rPr>
        <w:t>引入光敏传感器根据室内实际照度调整照明设备的输出功率；</w:t>
      </w:r>
    </w:p>
    <w:p w:rsidR="00864014" w:rsidRDefault="00864014" w:rsidP="00864014">
      <w:pPr>
        <w:pStyle w:val="a3"/>
        <w:numPr>
          <w:ilvl w:val="0"/>
          <w:numId w:val="6"/>
        </w:numPr>
        <w:spacing w:line="240" w:lineRule="auto"/>
        <w:ind w:right="210"/>
        <w:rPr>
          <w:sz w:val="21"/>
          <w:szCs w:val="21"/>
          <w:lang w:eastAsia="zh-CN"/>
        </w:rPr>
      </w:pPr>
      <w:r>
        <w:rPr>
          <w:rFonts w:hint="eastAsia"/>
          <w:sz w:val="21"/>
          <w:szCs w:val="21"/>
          <w:lang w:eastAsia="zh-CN"/>
        </w:rPr>
        <w:t>对光照区域分区块采用人数监测，对处于人员稀少部分的照明设备实施降低输出功率或关闭的措施。</w:t>
      </w:r>
    </w:p>
    <w:p w:rsidR="00864014" w:rsidRDefault="00864014" w:rsidP="00864014">
      <w:pPr>
        <w:spacing w:line="240" w:lineRule="auto"/>
        <w:ind w:left="615" w:right="210"/>
        <w:rPr>
          <w:sz w:val="21"/>
          <w:szCs w:val="21"/>
          <w:lang w:eastAsia="zh-CN"/>
        </w:rPr>
      </w:pPr>
      <w:r>
        <w:rPr>
          <w:rFonts w:hint="eastAsia"/>
          <w:sz w:val="21"/>
          <w:szCs w:val="21"/>
          <w:lang w:eastAsia="zh-CN"/>
        </w:rPr>
        <w:t>需要注意的是由于采用内遮阳设施</w:t>
      </w:r>
      <w:r w:rsidR="00F53215">
        <w:rPr>
          <w:rFonts w:hint="eastAsia"/>
          <w:sz w:val="21"/>
          <w:szCs w:val="21"/>
          <w:lang w:eastAsia="zh-CN"/>
        </w:rPr>
        <w:t>与自然采光两项节能措施互相冲突，而在高照明能耗的区域采用内遮阳的</w:t>
      </w:r>
      <w:proofErr w:type="gramStart"/>
      <w:r w:rsidR="00F53215">
        <w:rPr>
          <w:rFonts w:hint="eastAsia"/>
          <w:sz w:val="21"/>
          <w:szCs w:val="21"/>
          <w:lang w:eastAsia="zh-CN"/>
        </w:rPr>
        <w:t>减碳效果</w:t>
      </w:r>
      <w:proofErr w:type="gramEnd"/>
      <w:r w:rsidR="00F53215">
        <w:rPr>
          <w:rFonts w:hint="eastAsia"/>
          <w:sz w:val="21"/>
          <w:szCs w:val="21"/>
          <w:lang w:eastAsia="zh-CN"/>
        </w:rPr>
        <w:t>不如采用自然采光</w:t>
      </w:r>
      <w:proofErr w:type="gramStart"/>
      <w:r w:rsidR="00F53215">
        <w:rPr>
          <w:rFonts w:hint="eastAsia"/>
          <w:sz w:val="21"/>
          <w:szCs w:val="21"/>
          <w:lang w:eastAsia="zh-CN"/>
        </w:rPr>
        <w:t>的减碳效果</w:t>
      </w:r>
      <w:proofErr w:type="gramEnd"/>
      <w:r w:rsidR="00F53215">
        <w:rPr>
          <w:rFonts w:hint="eastAsia"/>
          <w:sz w:val="21"/>
          <w:szCs w:val="21"/>
          <w:lang w:eastAsia="zh-CN"/>
        </w:rPr>
        <w:t>，因此</w:t>
      </w:r>
      <w:r>
        <w:rPr>
          <w:rFonts w:hint="eastAsia"/>
          <w:sz w:val="21"/>
          <w:szCs w:val="21"/>
          <w:lang w:eastAsia="zh-CN"/>
        </w:rPr>
        <w:t>对于商业零售区域不宜采用高效的内遮阳措施</w:t>
      </w:r>
      <w:r w:rsidR="00F53215">
        <w:rPr>
          <w:rFonts w:hint="eastAsia"/>
          <w:sz w:val="21"/>
          <w:szCs w:val="21"/>
          <w:lang w:eastAsia="zh-CN"/>
        </w:rPr>
        <w:t>。</w:t>
      </w:r>
    </w:p>
    <w:p w:rsidR="00F53215" w:rsidRPr="002F6B73" w:rsidRDefault="00F53215" w:rsidP="002F6B73">
      <w:pPr>
        <w:pStyle w:val="a3"/>
        <w:numPr>
          <w:ilvl w:val="0"/>
          <w:numId w:val="4"/>
        </w:numPr>
        <w:spacing w:line="240" w:lineRule="auto"/>
        <w:ind w:right="210"/>
        <w:rPr>
          <w:sz w:val="21"/>
          <w:szCs w:val="21"/>
          <w:lang w:eastAsia="zh-CN"/>
        </w:rPr>
      </w:pPr>
      <w:r w:rsidRPr="002F6B73">
        <w:rPr>
          <w:rFonts w:hint="eastAsia"/>
          <w:sz w:val="21"/>
          <w:szCs w:val="21"/>
          <w:lang w:eastAsia="zh-CN"/>
        </w:rPr>
        <w:t>医疗</w:t>
      </w:r>
      <w:proofErr w:type="gramStart"/>
      <w:r w:rsidRPr="002F6B73">
        <w:rPr>
          <w:rFonts w:hint="eastAsia"/>
          <w:sz w:val="21"/>
          <w:szCs w:val="21"/>
          <w:lang w:eastAsia="zh-CN"/>
        </w:rPr>
        <w:t>部分减碳路径</w:t>
      </w:r>
      <w:proofErr w:type="gramEnd"/>
    </w:p>
    <w:p w:rsidR="006106B7" w:rsidRDefault="00245DB7" w:rsidP="002F6B73">
      <w:pPr>
        <w:pStyle w:val="a3"/>
        <w:spacing w:line="240" w:lineRule="auto"/>
        <w:ind w:left="615" w:right="210"/>
        <w:rPr>
          <w:sz w:val="21"/>
          <w:szCs w:val="21"/>
          <w:lang w:eastAsia="zh-CN"/>
        </w:rPr>
      </w:pPr>
      <w:r>
        <w:rPr>
          <w:rFonts w:hint="eastAsia"/>
          <w:sz w:val="21"/>
          <w:szCs w:val="21"/>
          <w:lang w:eastAsia="zh-CN"/>
        </w:rPr>
        <w:t>上述措施</w:t>
      </w:r>
      <w:r w:rsidR="0098540F">
        <w:rPr>
          <w:rFonts w:hint="eastAsia"/>
          <w:sz w:val="21"/>
          <w:szCs w:val="21"/>
          <w:lang w:eastAsia="zh-CN"/>
        </w:rPr>
        <w:t>每年预计可以节约能耗</w:t>
      </w:r>
      <w:r w:rsidR="0098540F">
        <w:rPr>
          <w:rFonts w:hint="eastAsia"/>
          <w:sz w:val="21"/>
          <w:szCs w:val="21"/>
          <w:lang w:eastAsia="zh-CN"/>
        </w:rPr>
        <w:t>3.14%</w:t>
      </w:r>
      <w:r w:rsidR="0098540F">
        <w:rPr>
          <w:rFonts w:hint="eastAsia"/>
          <w:sz w:val="21"/>
          <w:szCs w:val="21"/>
          <w:lang w:eastAsia="zh-CN"/>
        </w:rPr>
        <w:t>，减少碳排放</w:t>
      </w:r>
      <w:r w:rsidR="0098540F">
        <w:rPr>
          <w:rFonts w:hint="eastAsia"/>
          <w:sz w:val="21"/>
          <w:szCs w:val="21"/>
          <w:lang w:eastAsia="zh-CN"/>
        </w:rPr>
        <w:t>7.7tCO</w:t>
      </w:r>
      <w:r w:rsidR="0098540F" w:rsidRPr="0098540F">
        <w:rPr>
          <w:rFonts w:hint="eastAsia"/>
          <w:sz w:val="21"/>
          <w:szCs w:val="21"/>
          <w:vertAlign w:val="subscript"/>
          <w:lang w:eastAsia="zh-CN"/>
        </w:rPr>
        <w:t>2</w:t>
      </w:r>
      <w:r w:rsidR="0098540F">
        <w:rPr>
          <w:rFonts w:hint="eastAsia"/>
          <w:sz w:val="21"/>
          <w:szCs w:val="21"/>
          <w:lang w:eastAsia="zh-CN"/>
        </w:rPr>
        <w:t>。</w:t>
      </w:r>
    </w:p>
    <w:p w:rsidR="0098540F" w:rsidRDefault="0098540F" w:rsidP="002F6B73">
      <w:pPr>
        <w:pStyle w:val="a3"/>
        <w:spacing w:line="240" w:lineRule="auto"/>
        <w:ind w:left="615" w:right="210"/>
        <w:rPr>
          <w:sz w:val="21"/>
          <w:szCs w:val="21"/>
          <w:lang w:eastAsia="zh-CN"/>
        </w:rPr>
      </w:pPr>
      <w:r>
        <w:rPr>
          <w:rFonts w:hint="eastAsia"/>
          <w:sz w:val="21"/>
          <w:szCs w:val="21"/>
          <w:lang w:eastAsia="zh-CN"/>
        </w:rPr>
        <w:t>热水部分可以采取太阳能光热技术辅助提供热水，此技术路径的</w:t>
      </w:r>
      <w:proofErr w:type="gramStart"/>
      <w:r>
        <w:rPr>
          <w:rFonts w:hint="eastAsia"/>
          <w:sz w:val="21"/>
          <w:szCs w:val="21"/>
          <w:lang w:eastAsia="zh-CN"/>
        </w:rPr>
        <w:t>减碳效果</w:t>
      </w:r>
      <w:proofErr w:type="gramEnd"/>
      <w:r>
        <w:rPr>
          <w:rFonts w:hint="eastAsia"/>
          <w:sz w:val="21"/>
          <w:szCs w:val="21"/>
          <w:lang w:eastAsia="zh-CN"/>
        </w:rPr>
        <w:t>已在上文中说明，在此不再赘述。</w:t>
      </w:r>
    </w:p>
    <w:p w:rsidR="0098540F" w:rsidRDefault="0098540F" w:rsidP="002F6B73">
      <w:pPr>
        <w:pStyle w:val="a3"/>
        <w:spacing w:line="240" w:lineRule="auto"/>
        <w:ind w:left="615" w:right="210"/>
        <w:rPr>
          <w:sz w:val="21"/>
          <w:szCs w:val="21"/>
          <w:lang w:eastAsia="zh-CN"/>
        </w:rPr>
      </w:pPr>
      <w:r>
        <w:rPr>
          <w:rFonts w:hint="eastAsia"/>
          <w:sz w:val="21"/>
          <w:szCs w:val="21"/>
          <w:lang w:eastAsia="zh-CN"/>
        </w:rPr>
        <w:t>在照明设备部分，其主要消耗是在诊疗室及手术室中，该区域的设计照度可达到</w:t>
      </w:r>
      <w:r>
        <w:rPr>
          <w:rFonts w:hint="eastAsia"/>
          <w:sz w:val="21"/>
          <w:szCs w:val="21"/>
          <w:lang w:eastAsia="zh-CN"/>
        </w:rPr>
        <w:t>300-750lux</w:t>
      </w:r>
      <w:r>
        <w:rPr>
          <w:rFonts w:hint="eastAsia"/>
          <w:sz w:val="21"/>
          <w:szCs w:val="21"/>
          <w:lang w:eastAsia="zh-CN"/>
        </w:rPr>
        <w:t>。</w:t>
      </w:r>
      <w:r w:rsidR="00556C10">
        <w:rPr>
          <w:rFonts w:hint="eastAsia"/>
          <w:sz w:val="21"/>
          <w:szCs w:val="21"/>
          <w:lang w:eastAsia="zh-CN"/>
        </w:rPr>
        <w:t>因此区域需要尽可能利用自然采光并辅以传感器线性控制照明输出功率（手术室无法进行自然采光，不考虑此路径）。采取该技术措施预计可使全年照明能耗降低</w:t>
      </w:r>
      <w:r w:rsidR="00556C10">
        <w:rPr>
          <w:rFonts w:hint="eastAsia"/>
          <w:sz w:val="21"/>
          <w:szCs w:val="21"/>
          <w:lang w:eastAsia="zh-CN"/>
        </w:rPr>
        <w:t>22.85%</w:t>
      </w:r>
      <w:r w:rsidR="00556C10">
        <w:rPr>
          <w:rFonts w:hint="eastAsia"/>
          <w:sz w:val="21"/>
          <w:szCs w:val="21"/>
          <w:lang w:eastAsia="zh-CN"/>
        </w:rPr>
        <w:t>，每年可</w:t>
      </w:r>
      <w:proofErr w:type="gramStart"/>
      <w:r w:rsidR="00556C10">
        <w:rPr>
          <w:rFonts w:hint="eastAsia"/>
          <w:sz w:val="21"/>
          <w:szCs w:val="21"/>
          <w:lang w:eastAsia="zh-CN"/>
        </w:rPr>
        <w:t>实现减碳</w:t>
      </w:r>
      <w:proofErr w:type="gramEnd"/>
      <w:r w:rsidR="00556C10">
        <w:rPr>
          <w:rFonts w:hint="eastAsia"/>
          <w:sz w:val="21"/>
          <w:szCs w:val="21"/>
          <w:lang w:eastAsia="zh-CN"/>
        </w:rPr>
        <w:t>11.6tCO</w:t>
      </w:r>
      <w:r w:rsidR="00556C10" w:rsidRPr="0098540F">
        <w:rPr>
          <w:rFonts w:hint="eastAsia"/>
          <w:sz w:val="21"/>
          <w:szCs w:val="21"/>
          <w:vertAlign w:val="subscript"/>
          <w:lang w:eastAsia="zh-CN"/>
        </w:rPr>
        <w:t>2</w:t>
      </w:r>
      <w:r w:rsidR="00556C10">
        <w:rPr>
          <w:rFonts w:hint="eastAsia"/>
          <w:sz w:val="21"/>
          <w:szCs w:val="21"/>
          <w:lang w:eastAsia="zh-CN"/>
        </w:rPr>
        <w:t>。</w:t>
      </w:r>
    </w:p>
    <w:p w:rsidR="00556C10" w:rsidRDefault="00556C10" w:rsidP="002F6B73">
      <w:pPr>
        <w:pStyle w:val="a3"/>
        <w:spacing w:line="240" w:lineRule="auto"/>
        <w:ind w:left="615" w:right="210"/>
        <w:rPr>
          <w:sz w:val="21"/>
          <w:szCs w:val="21"/>
          <w:lang w:eastAsia="zh-CN"/>
        </w:rPr>
      </w:pPr>
      <w:r>
        <w:rPr>
          <w:rFonts w:hint="eastAsia"/>
          <w:sz w:val="21"/>
          <w:szCs w:val="21"/>
          <w:lang w:eastAsia="zh-CN"/>
        </w:rPr>
        <w:t>综上，采取</w:t>
      </w:r>
      <w:proofErr w:type="gramStart"/>
      <w:r>
        <w:rPr>
          <w:rFonts w:hint="eastAsia"/>
          <w:sz w:val="21"/>
          <w:szCs w:val="21"/>
          <w:lang w:eastAsia="zh-CN"/>
        </w:rPr>
        <w:t>上述减碳路径</w:t>
      </w:r>
      <w:proofErr w:type="gramEnd"/>
      <w:r>
        <w:rPr>
          <w:rFonts w:hint="eastAsia"/>
          <w:sz w:val="21"/>
          <w:szCs w:val="21"/>
          <w:lang w:eastAsia="zh-CN"/>
        </w:rPr>
        <w:t>可使医疗部分</w:t>
      </w:r>
      <w:proofErr w:type="gramStart"/>
      <w:r>
        <w:rPr>
          <w:rFonts w:hint="eastAsia"/>
          <w:sz w:val="21"/>
          <w:szCs w:val="21"/>
          <w:lang w:eastAsia="zh-CN"/>
        </w:rPr>
        <w:t>每年减碳</w:t>
      </w:r>
      <w:proofErr w:type="gramEnd"/>
      <w:r>
        <w:rPr>
          <w:rFonts w:hint="eastAsia"/>
          <w:sz w:val="21"/>
          <w:szCs w:val="21"/>
          <w:lang w:eastAsia="zh-CN"/>
        </w:rPr>
        <w:t>19.3tCO</w:t>
      </w:r>
      <w:r w:rsidRPr="0098540F">
        <w:rPr>
          <w:rFonts w:hint="eastAsia"/>
          <w:sz w:val="21"/>
          <w:szCs w:val="21"/>
          <w:vertAlign w:val="subscript"/>
          <w:lang w:eastAsia="zh-CN"/>
        </w:rPr>
        <w:t>2</w:t>
      </w:r>
      <w:r>
        <w:rPr>
          <w:rFonts w:hint="eastAsia"/>
          <w:sz w:val="21"/>
          <w:szCs w:val="21"/>
          <w:lang w:eastAsia="zh-CN"/>
        </w:rPr>
        <w:t>。</w:t>
      </w:r>
    </w:p>
    <w:p w:rsidR="00556C10" w:rsidRPr="00AC634D" w:rsidRDefault="00221B63" w:rsidP="00AC634D">
      <w:pPr>
        <w:pStyle w:val="a3"/>
        <w:numPr>
          <w:ilvl w:val="0"/>
          <w:numId w:val="4"/>
        </w:numPr>
        <w:spacing w:line="240" w:lineRule="auto"/>
        <w:ind w:right="210"/>
        <w:rPr>
          <w:sz w:val="21"/>
          <w:szCs w:val="21"/>
          <w:lang w:eastAsia="zh-CN"/>
        </w:rPr>
      </w:pPr>
      <w:r>
        <w:rPr>
          <w:rFonts w:hint="eastAsia"/>
          <w:sz w:val="21"/>
          <w:szCs w:val="21"/>
          <w:lang w:eastAsia="zh-CN"/>
        </w:rPr>
        <w:t>养老</w:t>
      </w:r>
      <w:proofErr w:type="gramStart"/>
      <w:r w:rsidR="00556C10" w:rsidRPr="00AC634D">
        <w:rPr>
          <w:rFonts w:hint="eastAsia"/>
          <w:sz w:val="21"/>
          <w:szCs w:val="21"/>
          <w:lang w:eastAsia="zh-CN"/>
        </w:rPr>
        <w:t>部分减碳路径</w:t>
      </w:r>
      <w:proofErr w:type="gramEnd"/>
    </w:p>
    <w:p w:rsidR="00AC634D" w:rsidRPr="007C71FB" w:rsidRDefault="007C71FB" w:rsidP="007C71FB">
      <w:pPr>
        <w:pStyle w:val="a3"/>
        <w:spacing w:line="240" w:lineRule="auto"/>
        <w:ind w:left="615" w:right="210"/>
        <w:rPr>
          <w:sz w:val="21"/>
          <w:szCs w:val="21"/>
          <w:lang w:eastAsia="zh-CN"/>
        </w:rPr>
      </w:pPr>
      <w:r>
        <w:rPr>
          <w:rFonts w:hint="eastAsia"/>
          <w:sz w:val="21"/>
          <w:szCs w:val="21"/>
          <w:lang w:eastAsia="zh-CN"/>
        </w:rPr>
        <w:t>对于养老部分中的室内设备，由于需要满足大量烹饪需求，因此烹饪设备的能耗占室内设备能耗的近一半，且这一部分能量主要由天然气提供，碳排放量较大。基于此，可采取</w:t>
      </w:r>
      <w:proofErr w:type="gramStart"/>
      <w:r>
        <w:rPr>
          <w:rFonts w:hint="eastAsia"/>
          <w:sz w:val="21"/>
          <w:szCs w:val="21"/>
          <w:lang w:eastAsia="zh-CN"/>
        </w:rPr>
        <w:t>下列减碳路径</w:t>
      </w:r>
      <w:proofErr w:type="gramEnd"/>
      <w:r>
        <w:rPr>
          <w:rFonts w:hint="eastAsia"/>
          <w:sz w:val="21"/>
          <w:szCs w:val="21"/>
          <w:lang w:eastAsia="zh-CN"/>
        </w:rPr>
        <w:t>：</w:t>
      </w:r>
    </w:p>
    <w:p w:rsidR="00E073BD" w:rsidRDefault="00E073BD" w:rsidP="00E073BD">
      <w:pPr>
        <w:pStyle w:val="a3"/>
        <w:numPr>
          <w:ilvl w:val="0"/>
          <w:numId w:val="7"/>
        </w:numPr>
        <w:spacing w:line="240" w:lineRule="auto"/>
        <w:ind w:right="210"/>
        <w:rPr>
          <w:sz w:val="21"/>
          <w:szCs w:val="21"/>
          <w:lang w:eastAsia="zh-CN"/>
        </w:rPr>
      </w:pPr>
      <w:r>
        <w:rPr>
          <w:rFonts w:hint="eastAsia"/>
          <w:sz w:val="21"/>
          <w:szCs w:val="21"/>
          <w:lang w:eastAsia="zh-CN"/>
        </w:rPr>
        <w:t>使用电加热设备代替部分燃气加热设备，此处以按照</w:t>
      </w:r>
      <w:r>
        <w:rPr>
          <w:rFonts w:hint="eastAsia"/>
          <w:sz w:val="21"/>
          <w:szCs w:val="21"/>
          <w:lang w:eastAsia="zh-CN"/>
        </w:rPr>
        <w:t>50%</w:t>
      </w:r>
      <w:r>
        <w:rPr>
          <w:rFonts w:hint="eastAsia"/>
          <w:sz w:val="21"/>
          <w:szCs w:val="21"/>
          <w:lang w:eastAsia="zh-CN"/>
        </w:rPr>
        <w:t>的比例进行改造；</w:t>
      </w:r>
    </w:p>
    <w:p w:rsidR="00E073BD" w:rsidRDefault="00857770" w:rsidP="00E073BD">
      <w:pPr>
        <w:pStyle w:val="a3"/>
        <w:numPr>
          <w:ilvl w:val="0"/>
          <w:numId w:val="7"/>
        </w:numPr>
        <w:spacing w:line="240" w:lineRule="auto"/>
        <w:ind w:right="210"/>
        <w:rPr>
          <w:sz w:val="21"/>
          <w:szCs w:val="21"/>
          <w:lang w:eastAsia="zh-CN"/>
        </w:rPr>
      </w:pPr>
      <w:r>
        <w:rPr>
          <w:rFonts w:hint="eastAsia"/>
          <w:sz w:val="21"/>
          <w:szCs w:val="21"/>
          <w:lang w:eastAsia="zh-CN"/>
        </w:rPr>
        <w:t>采用灶具热回收技术</w:t>
      </w:r>
      <w:r w:rsidR="00E073BD">
        <w:rPr>
          <w:rFonts w:hint="eastAsia"/>
          <w:sz w:val="21"/>
          <w:szCs w:val="21"/>
          <w:lang w:eastAsia="zh-CN"/>
        </w:rPr>
        <w:t>，目前我国灶具的热效率在</w:t>
      </w:r>
      <w:r w:rsidR="00E073BD">
        <w:rPr>
          <w:rFonts w:hint="eastAsia"/>
          <w:sz w:val="21"/>
          <w:szCs w:val="21"/>
          <w:lang w:eastAsia="zh-CN"/>
        </w:rPr>
        <w:t>55-61%</w:t>
      </w:r>
      <w:r w:rsidR="00E073BD">
        <w:rPr>
          <w:rFonts w:hint="eastAsia"/>
          <w:sz w:val="21"/>
          <w:szCs w:val="21"/>
          <w:lang w:eastAsia="zh-CN"/>
        </w:rPr>
        <w:t>之间</w:t>
      </w:r>
      <w:r w:rsidR="00E073BD">
        <w:rPr>
          <w:rFonts w:hint="eastAsia"/>
          <w:sz w:val="21"/>
          <w:szCs w:val="21"/>
          <w:lang w:eastAsia="zh-CN"/>
        </w:rPr>
        <w:t>[</w:t>
      </w:r>
      <w:r w:rsidR="007C71FB">
        <w:rPr>
          <w:rFonts w:hint="eastAsia"/>
          <w:sz w:val="21"/>
          <w:szCs w:val="21"/>
          <w:lang w:eastAsia="zh-CN"/>
        </w:rPr>
        <w:t>8</w:t>
      </w:r>
      <w:r w:rsidR="00E073BD">
        <w:rPr>
          <w:rFonts w:hint="eastAsia"/>
          <w:sz w:val="21"/>
          <w:szCs w:val="21"/>
          <w:lang w:eastAsia="zh-CN"/>
        </w:rPr>
        <w:t>]</w:t>
      </w:r>
      <w:r w:rsidR="007C71FB">
        <w:rPr>
          <w:rFonts w:hint="eastAsia"/>
          <w:sz w:val="21"/>
          <w:szCs w:val="21"/>
          <w:lang w:eastAsia="zh-CN"/>
        </w:rPr>
        <w:t>，</w:t>
      </w:r>
      <w:r w:rsidR="003D5FF5">
        <w:rPr>
          <w:rFonts w:hint="eastAsia"/>
          <w:sz w:val="21"/>
          <w:szCs w:val="21"/>
          <w:lang w:eastAsia="zh-CN"/>
        </w:rPr>
        <w:t>其产生的烟气温度可达</w:t>
      </w:r>
      <w:r w:rsidR="003D5FF5">
        <w:rPr>
          <w:rFonts w:hint="eastAsia"/>
          <w:sz w:val="21"/>
          <w:szCs w:val="21"/>
          <w:lang w:eastAsia="zh-CN"/>
        </w:rPr>
        <w:t>300</w:t>
      </w:r>
      <w:r w:rsidR="003D5FF5">
        <w:rPr>
          <w:rFonts w:hint="eastAsia"/>
          <w:sz w:val="21"/>
          <w:szCs w:val="21"/>
          <w:lang w:eastAsia="zh-CN"/>
        </w:rPr>
        <w:t>℃，若能将此部分热量回收用于烹饪，则可提高灶具热效率</w:t>
      </w:r>
      <w:r w:rsidR="003D5FF5">
        <w:rPr>
          <w:rFonts w:hint="eastAsia"/>
          <w:sz w:val="21"/>
          <w:szCs w:val="21"/>
          <w:lang w:eastAsia="zh-CN"/>
        </w:rPr>
        <w:t>10-30%[9].</w:t>
      </w:r>
    </w:p>
    <w:p w:rsidR="007D57D8" w:rsidRDefault="007D57D8" w:rsidP="007D57D8">
      <w:pPr>
        <w:spacing w:line="240" w:lineRule="auto"/>
        <w:ind w:left="615" w:right="210"/>
        <w:rPr>
          <w:sz w:val="21"/>
          <w:szCs w:val="21"/>
          <w:lang w:eastAsia="zh-CN"/>
        </w:rPr>
      </w:pPr>
      <w:r>
        <w:rPr>
          <w:rFonts w:hint="eastAsia"/>
          <w:sz w:val="21"/>
          <w:szCs w:val="21"/>
          <w:lang w:eastAsia="zh-CN"/>
        </w:rPr>
        <w:t>上述措施每年预计可</w:t>
      </w:r>
      <w:r w:rsidR="00221B63">
        <w:rPr>
          <w:rFonts w:hint="eastAsia"/>
          <w:sz w:val="21"/>
          <w:szCs w:val="21"/>
          <w:lang w:eastAsia="zh-CN"/>
        </w:rPr>
        <w:t>降低养老部分总能</w:t>
      </w:r>
      <w:r w:rsidR="00F574E2">
        <w:rPr>
          <w:rFonts w:hint="eastAsia"/>
          <w:sz w:val="21"/>
          <w:szCs w:val="21"/>
          <w:lang w:eastAsia="zh-CN"/>
        </w:rPr>
        <w:t>耗</w:t>
      </w:r>
      <w:r w:rsidR="00221B63">
        <w:rPr>
          <w:rFonts w:hint="eastAsia"/>
          <w:sz w:val="21"/>
          <w:szCs w:val="21"/>
          <w:lang w:eastAsia="zh-CN"/>
        </w:rPr>
        <w:t>3.31%</w:t>
      </w:r>
      <w:r w:rsidR="00221B63">
        <w:rPr>
          <w:rFonts w:hint="eastAsia"/>
          <w:sz w:val="21"/>
          <w:szCs w:val="21"/>
          <w:lang w:eastAsia="zh-CN"/>
        </w:rPr>
        <w:t>，</w:t>
      </w:r>
      <w:r>
        <w:rPr>
          <w:rFonts w:hint="eastAsia"/>
          <w:sz w:val="21"/>
          <w:szCs w:val="21"/>
          <w:lang w:eastAsia="zh-CN"/>
        </w:rPr>
        <w:t>减少碳排放</w:t>
      </w:r>
      <w:r>
        <w:rPr>
          <w:rFonts w:hint="eastAsia"/>
          <w:sz w:val="21"/>
          <w:szCs w:val="21"/>
          <w:lang w:eastAsia="zh-CN"/>
        </w:rPr>
        <w:t>6.03tCO</w:t>
      </w:r>
      <w:r w:rsidRPr="0098540F">
        <w:rPr>
          <w:rFonts w:hint="eastAsia"/>
          <w:sz w:val="21"/>
          <w:szCs w:val="21"/>
          <w:vertAlign w:val="subscript"/>
          <w:lang w:eastAsia="zh-CN"/>
        </w:rPr>
        <w:t>2</w:t>
      </w:r>
      <w:r w:rsidR="00221B63">
        <w:rPr>
          <w:rFonts w:hint="eastAsia"/>
          <w:sz w:val="21"/>
          <w:szCs w:val="21"/>
          <w:lang w:eastAsia="zh-CN"/>
        </w:rPr>
        <w:t>。</w:t>
      </w:r>
    </w:p>
    <w:p w:rsidR="00221B63" w:rsidRDefault="00221B63" w:rsidP="007D57D8">
      <w:pPr>
        <w:spacing w:line="240" w:lineRule="auto"/>
        <w:ind w:left="615" w:right="210"/>
        <w:rPr>
          <w:sz w:val="21"/>
          <w:szCs w:val="21"/>
          <w:lang w:eastAsia="zh-CN"/>
        </w:rPr>
      </w:pPr>
      <w:r>
        <w:rPr>
          <w:rFonts w:hint="eastAsia"/>
          <w:sz w:val="21"/>
          <w:szCs w:val="21"/>
          <w:lang w:eastAsia="zh-CN"/>
        </w:rPr>
        <w:t>对于</w:t>
      </w:r>
      <w:r>
        <w:rPr>
          <w:rFonts w:hint="eastAsia"/>
          <w:sz w:val="21"/>
          <w:szCs w:val="21"/>
          <w:lang w:eastAsia="zh-CN"/>
        </w:rPr>
        <w:t>HVAC</w:t>
      </w:r>
      <w:r>
        <w:rPr>
          <w:rFonts w:hint="eastAsia"/>
          <w:sz w:val="21"/>
          <w:szCs w:val="21"/>
          <w:lang w:eastAsia="zh-CN"/>
        </w:rPr>
        <w:t>系统，其节能策略与建筑整体中的</w:t>
      </w:r>
      <w:r>
        <w:rPr>
          <w:rFonts w:hint="eastAsia"/>
          <w:sz w:val="21"/>
          <w:szCs w:val="21"/>
          <w:lang w:eastAsia="zh-CN"/>
        </w:rPr>
        <w:t>HVAC</w:t>
      </w:r>
      <w:r>
        <w:rPr>
          <w:rFonts w:hint="eastAsia"/>
          <w:sz w:val="21"/>
          <w:szCs w:val="21"/>
          <w:lang w:eastAsia="zh-CN"/>
        </w:rPr>
        <w:t>系统节能策略一致，在此不再重复计算。</w:t>
      </w:r>
    </w:p>
    <w:p w:rsidR="00221B63" w:rsidRDefault="00221B63" w:rsidP="00221B63">
      <w:pPr>
        <w:pStyle w:val="a3"/>
        <w:numPr>
          <w:ilvl w:val="0"/>
          <w:numId w:val="4"/>
        </w:numPr>
        <w:spacing w:line="240" w:lineRule="auto"/>
        <w:ind w:right="210"/>
        <w:rPr>
          <w:sz w:val="21"/>
          <w:szCs w:val="21"/>
          <w:lang w:eastAsia="zh-CN"/>
        </w:rPr>
      </w:pPr>
      <w:r>
        <w:rPr>
          <w:rFonts w:hint="eastAsia"/>
          <w:sz w:val="21"/>
          <w:szCs w:val="21"/>
          <w:lang w:eastAsia="zh-CN"/>
        </w:rPr>
        <w:t>文体活动</w:t>
      </w:r>
      <w:proofErr w:type="gramStart"/>
      <w:r>
        <w:rPr>
          <w:rFonts w:hint="eastAsia"/>
          <w:sz w:val="21"/>
          <w:szCs w:val="21"/>
          <w:lang w:eastAsia="zh-CN"/>
        </w:rPr>
        <w:t>部分减碳路径</w:t>
      </w:r>
      <w:proofErr w:type="gramEnd"/>
    </w:p>
    <w:p w:rsidR="00461692" w:rsidRDefault="00F574E2" w:rsidP="00461692">
      <w:pPr>
        <w:pStyle w:val="a3"/>
        <w:spacing w:line="240" w:lineRule="auto"/>
        <w:ind w:left="615" w:right="210"/>
        <w:rPr>
          <w:sz w:val="21"/>
          <w:szCs w:val="21"/>
          <w:lang w:eastAsia="zh-CN"/>
        </w:rPr>
      </w:pPr>
      <w:r>
        <w:rPr>
          <w:rFonts w:hint="eastAsia"/>
          <w:sz w:val="21"/>
          <w:szCs w:val="21"/>
          <w:lang w:eastAsia="zh-CN"/>
        </w:rPr>
        <w:t>综上，</w:t>
      </w:r>
      <w:r>
        <w:rPr>
          <w:rFonts w:hint="eastAsia"/>
          <w:sz w:val="21"/>
          <w:szCs w:val="21"/>
          <w:lang w:eastAsia="zh-CN"/>
        </w:rPr>
        <w:t>HVAC</w:t>
      </w:r>
      <w:r>
        <w:rPr>
          <w:rFonts w:hint="eastAsia"/>
          <w:sz w:val="21"/>
          <w:szCs w:val="21"/>
          <w:lang w:eastAsia="zh-CN"/>
        </w:rPr>
        <w:t>系统是文体活动部分</w:t>
      </w:r>
      <w:proofErr w:type="gramStart"/>
      <w:r>
        <w:rPr>
          <w:rFonts w:hint="eastAsia"/>
          <w:sz w:val="21"/>
          <w:szCs w:val="21"/>
          <w:lang w:eastAsia="zh-CN"/>
        </w:rPr>
        <w:t>节能减碳优化</w:t>
      </w:r>
      <w:proofErr w:type="gramEnd"/>
      <w:r>
        <w:rPr>
          <w:rFonts w:hint="eastAsia"/>
          <w:sz w:val="21"/>
          <w:szCs w:val="21"/>
          <w:lang w:eastAsia="zh-CN"/>
        </w:rPr>
        <w:t>的重点，其可采取的路径如下：</w:t>
      </w:r>
    </w:p>
    <w:p w:rsidR="00F574E2" w:rsidRDefault="00F574E2" w:rsidP="00F574E2">
      <w:pPr>
        <w:pStyle w:val="a3"/>
        <w:numPr>
          <w:ilvl w:val="0"/>
          <w:numId w:val="8"/>
        </w:numPr>
        <w:spacing w:line="240" w:lineRule="auto"/>
        <w:ind w:right="210"/>
        <w:rPr>
          <w:sz w:val="21"/>
          <w:szCs w:val="21"/>
          <w:lang w:eastAsia="zh-CN"/>
        </w:rPr>
      </w:pPr>
      <w:r>
        <w:rPr>
          <w:rFonts w:hint="eastAsia"/>
          <w:sz w:val="21"/>
          <w:szCs w:val="21"/>
          <w:lang w:eastAsia="zh-CN"/>
        </w:rPr>
        <w:lastRenderedPageBreak/>
        <w:t>采取新风热回收技术；</w:t>
      </w:r>
    </w:p>
    <w:p w:rsidR="00F574E2" w:rsidRDefault="00F574E2" w:rsidP="00F574E2">
      <w:pPr>
        <w:pStyle w:val="a3"/>
        <w:numPr>
          <w:ilvl w:val="0"/>
          <w:numId w:val="8"/>
        </w:numPr>
        <w:spacing w:line="240" w:lineRule="auto"/>
        <w:ind w:right="210"/>
        <w:rPr>
          <w:sz w:val="21"/>
          <w:szCs w:val="21"/>
          <w:lang w:eastAsia="zh-CN"/>
        </w:rPr>
      </w:pPr>
      <w:r>
        <w:rPr>
          <w:rFonts w:hint="eastAsia"/>
          <w:sz w:val="21"/>
          <w:szCs w:val="21"/>
          <w:lang w:eastAsia="zh-CN"/>
        </w:rPr>
        <w:t>采用光热系统辅助加热热水。</w:t>
      </w:r>
    </w:p>
    <w:p w:rsidR="00F574E2" w:rsidRPr="00A13463" w:rsidRDefault="00A13463" w:rsidP="00A13463">
      <w:pPr>
        <w:spacing w:line="240" w:lineRule="auto"/>
        <w:ind w:left="615" w:right="210"/>
        <w:rPr>
          <w:sz w:val="21"/>
          <w:szCs w:val="21"/>
          <w:lang w:eastAsia="zh-CN"/>
        </w:rPr>
      </w:pPr>
      <w:r>
        <w:rPr>
          <w:rFonts w:hint="eastAsia"/>
          <w:sz w:val="21"/>
          <w:szCs w:val="21"/>
          <w:lang w:eastAsia="zh-CN"/>
        </w:rPr>
        <w:t>光热系统</w:t>
      </w:r>
      <w:proofErr w:type="gramStart"/>
      <w:r w:rsidR="00F574E2" w:rsidRPr="00A13463">
        <w:rPr>
          <w:sz w:val="21"/>
          <w:szCs w:val="21"/>
          <w:lang w:eastAsia="zh-CN"/>
        </w:rPr>
        <w:t>减碳效果</w:t>
      </w:r>
      <w:proofErr w:type="gramEnd"/>
      <w:r w:rsidR="00F574E2" w:rsidRPr="00A13463">
        <w:rPr>
          <w:sz w:val="21"/>
          <w:szCs w:val="21"/>
          <w:lang w:eastAsia="zh-CN"/>
        </w:rPr>
        <w:t>已在整体节能路径部分</w:t>
      </w:r>
      <w:r>
        <w:rPr>
          <w:rFonts w:hint="eastAsia"/>
          <w:sz w:val="21"/>
          <w:szCs w:val="21"/>
          <w:lang w:eastAsia="zh-CN"/>
        </w:rPr>
        <w:t>评估</w:t>
      </w:r>
      <w:r w:rsidR="00F574E2" w:rsidRPr="00A13463">
        <w:rPr>
          <w:rFonts w:hint="eastAsia"/>
          <w:sz w:val="21"/>
          <w:szCs w:val="21"/>
          <w:lang w:eastAsia="zh-CN"/>
        </w:rPr>
        <w:t>，</w:t>
      </w:r>
      <w:r w:rsidR="00F574E2" w:rsidRPr="00A13463">
        <w:rPr>
          <w:sz w:val="21"/>
          <w:szCs w:val="21"/>
          <w:lang w:eastAsia="zh-CN"/>
        </w:rPr>
        <w:t>再次不再重复</w:t>
      </w:r>
      <w:r>
        <w:rPr>
          <w:sz w:val="21"/>
          <w:szCs w:val="21"/>
          <w:lang w:eastAsia="zh-CN"/>
        </w:rPr>
        <w:t>计算</w:t>
      </w:r>
      <w:r w:rsidR="00F574E2" w:rsidRPr="00A13463">
        <w:rPr>
          <w:rFonts w:hint="eastAsia"/>
          <w:sz w:val="21"/>
          <w:szCs w:val="21"/>
          <w:lang w:eastAsia="zh-CN"/>
        </w:rPr>
        <w:t>。</w:t>
      </w:r>
      <w:r w:rsidR="00F574E2" w:rsidRPr="00A13463">
        <w:rPr>
          <w:sz w:val="21"/>
          <w:szCs w:val="21"/>
          <w:lang w:eastAsia="zh-CN"/>
        </w:rPr>
        <w:t>采用</w:t>
      </w:r>
      <w:r w:rsidR="00F574E2" w:rsidRPr="00A13463">
        <w:rPr>
          <w:sz w:val="21"/>
          <w:szCs w:val="21"/>
          <w:lang w:eastAsia="zh-CN"/>
        </w:rPr>
        <w:t>a</w:t>
      </w:r>
      <w:r w:rsidR="00F574E2" w:rsidRPr="00A13463">
        <w:rPr>
          <w:rFonts w:hint="eastAsia"/>
          <w:sz w:val="21"/>
          <w:szCs w:val="21"/>
          <w:lang w:eastAsia="zh-CN"/>
        </w:rPr>
        <w:t>）</w:t>
      </w:r>
      <w:r w:rsidR="00F574E2" w:rsidRPr="00A13463">
        <w:rPr>
          <w:sz w:val="21"/>
          <w:szCs w:val="21"/>
          <w:lang w:eastAsia="zh-CN"/>
        </w:rPr>
        <w:t>路径每年可节约文体活动部分能耗</w:t>
      </w:r>
      <w:r w:rsidRPr="00A13463">
        <w:rPr>
          <w:rFonts w:hint="eastAsia"/>
          <w:sz w:val="21"/>
          <w:szCs w:val="21"/>
          <w:lang w:eastAsia="zh-CN"/>
        </w:rPr>
        <w:t>6.18%</w:t>
      </w:r>
      <w:r w:rsidRPr="00A13463">
        <w:rPr>
          <w:rFonts w:hint="eastAsia"/>
          <w:sz w:val="21"/>
          <w:szCs w:val="21"/>
          <w:lang w:eastAsia="zh-CN"/>
        </w:rPr>
        <w:t>，每年可减少碳排放</w:t>
      </w:r>
      <w:r w:rsidRPr="00A13463">
        <w:rPr>
          <w:rFonts w:hint="eastAsia"/>
          <w:sz w:val="21"/>
          <w:szCs w:val="21"/>
          <w:lang w:eastAsia="zh-CN"/>
        </w:rPr>
        <w:t>4.36 tCO</w:t>
      </w:r>
      <w:r w:rsidRPr="00A13463">
        <w:rPr>
          <w:rFonts w:hint="eastAsia"/>
          <w:sz w:val="21"/>
          <w:szCs w:val="21"/>
          <w:vertAlign w:val="subscript"/>
          <w:lang w:eastAsia="zh-CN"/>
        </w:rPr>
        <w:t>2</w:t>
      </w:r>
      <w:r w:rsidRPr="00A13463">
        <w:rPr>
          <w:rFonts w:hint="eastAsia"/>
          <w:sz w:val="21"/>
          <w:szCs w:val="21"/>
          <w:lang w:eastAsia="zh-CN"/>
        </w:rPr>
        <w:t>。</w:t>
      </w:r>
    </w:p>
    <w:p w:rsidR="00A13463" w:rsidRDefault="00A13463" w:rsidP="00A13463">
      <w:pPr>
        <w:pStyle w:val="a3"/>
        <w:numPr>
          <w:ilvl w:val="0"/>
          <w:numId w:val="4"/>
        </w:numPr>
        <w:spacing w:line="240" w:lineRule="auto"/>
        <w:ind w:right="210"/>
        <w:rPr>
          <w:sz w:val="21"/>
          <w:szCs w:val="21"/>
          <w:lang w:eastAsia="zh-CN"/>
        </w:rPr>
      </w:pPr>
      <w:r>
        <w:rPr>
          <w:rFonts w:hint="eastAsia"/>
          <w:sz w:val="21"/>
          <w:szCs w:val="21"/>
          <w:lang w:eastAsia="zh-CN"/>
        </w:rPr>
        <w:t>办公</w:t>
      </w:r>
      <w:proofErr w:type="gramStart"/>
      <w:r>
        <w:rPr>
          <w:rFonts w:hint="eastAsia"/>
          <w:sz w:val="21"/>
          <w:szCs w:val="21"/>
          <w:lang w:eastAsia="zh-CN"/>
        </w:rPr>
        <w:t>部分减碳路径</w:t>
      </w:r>
      <w:proofErr w:type="gramEnd"/>
    </w:p>
    <w:p w:rsidR="00C80CDC" w:rsidRDefault="00C80CDC" w:rsidP="00C80CDC">
      <w:pPr>
        <w:pStyle w:val="a3"/>
        <w:spacing w:line="240" w:lineRule="auto"/>
        <w:ind w:left="615" w:right="210"/>
        <w:rPr>
          <w:sz w:val="21"/>
          <w:szCs w:val="21"/>
          <w:lang w:eastAsia="zh-CN"/>
        </w:rPr>
      </w:pPr>
      <w:r>
        <w:rPr>
          <w:rFonts w:hint="eastAsia"/>
          <w:sz w:val="21"/>
          <w:szCs w:val="21"/>
          <w:lang w:eastAsia="zh-CN"/>
        </w:rPr>
        <w:t>办公部分能耗占比最高的室内设备耗电以及照明耗电。电脑、打印机等</w:t>
      </w:r>
      <w:r w:rsidR="002605C9">
        <w:rPr>
          <w:rFonts w:hint="eastAsia"/>
          <w:sz w:val="21"/>
          <w:szCs w:val="21"/>
          <w:lang w:eastAsia="zh-CN"/>
        </w:rPr>
        <w:t>大量</w:t>
      </w:r>
      <w:r>
        <w:rPr>
          <w:rFonts w:hint="eastAsia"/>
          <w:sz w:val="21"/>
          <w:szCs w:val="21"/>
          <w:lang w:eastAsia="zh-CN"/>
        </w:rPr>
        <w:t>办公设备的长时间运行</w:t>
      </w:r>
      <w:r w:rsidR="002605C9">
        <w:rPr>
          <w:rFonts w:hint="eastAsia"/>
          <w:sz w:val="21"/>
          <w:szCs w:val="21"/>
          <w:lang w:eastAsia="zh-CN"/>
        </w:rPr>
        <w:t>以及高照度标准使得办公区域出现上述的能耗特征。因此减小办公部分</w:t>
      </w:r>
      <w:proofErr w:type="gramStart"/>
      <w:r w:rsidR="002605C9">
        <w:rPr>
          <w:rFonts w:hint="eastAsia"/>
          <w:sz w:val="21"/>
          <w:szCs w:val="21"/>
          <w:lang w:eastAsia="zh-CN"/>
        </w:rPr>
        <w:t>能耗及碳排放</w:t>
      </w:r>
      <w:proofErr w:type="gramEnd"/>
      <w:r w:rsidR="002605C9">
        <w:rPr>
          <w:rFonts w:hint="eastAsia"/>
          <w:sz w:val="21"/>
          <w:szCs w:val="21"/>
          <w:lang w:eastAsia="zh-CN"/>
        </w:rPr>
        <w:t>就要从优化办公设备及照明设施的运行情况入手，采取以下措施：</w:t>
      </w:r>
    </w:p>
    <w:p w:rsidR="002605C9" w:rsidRDefault="002605C9" w:rsidP="002605C9">
      <w:pPr>
        <w:pStyle w:val="a3"/>
        <w:numPr>
          <w:ilvl w:val="0"/>
          <w:numId w:val="9"/>
        </w:numPr>
        <w:spacing w:line="240" w:lineRule="auto"/>
        <w:ind w:right="210"/>
        <w:rPr>
          <w:sz w:val="21"/>
          <w:szCs w:val="21"/>
          <w:lang w:eastAsia="zh-CN"/>
        </w:rPr>
      </w:pPr>
      <w:r>
        <w:rPr>
          <w:rFonts w:hint="eastAsia"/>
          <w:sz w:val="21"/>
          <w:szCs w:val="21"/>
          <w:lang w:eastAsia="zh-CN"/>
        </w:rPr>
        <w:t>办公设备统一接入能源管理系统，监测使用情况，及时关闭设备，防止设备长期处于待机状态。</w:t>
      </w:r>
    </w:p>
    <w:p w:rsidR="002605C9" w:rsidRDefault="002605C9" w:rsidP="002605C9">
      <w:pPr>
        <w:pStyle w:val="a3"/>
        <w:numPr>
          <w:ilvl w:val="0"/>
          <w:numId w:val="9"/>
        </w:numPr>
        <w:spacing w:line="240" w:lineRule="auto"/>
        <w:ind w:right="210"/>
        <w:rPr>
          <w:sz w:val="21"/>
          <w:szCs w:val="21"/>
          <w:lang w:eastAsia="zh-CN"/>
        </w:rPr>
      </w:pPr>
      <w:r>
        <w:rPr>
          <w:rFonts w:hint="eastAsia"/>
          <w:sz w:val="21"/>
          <w:szCs w:val="21"/>
          <w:lang w:eastAsia="zh-CN"/>
        </w:rPr>
        <w:t>加强办公人员节能教育，倡导“人走设备关”。</w:t>
      </w:r>
    </w:p>
    <w:p w:rsidR="002605C9" w:rsidRPr="002605C9" w:rsidRDefault="002605C9" w:rsidP="002605C9">
      <w:pPr>
        <w:pStyle w:val="a3"/>
        <w:numPr>
          <w:ilvl w:val="0"/>
          <w:numId w:val="9"/>
        </w:numPr>
        <w:spacing w:line="240" w:lineRule="auto"/>
        <w:ind w:right="210"/>
        <w:rPr>
          <w:sz w:val="21"/>
          <w:szCs w:val="21"/>
          <w:lang w:eastAsia="zh-CN"/>
        </w:rPr>
      </w:pPr>
      <w:r w:rsidRPr="002605C9">
        <w:rPr>
          <w:sz w:val="21"/>
          <w:szCs w:val="21"/>
          <w:lang w:eastAsia="zh-CN"/>
        </w:rPr>
        <w:t>引入自然光照明</w:t>
      </w:r>
      <w:r w:rsidRPr="002605C9">
        <w:rPr>
          <w:rFonts w:hint="eastAsia"/>
          <w:sz w:val="21"/>
          <w:szCs w:val="21"/>
          <w:lang w:eastAsia="zh-CN"/>
        </w:rPr>
        <w:t>；</w:t>
      </w:r>
    </w:p>
    <w:p w:rsidR="002605C9" w:rsidRDefault="002605C9" w:rsidP="002605C9">
      <w:pPr>
        <w:pStyle w:val="a3"/>
        <w:numPr>
          <w:ilvl w:val="0"/>
          <w:numId w:val="9"/>
        </w:numPr>
        <w:spacing w:line="240" w:lineRule="auto"/>
        <w:ind w:right="210"/>
        <w:rPr>
          <w:sz w:val="21"/>
          <w:szCs w:val="21"/>
          <w:lang w:eastAsia="zh-CN"/>
        </w:rPr>
      </w:pPr>
      <w:r>
        <w:rPr>
          <w:rFonts w:hint="eastAsia"/>
          <w:sz w:val="21"/>
          <w:szCs w:val="21"/>
          <w:lang w:eastAsia="zh-CN"/>
        </w:rPr>
        <w:t>引入光敏传感器根据室内实际照度调整照明设备的输出功率；</w:t>
      </w:r>
    </w:p>
    <w:p w:rsidR="002605C9" w:rsidRPr="002605C9" w:rsidRDefault="002605C9" w:rsidP="002605C9">
      <w:pPr>
        <w:spacing w:line="240" w:lineRule="auto"/>
        <w:ind w:left="615" w:right="210"/>
        <w:rPr>
          <w:sz w:val="21"/>
          <w:szCs w:val="21"/>
          <w:lang w:eastAsia="zh-CN"/>
        </w:rPr>
      </w:pPr>
      <w:r>
        <w:rPr>
          <w:rFonts w:hint="eastAsia"/>
          <w:sz w:val="21"/>
          <w:szCs w:val="21"/>
          <w:lang w:eastAsia="zh-CN"/>
        </w:rPr>
        <w:t>采取上述措施</w:t>
      </w:r>
    </w:p>
    <w:p w:rsidR="003D5FF5" w:rsidRPr="003D5FF5" w:rsidRDefault="003D5FF5" w:rsidP="003D5FF5">
      <w:pPr>
        <w:spacing w:line="240" w:lineRule="auto"/>
        <w:ind w:left="615" w:right="210"/>
        <w:rPr>
          <w:sz w:val="21"/>
          <w:szCs w:val="21"/>
          <w:lang w:eastAsia="zh-CN"/>
        </w:rPr>
      </w:pPr>
    </w:p>
    <w:p w:rsidR="00AB28E2" w:rsidRPr="009722BA" w:rsidRDefault="00283EBB" w:rsidP="00BF2C65">
      <w:pPr>
        <w:spacing w:line="240" w:lineRule="auto"/>
        <w:ind w:left="210" w:right="210"/>
        <w:rPr>
          <w:sz w:val="21"/>
          <w:szCs w:val="21"/>
          <w:lang w:eastAsia="zh-CN"/>
        </w:rPr>
      </w:pPr>
      <w:r w:rsidRPr="009722BA">
        <w:rPr>
          <w:rFonts w:hint="eastAsia"/>
          <w:sz w:val="21"/>
          <w:szCs w:val="21"/>
          <w:lang w:eastAsia="zh-CN"/>
        </w:rPr>
        <w:t xml:space="preserve"> </w:t>
      </w:r>
      <w:r w:rsidR="00062C54" w:rsidRPr="009722BA">
        <w:rPr>
          <w:rFonts w:hint="eastAsia"/>
          <w:sz w:val="21"/>
          <w:szCs w:val="21"/>
          <w:lang w:eastAsia="zh-CN"/>
        </w:rPr>
        <w:t>[1]</w:t>
      </w:r>
      <w:r w:rsidR="00062C54" w:rsidRPr="009722BA">
        <w:rPr>
          <w:rFonts w:hint="eastAsia"/>
          <w:sz w:val="21"/>
          <w:szCs w:val="21"/>
          <w:lang w:eastAsia="zh-CN"/>
        </w:rPr>
        <w:t>赵平</w:t>
      </w:r>
      <w:r w:rsidR="00062C54" w:rsidRPr="009722BA">
        <w:rPr>
          <w:rFonts w:hint="eastAsia"/>
          <w:sz w:val="21"/>
          <w:szCs w:val="21"/>
          <w:lang w:eastAsia="zh-CN"/>
        </w:rPr>
        <w:t>,</w:t>
      </w:r>
      <w:proofErr w:type="gramStart"/>
      <w:r w:rsidR="00062C54" w:rsidRPr="009722BA">
        <w:rPr>
          <w:rFonts w:hint="eastAsia"/>
          <w:sz w:val="21"/>
          <w:szCs w:val="21"/>
          <w:lang w:eastAsia="zh-CN"/>
        </w:rPr>
        <w:t>同继锋</w:t>
      </w:r>
      <w:proofErr w:type="gramEnd"/>
      <w:r w:rsidR="00062C54" w:rsidRPr="009722BA">
        <w:rPr>
          <w:rFonts w:hint="eastAsia"/>
          <w:sz w:val="21"/>
          <w:szCs w:val="21"/>
          <w:lang w:eastAsia="zh-CN"/>
        </w:rPr>
        <w:t>,</w:t>
      </w:r>
      <w:r w:rsidR="00062C54" w:rsidRPr="009722BA">
        <w:rPr>
          <w:rFonts w:hint="eastAsia"/>
          <w:sz w:val="21"/>
          <w:szCs w:val="21"/>
          <w:lang w:eastAsia="zh-CN"/>
        </w:rPr>
        <w:t>马</w:t>
      </w:r>
      <w:proofErr w:type="gramStart"/>
      <w:r w:rsidR="00062C54" w:rsidRPr="009722BA">
        <w:rPr>
          <w:rFonts w:hint="eastAsia"/>
          <w:sz w:val="21"/>
          <w:szCs w:val="21"/>
          <w:lang w:eastAsia="zh-CN"/>
        </w:rPr>
        <w:t>眷</w:t>
      </w:r>
      <w:proofErr w:type="gramEnd"/>
      <w:r w:rsidR="00062C54" w:rsidRPr="009722BA">
        <w:rPr>
          <w:rFonts w:hint="eastAsia"/>
          <w:sz w:val="21"/>
          <w:szCs w:val="21"/>
          <w:lang w:eastAsia="zh-CN"/>
        </w:rPr>
        <w:t>荣</w:t>
      </w:r>
      <w:r w:rsidR="00062C54" w:rsidRPr="009722BA">
        <w:rPr>
          <w:rFonts w:hint="eastAsia"/>
          <w:sz w:val="21"/>
          <w:szCs w:val="21"/>
          <w:lang w:eastAsia="zh-CN"/>
        </w:rPr>
        <w:t>.</w:t>
      </w:r>
      <w:r w:rsidR="00062C54" w:rsidRPr="009722BA">
        <w:rPr>
          <w:rFonts w:hint="eastAsia"/>
          <w:sz w:val="21"/>
          <w:szCs w:val="21"/>
          <w:lang w:eastAsia="zh-CN"/>
        </w:rPr>
        <w:t>建筑材料环境负荷指标及评价体系的研究</w:t>
      </w:r>
      <w:r w:rsidR="00062C54" w:rsidRPr="009722BA">
        <w:rPr>
          <w:rFonts w:hint="eastAsia"/>
          <w:sz w:val="21"/>
          <w:szCs w:val="21"/>
          <w:lang w:eastAsia="zh-CN"/>
        </w:rPr>
        <w:t>[J].</w:t>
      </w:r>
      <w:r w:rsidR="00062C54" w:rsidRPr="009722BA">
        <w:rPr>
          <w:rFonts w:hint="eastAsia"/>
          <w:sz w:val="21"/>
          <w:szCs w:val="21"/>
          <w:lang w:eastAsia="zh-CN"/>
        </w:rPr>
        <w:t>中国建材科技</w:t>
      </w:r>
      <w:r w:rsidR="00062C54" w:rsidRPr="009722BA">
        <w:rPr>
          <w:rFonts w:hint="eastAsia"/>
          <w:sz w:val="21"/>
          <w:szCs w:val="21"/>
          <w:lang w:eastAsia="zh-CN"/>
        </w:rPr>
        <w:t>,2004(06):</w:t>
      </w:r>
      <w:proofErr w:type="gramStart"/>
      <w:r w:rsidR="00062C54" w:rsidRPr="009722BA">
        <w:rPr>
          <w:rFonts w:hint="eastAsia"/>
          <w:sz w:val="21"/>
          <w:szCs w:val="21"/>
          <w:lang w:eastAsia="zh-CN"/>
        </w:rPr>
        <w:t>1-7.</w:t>
      </w:r>
      <w:proofErr w:type="gramEnd"/>
    </w:p>
    <w:p w:rsidR="00062C54" w:rsidRPr="009722BA" w:rsidRDefault="00062C54" w:rsidP="00BF2C65">
      <w:pPr>
        <w:spacing w:line="240" w:lineRule="auto"/>
        <w:ind w:left="210" w:right="210"/>
        <w:rPr>
          <w:sz w:val="21"/>
          <w:szCs w:val="21"/>
          <w:lang w:eastAsia="zh-CN"/>
        </w:rPr>
      </w:pPr>
      <w:r w:rsidRPr="009722BA">
        <w:rPr>
          <w:rFonts w:hint="eastAsia"/>
          <w:sz w:val="21"/>
          <w:szCs w:val="21"/>
          <w:lang w:eastAsia="zh-CN"/>
        </w:rPr>
        <w:t>[</w:t>
      </w:r>
      <w:r w:rsidR="005A4E4C" w:rsidRPr="009722BA">
        <w:rPr>
          <w:rFonts w:hint="eastAsia"/>
          <w:sz w:val="21"/>
          <w:szCs w:val="21"/>
          <w:lang w:eastAsia="zh-CN"/>
        </w:rPr>
        <w:t>2</w:t>
      </w:r>
      <w:r w:rsidRPr="009722BA">
        <w:rPr>
          <w:rFonts w:hint="eastAsia"/>
          <w:sz w:val="21"/>
          <w:szCs w:val="21"/>
          <w:lang w:eastAsia="zh-CN"/>
        </w:rPr>
        <w:t>]</w:t>
      </w:r>
      <w:proofErr w:type="gramStart"/>
      <w:r w:rsidRPr="009722BA">
        <w:rPr>
          <w:rFonts w:hint="eastAsia"/>
          <w:sz w:val="21"/>
          <w:szCs w:val="21"/>
          <w:lang w:eastAsia="zh-CN"/>
        </w:rPr>
        <w:t>燕艳</w:t>
      </w:r>
      <w:proofErr w:type="gramEnd"/>
      <w:r w:rsidRPr="009722BA">
        <w:rPr>
          <w:rFonts w:hint="eastAsia"/>
          <w:sz w:val="21"/>
          <w:szCs w:val="21"/>
          <w:lang w:eastAsia="zh-CN"/>
        </w:rPr>
        <w:t xml:space="preserve">. </w:t>
      </w:r>
      <w:r w:rsidRPr="009722BA">
        <w:rPr>
          <w:rFonts w:hint="eastAsia"/>
          <w:sz w:val="21"/>
          <w:szCs w:val="21"/>
          <w:lang w:eastAsia="zh-CN"/>
        </w:rPr>
        <w:t>浙江省建筑全生命周期能耗和</w:t>
      </w:r>
      <w:r w:rsidRPr="009722BA">
        <w:rPr>
          <w:rFonts w:hint="eastAsia"/>
          <w:sz w:val="21"/>
          <w:szCs w:val="21"/>
          <w:lang w:eastAsia="zh-CN"/>
        </w:rPr>
        <w:t>CO_2</w:t>
      </w:r>
      <w:r w:rsidRPr="009722BA">
        <w:rPr>
          <w:rFonts w:hint="eastAsia"/>
          <w:sz w:val="21"/>
          <w:szCs w:val="21"/>
          <w:lang w:eastAsia="zh-CN"/>
        </w:rPr>
        <w:t>排放评价研究</w:t>
      </w:r>
      <w:r w:rsidRPr="009722BA">
        <w:rPr>
          <w:rFonts w:hint="eastAsia"/>
          <w:sz w:val="21"/>
          <w:szCs w:val="21"/>
          <w:lang w:eastAsia="zh-CN"/>
        </w:rPr>
        <w:t>[D].</w:t>
      </w:r>
      <w:r w:rsidRPr="009722BA">
        <w:rPr>
          <w:rFonts w:hint="eastAsia"/>
          <w:sz w:val="21"/>
          <w:szCs w:val="21"/>
          <w:lang w:eastAsia="zh-CN"/>
        </w:rPr>
        <w:t>浙江大学</w:t>
      </w:r>
      <w:r w:rsidRPr="009722BA">
        <w:rPr>
          <w:rFonts w:hint="eastAsia"/>
          <w:sz w:val="21"/>
          <w:szCs w:val="21"/>
          <w:lang w:eastAsia="zh-CN"/>
        </w:rPr>
        <w:t>,2011.</w:t>
      </w:r>
    </w:p>
    <w:p w:rsidR="005A4E4C" w:rsidRPr="009722BA" w:rsidRDefault="005A4E4C" w:rsidP="005A4E4C">
      <w:pPr>
        <w:spacing w:line="240" w:lineRule="auto"/>
        <w:ind w:left="210" w:right="210"/>
        <w:rPr>
          <w:sz w:val="21"/>
          <w:szCs w:val="21"/>
          <w:lang w:eastAsia="zh-CN"/>
        </w:rPr>
      </w:pPr>
      <w:r w:rsidRPr="009722BA">
        <w:rPr>
          <w:rFonts w:hint="eastAsia"/>
          <w:sz w:val="21"/>
          <w:szCs w:val="21"/>
          <w:lang w:eastAsia="zh-CN"/>
        </w:rPr>
        <w:t>[3]</w:t>
      </w:r>
      <w:r w:rsidRPr="009722BA">
        <w:rPr>
          <w:rFonts w:hint="eastAsia"/>
          <w:sz w:val="21"/>
          <w:szCs w:val="21"/>
          <w:lang w:eastAsia="zh-CN"/>
        </w:rPr>
        <w:t>朱宋煜</w:t>
      </w:r>
      <w:r w:rsidRPr="009722BA">
        <w:rPr>
          <w:rFonts w:hint="eastAsia"/>
          <w:sz w:val="21"/>
          <w:szCs w:val="21"/>
          <w:lang w:eastAsia="zh-CN"/>
        </w:rPr>
        <w:t>,</w:t>
      </w:r>
      <w:r w:rsidRPr="009722BA">
        <w:rPr>
          <w:rFonts w:hint="eastAsia"/>
          <w:sz w:val="21"/>
          <w:szCs w:val="21"/>
          <w:lang w:eastAsia="zh-CN"/>
        </w:rPr>
        <w:t>王勇</w:t>
      </w:r>
      <w:r w:rsidRPr="009722BA">
        <w:rPr>
          <w:rFonts w:hint="eastAsia"/>
          <w:sz w:val="21"/>
          <w:szCs w:val="21"/>
          <w:lang w:eastAsia="zh-CN"/>
        </w:rPr>
        <w:t xml:space="preserve">. </w:t>
      </w:r>
      <w:r w:rsidRPr="009722BA">
        <w:rPr>
          <w:rFonts w:hint="eastAsia"/>
          <w:sz w:val="21"/>
          <w:szCs w:val="21"/>
          <w:lang w:eastAsia="zh-CN"/>
        </w:rPr>
        <w:t>装配整体式剪力墙结构预制率计算探讨</w:t>
      </w:r>
      <w:r w:rsidRPr="009722BA">
        <w:rPr>
          <w:rFonts w:hint="eastAsia"/>
          <w:sz w:val="21"/>
          <w:szCs w:val="21"/>
          <w:lang w:eastAsia="zh-CN"/>
        </w:rPr>
        <w:t xml:space="preserve">[J]. </w:t>
      </w:r>
      <w:r w:rsidRPr="009722BA">
        <w:rPr>
          <w:rFonts w:hint="eastAsia"/>
          <w:sz w:val="21"/>
          <w:szCs w:val="21"/>
          <w:lang w:eastAsia="zh-CN"/>
        </w:rPr>
        <w:t>建筑技术</w:t>
      </w:r>
      <w:r w:rsidRPr="009722BA">
        <w:rPr>
          <w:rFonts w:hint="eastAsia"/>
          <w:sz w:val="21"/>
          <w:szCs w:val="21"/>
          <w:lang w:eastAsia="zh-CN"/>
        </w:rPr>
        <w:t>,2016,47(z1):</w:t>
      </w:r>
      <w:proofErr w:type="gramStart"/>
      <w:r w:rsidRPr="009722BA">
        <w:rPr>
          <w:rFonts w:hint="eastAsia"/>
          <w:sz w:val="21"/>
          <w:szCs w:val="21"/>
          <w:lang w:eastAsia="zh-CN"/>
        </w:rPr>
        <w:t>104-106. DOI:10.3969/j.issn.1000-4726.2016.z1.036.</w:t>
      </w:r>
      <w:proofErr w:type="gramEnd"/>
    </w:p>
    <w:p w:rsidR="005A4E4C" w:rsidRDefault="00C93D2A" w:rsidP="00BF2C65">
      <w:pPr>
        <w:spacing w:line="240" w:lineRule="auto"/>
        <w:ind w:left="210" w:right="210"/>
        <w:rPr>
          <w:sz w:val="21"/>
          <w:szCs w:val="21"/>
          <w:lang w:eastAsia="zh-CN"/>
        </w:rPr>
      </w:pPr>
      <w:r w:rsidRPr="009722BA">
        <w:rPr>
          <w:rFonts w:hint="eastAsia"/>
          <w:sz w:val="21"/>
          <w:szCs w:val="21"/>
          <w:lang w:eastAsia="zh-CN"/>
        </w:rPr>
        <w:t>[4]</w:t>
      </w:r>
      <w:r w:rsidRPr="009722BA">
        <w:rPr>
          <w:rFonts w:hint="eastAsia"/>
          <w:sz w:val="21"/>
          <w:szCs w:val="21"/>
          <w:lang w:eastAsia="zh-CN"/>
        </w:rPr>
        <w:t>王广明</w:t>
      </w:r>
      <w:r w:rsidRPr="009722BA">
        <w:rPr>
          <w:rFonts w:hint="eastAsia"/>
          <w:sz w:val="21"/>
          <w:szCs w:val="21"/>
          <w:lang w:eastAsia="zh-CN"/>
        </w:rPr>
        <w:t>,</w:t>
      </w:r>
      <w:r w:rsidRPr="009722BA">
        <w:rPr>
          <w:rFonts w:hint="eastAsia"/>
          <w:sz w:val="21"/>
          <w:szCs w:val="21"/>
          <w:lang w:eastAsia="zh-CN"/>
        </w:rPr>
        <w:t>刘美霞</w:t>
      </w:r>
      <w:r w:rsidRPr="009722BA">
        <w:rPr>
          <w:rFonts w:hint="eastAsia"/>
          <w:sz w:val="21"/>
          <w:szCs w:val="21"/>
          <w:lang w:eastAsia="zh-CN"/>
        </w:rPr>
        <w:t>.</w:t>
      </w:r>
      <w:r w:rsidRPr="009722BA">
        <w:rPr>
          <w:rFonts w:hint="eastAsia"/>
          <w:sz w:val="21"/>
          <w:szCs w:val="21"/>
          <w:lang w:eastAsia="zh-CN"/>
        </w:rPr>
        <w:t>装配式混凝土建筑综合效益实证分析研究</w:t>
      </w:r>
      <w:r w:rsidRPr="009722BA">
        <w:rPr>
          <w:rFonts w:hint="eastAsia"/>
          <w:sz w:val="21"/>
          <w:szCs w:val="21"/>
          <w:lang w:eastAsia="zh-CN"/>
        </w:rPr>
        <w:t>[J].</w:t>
      </w:r>
      <w:r w:rsidRPr="009722BA">
        <w:rPr>
          <w:rFonts w:hint="eastAsia"/>
          <w:sz w:val="21"/>
          <w:szCs w:val="21"/>
          <w:lang w:eastAsia="zh-CN"/>
        </w:rPr>
        <w:t>建筑结构</w:t>
      </w:r>
      <w:r w:rsidRPr="009722BA">
        <w:rPr>
          <w:rFonts w:hint="eastAsia"/>
          <w:sz w:val="21"/>
          <w:szCs w:val="21"/>
          <w:lang w:eastAsia="zh-CN"/>
        </w:rPr>
        <w:t>,2017,47(10):32-38.DOI:10.19701/j.jzjg.2017.10.007.</w:t>
      </w:r>
    </w:p>
    <w:p w:rsidR="000D1464" w:rsidRDefault="000D1464" w:rsidP="00BF2C65">
      <w:pPr>
        <w:spacing w:line="240" w:lineRule="auto"/>
        <w:ind w:left="210" w:right="210"/>
        <w:rPr>
          <w:sz w:val="21"/>
          <w:szCs w:val="21"/>
          <w:lang w:eastAsia="zh-CN"/>
        </w:rPr>
      </w:pPr>
      <w:r>
        <w:rPr>
          <w:rFonts w:hint="eastAsia"/>
          <w:sz w:val="21"/>
          <w:szCs w:val="21"/>
          <w:lang w:eastAsia="zh-CN"/>
        </w:rPr>
        <w:t>[5]</w:t>
      </w:r>
      <w:r w:rsidRPr="000D1464">
        <w:rPr>
          <w:rFonts w:hint="eastAsia"/>
          <w:lang w:eastAsia="zh-CN"/>
        </w:rPr>
        <w:t xml:space="preserve"> </w:t>
      </w:r>
      <w:r w:rsidRPr="000D1464">
        <w:rPr>
          <w:rFonts w:hint="eastAsia"/>
          <w:sz w:val="21"/>
          <w:szCs w:val="21"/>
          <w:lang w:eastAsia="zh-CN"/>
        </w:rPr>
        <w:t>蒋小强</w:t>
      </w:r>
      <w:r w:rsidRPr="000D1464">
        <w:rPr>
          <w:rFonts w:hint="eastAsia"/>
          <w:sz w:val="21"/>
          <w:szCs w:val="21"/>
          <w:lang w:eastAsia="zh-CN"/>
        </w:rPr>
        <w:t>,</w:t>
      </w:r>
      <w:r w:rsidRPr="000D1464">
        <w:rPr>
          <w:rFonts w:hint="eastAsia"/>
          <w:sz w:val="21"/>
          <w:szCs w:val="21"/>
          <w:lang w:eastAsia="zh-CN"/>
        </w:rPr>
        <w:t>龙惟定</w:t>
      </w:r>
      <w:r w:rsidRPr="000D1464">
        <w:rPr>
          <w:rFonts w:hint="eastAsia"/>
          <w:sz w:val="21"/>
          <w:szCs w:val="21"/>
          <w:lang w:eastAsia="zh-CN"/>
        </w:rPr>
        <w:t>,</w:t>
      </w:r>
      <w:r w:rsidRPr="000D1464">
        <w:rPr>
          <w:rFonts w:hint="eastAsia"/>
          <w:sz w:val="21"/>
          <w:szCs w:val="21"/>
          <w:lang w:eastAsia="zh-CN"/>
        </w:rPr>
        <w:t>李敏</w:t>
      </w:r>
      <w:r w:rsidRPr="000D1464">
        <w:rPr>
          <w:rFonts w:hint="eastAsia"/>
          <w:sz w:val="21"/>
          <w:szCs w:val="21"/>
          <w:lang w:eastAsia="zh-CN"/>
        </w:rPr>
        <w:t>.</w:t>
      </w:r>
      <w:r w:rsidRPr="000D1464">
        <w:rPr>
          <w:rFonts w:hint="eastAsia"/>
          <w:sz w:val="21"/>
          <w:szCs w:val="21"/>
          <w:lang w:eastAsia="zh-CN"/>
        </w:rPr>
        <w:t>部分负荷下冷水机组运行方案的优化</w:t>
      </w:r>
      <w:r w:rsidRPr="000D1464">
        <w:rPr>
          <w:rFonts w:hint="eastAsia"/>
          <w:sz w:val="21"/>
          <w:szCs w:val="21"/>
          <w:lang w:eastAsia="zh-CN"/>
        </w:rPr>
        <w:t>[J].</w:t>
      </w:r>
      <w:r w:rsidRPr="000D1464">
        <w:rPr>
          <w:rFonts w:hint="eastAsia"/>
          <w:sz w:val="21"/>
          <w:szCs w:val="21"/>
          <w:lang w:eastAsia="zh-CN"/>
        </w:rPr>
        <w:t>制冷与空调</w:t>
      </w:r>
      <w:r w:rsidRPr="000D1464">
        <w:rPr>
          <w:rFonts w:hint="eastAsia"/>
          <w:sz w:val="21"/>
          <w:szCs w:val="21"/>
          <w:lang w:eastAsia="zh-CN"/>
        </w:rPr>
        <w:t>,2009,9(03):</w:t>
      </w:r>
      <w:proofErr w:type="gramStart"/>
      <w:r w:rsidRPr="000D1464">
        <w:rPr>
          <w:rFonts w:hint="eastAsia"/>
          <w:sz w:val="21"/>
          <w:szCs w:val="21"/>
          <w:lang w:eastAsia="zh-CN"/>
        </w:rPr>
        <w:t>96-97.</w:t>
      </w:r>
      <w:proofErr w:type="gramEnd"/>
    </w:p>
    <w:p w:rsidR="00DF5CB6" w:rsidRDefault="00DF5CB6" w:rsidP="00BF2C65">
      <w:pPr>
        <w:spacing w:line="240" w:lineRule="auto"/>
        <w:ind w:left="210" w:right="210"/>
        <w:rPr>
          <w:rFonts w:ascii="微软雅黑" w:eastAsia="微软雅黑" w:hAnsi="微软雅黑"/>
          <w:color w:val="222222"/>
          <w:sz w:val="16"/>
          <w:szCs w:val="16"/>
          <w:lang w:eastAsia="zh-CN"/>
        </w:rPr>
      </w:pPr>
      <w:r w:rsidRPr="00DF5CB6">
        <w:rPr>
          <w:rFonts w:ascii="微软雅黑" w:eastAsia="微软雅黑" w:hAnsi="微软雅黑" w:hint="eastAsia"/>
          <w:color w:val="222222"/>
          <w:sz w:val="16"/>
          <w:szCs w:val="16"/>
        </w:rPr>
        <w:t>[</w:t>
      </w:r>
      <w:r>
        <w:rPr>
          <w:rFonts w:ascii="微软雅黑" w:eastAsia="微软雅黑" w:hAnsi="微软雅黑" w:hint="eastAsia"/>
          <w:color w:val="222222"/>
          <w:sz w:val="16"/>
          <w:szCs w:val="16"/>
          <w:lang w:eastAsia="zh-CN"/>
        </w:rPr>
        <w:t>6</w:t>
      </w:r>
      <w:r w:rsidRPr="00DF5CB6">
        <w:rPr>
          <w:rFonts w:ascii="微软雅黑" w:eastAsia="微软雅黑" w:hAnsi="微软雅黑" w:hint="eastAsia"/>
          <w:color w:val="222222"/>
          <w:sz w:val="16"/>
          <w:szCs w:val="16"/>
        </w:rPr>
        <w:t xml:space="preserve">] </w:t>
      </w:r>
      <w:proofErr w:type="spellStart"/>
      <w:r w:rsidRPr="00DF5CB6">
        <w:rPr>
          <w:rFonts w:ascii="微软雅黑" w:eastAsia="微软雅黑" w:hAnsi="微软雅黑" w:hint="eastAsia"/>
          <w:color w:val="222222"/>
          <w:sz w:val="16"/>
          <w:szCs w:val="16"/>
        </w:rPr>
        <w:t>Mishra</w:t>
      </w:r>
      <w:proofErr w:type="spellEnd"/>
      <w:r w:rsidRPr="00DF5CB6">
        <w:rPr>
          <w:rFonts w:ascii="微软雅黑" w:eastAsia="微软雅黑" w:hAnsi="微软雅黑" w:hint="eastAsia"/>
          <w:color w:val="222222"/>
          <w:sz w:val="16"/>
          <w:szCs w:val="16"/>
        </w:rPr>
        <w:t xml:space="preserve"> G </w:t>
      </w:r>
      <w:proofErr w:type="gramStart"/>
      <w:r w:rsidRPr="00DF5CB6">
        <w:rPr>
          <w:rFonts w:ascii="微软雅黑" w:eastAsia="微软雅黑" w:hAnsi="微软雅黑" w:hint="eastAsia"/>
          <w:color w:val="222222"/>
          <w:sz w:val="16"/>
          <w:szCs w:val="16"/>
        </w:rPr>
        <w:t>K ,</w:t>
      </w:r>
      <w:proofErr w:type="gramEnd"/>
      <w:r w:rsidRPr="00DF5CB6">
        <w:rPr>
          <w:rFonts w:ascii="微软雅黑" w:eastAsia="微软雅黑" w:hAnsi="微软雅黑" w:hint="eastAsia"/>
          <w:color w:val="222222"/>
          <w:sz w:val="16"/>
          <w:szCs w:val="16"/>
        </w:rPr>
        <w:t xml:space="preserve"> </w:t>
      </w:r>
      <w:proofErr w:type="spellStart"/>
      <w:r w:rsidRPr="00DF5CB6">
        <w:rPr>
          <w:rFonts w:ascii="微软雅黑" w:eastAsia="微软雅黑" w:hAnsi="微软雅黑" w:hint="eastAsia"/>
          <w:color w:val="222222"/>
          <w:sz w:val="16"/>
          <w:szCs w:val="16"/>
        </w:rPr>
        <w:t>Tiwari</w:t>
      </w:r>
      <w:proofErr w:type="spellEnd"/>
      <w:r w:rsidRPr="00DF5CB6">
        <w:rPr>
          <w:rFonts w:ascii="微软雅黑" w:eastAsia="微软雅黑" w:hAnsi="微软雅黑" w:hint="eastAsia"/>
          <w:color w:val="222222"/>
          <w:sz w:val="16"/>
          <w:szCs w:val="16"/>
        </w:rPr>
        <w:t xml:space="preserve"> G N , </w:t>
      </w:r>
      <w:proofErr w:type="spellStart"/>
      <w:r w:rsidRPr="00DF5CB6">
        <w:rPr>
          <w:rFonts w:ascii="微软雅黑" w:eastAsia="微软雅黑" w:hAnsi="微软雅黑" w:hint="eastAsia"/>
          <w:color w:val="222222"/>
          <w:sz w:val="16"/>
          <w:szCs w:val="16"/>
        </w:rPr>
        <w:t>Bhatti</w:t>
      </w:r>
      <w:proofErr w:type="spellEnd"/>
      <w:r w:rsidRPr="00DF5CB6">
        <w:rPr>
          <w:rFonts w:ascii="微软雅黑" w:eastAsia="微软雅黑" w:hAnsi="微软雅黑" w:hint="eastAsia"/>
          <w:color w:val="222222"/>
          <w:sz w:val="16"/>
          <w:szCs w:val="16"/>
        </w:rPr>
        <w:t xml:space="preserve"> T S . Effect of water flow on performance of building integrated semi-transparent photovoltaic thermal system: A comparative </w:t>
      </w:r>
      <w:proofErr w:type="gramStart"/>
      <w:r w:rsidRPr="00DF5CB6">
        <w:rPr>
          <w:rFonts w:ascii="微软雅黑" w:eastAsia="微软雅黑" w:hAnsi="微软雅黑" w:hint="eastAsia"/>
          <w:color w:val="222222"/>
          <w:sz w:val="16"/>
          <w:szCs w:val="16"/>
        </w:rPr>
        <w:t>study[</w:t>
      </w:r>
      <w:proofErr w:type="gramEnd"/>
      <w:r w:rsidRPr="00DF5CB6">
        <w:rPr>
          <w:rFonts w:ascii="微软雅黑" w:eastAsia="微软雅黑" w:hAnsi="微软雅黑" w:hint="eastAsia"/>
          <w:color w:val="222222"/>
          <w:sz w:val="16"/>
          <w:szCs w:val="16"/>
        </w:rPr>
        <w:t>J]. Solar Energy, 2018, 174:248-262.</w:t>
      </w:r>
    </w:p>
    <w:p w:rsidR="00DF5CB6" w:rsidRDefault="00DF5CB6" w:rsidP="00BF2C65">
      <w:pPr>
        <w:spacing w:line="240" w:lineRule="auto"/>
        <w:ind w:left="210" w:right="210"/>
        <w:rPr>
          <w:rFonts w:ascii="微软雅黑" w:eastAsia="微软雅黑" w:hAnsi="微软雅黑"/>
          <w:color w:val="222222"/>
          <w:sz w:val="16"/>
          <w:szCs w:val="16"/>
          <w:lang w:eastAsia="zh-CN"/>
        </w:rPr>
      </w:pPr>
      <w:r>
        <w:rPr>
          <w:rFonts w:ascii="微软雅黑" w:eastAsia="微软雅黑" w:hAnsi="微软雅黑" w:hint="eastAsia"/>
          <w:color w:val="222222"/>
          <w:sz w:val="16"/>
          <w:szCs w:val="16"/>
          <w:lang w:eastAsia="zh-CN"/>
        </w:rPr>
        <w:t>[7]</w:t>
      </w:r>
      <w:r w:rsidRPr="00DF5CB6">
        <w:rPr>
          <w:rFonts w:hint="eastAsia"/>
          <w:lang w:eastAsia="zh-CN"/>
        </w:rPr>
        <w:t xml:space="preserve"> </w:t>
      </w:r>
      <w:proofErr w:type="gramStart"/>
      <w:r w:rsidRPr="00DF5CB6">
        <w:rPr>
          <w:rFonts w:ascii="微软雅黑" w:eastAsia="微软雅黑" w:hAnsi="微软雅黑" w:hint="eastAsia"/>
          <w:color w:val="222222"/>
          <w:sz w:val="16"/>
          <w:szCs w:val="16"/>
          <w:lang w:eastAsia="zh-CN"/>
        </w:rPr>
        <w:t>许海园</w:t>
      </w:r>
      <w:proofErr w:type="gramEnd"/>
      <w:r w:rsidRPr="00DF5CB6">
        <w:rPr>
          <w:rFonts w:ascii="微软雅黑" w:eastAsia="微软雅黑" w:hAnsi="微软雅黑" w:hint="eastAsia"/>
          <w:color w:val="222222"/>
          <w:sz w:val="16"/>
          <w:szCs w:val="16"/>
          <w:lang w:eastAsia="zh-CN"/>
        </w:rPr>
        <w:t>,周建强,张兴,李玉娜.太阳能光伏光热一体化PV/T组件的实验研究[J].能源研究与管理,2019(03):53-56+75.DOI:10.16056/j.1005-7676.2019.03.015.</w:t>
      </w:r>
    </w:p>
    <w:p w:rsidR="00E073BD" w:rsidRDefault="00E073BD" w:rsidP="00BF2C65">
      <w:pPr>
        <w:spacing w:line="240" w:lineRule="auto"/>
        <w:ind w:left="210" w:right="210"/>
        <w:rPr>
          <w:sz w:val="21"/>
          <w:szCs w:val="21"/>
          <w:lang w:eastAsia="zh-CN"/>
        </w:rPr>
      </w:pPr>
      <w:r w:rsidRPr="00E073BD">
        <w:rPr>
          <w:rFonts w:hint="eastAsia"/>
          <w:sz w:val="21"/>
          <w:szCs w:val="21"/>
          <w:lang w:eastAsia="zh-CN"/>
        </w:rPr>
        <w:t>[</w:t>
      </w:r>
      <w:r>
        <w:rPr>
          <w:rFonts w:hint="eastAsia"/>
          <w:sz w:val="21"/>
          <w:szCs w:val="21"/>
          <w:lang w:eastAsia="zh-CN"/>
        </w:rPr>
        <w:t>8</w:t>
      </w:r>
      <w:r w:rsidRPr="00E073BD">
        <w:rPr>
          <w:rFonts w:hint="eastAsia"/>
          <w:sz w:val="21"/>
          <w:szCs w:val="21"/>
          <w:lang w:eastAsia="zh-CN"/>
        </w:rPr>
        <w:t>]</w:t>
      </w:r>
      <w:r w:rsidRPr="00E073BD">
        <w:rPr>
          <w:rFonts w:hint="eastAsia"/>
          <w:sz w:val="21"/>
          <w:szCs w:val="21"/>
          <w:lang w:eastAsia="zh-CN"/>
        </w:rPr>
        <w:t>戴小明</w:t>
      </w:r>
      <w:r w:rsidRPr="00E073BD">
        <w:rPr>
          <w:rFonts w:hint="eastAsia"/>
          <w:sz w:val="21"/>
          <w:szCs w:val="21"/>
          <w:lang w:eastAsia="zh-CN"/>
        </w:rPr>
        <w:t>,</w:t>
      </w:r>
      <w:r w:rsidRPr="00E073BD">
        <w:rPr>
          <w:rFonts w:hint="eastAsia"/>
          <w:sz w:val="21"/>
          <w:szCs w:val="21"/>
          <w:lang w:eastAsia="zh-CN"/>
        </w:rPr>
        <w:t>卜云峰</w:t>
      </w:r>
      <w:r w:rsidRPr="00E073BD">
        <w:rPr>
          <w:rFonts w:hint="eastAsia"/>
          <w:sz w:val="21"/>
          <w:szCs w:val="21"/>
          <w:lang w:eastAsia="zh-CN"/>
        </w:rPr>
        <w:t>.</w:t>
      </w:r>
      <w:r w:rsidRPr="00E073BD">
        <w:rPr>
          <w:rFonts w:hint="eastAsia"/>
          <w:sz w:val="21"/>
          <w:szCs w:val="21"/>
          <w:lang w:eastAsia="zh-CN"/>
        </w:rPr>
        <w:t>家用燃气灶具热效率提升研究</w:t>
      </w:r>
      <w:r w:rsidRPr="00E073BD">
        <w:rPr>
          <w:rFonts w:hint="eastAsia"/>
          <w:sz w:val="21"/>
          <w:szCs w:val="21"/>
          <w:lang w:eastAsia="zh-CN"/>
        </w:rPr>
        <w:t>[J].</w:t>
      </w:r>
      <w:r w:rsidRPr="00E073BD">
        <w:rPr>
          <w:rFonts w:hint="eastAsia"/>
          <w:sz w:val="21"/>
          <w:szCs w:val="21"/>
          <w:lang w:eastAsia="zh-CN"/>
        </w:rPr>
        <w:t>日用电器</w:t>
      </w:r>
      <w:r w:rsidRPr="00E073BD">
        <w:rPr>
          <w:rFonts w:hint="eastAsia"/>
          <w:sz w:val="21"/>
          <w:szCs w:val="21"/>
          <w:lang w:eastAsia="zh-CN"/>
        </w:rPr>
        <w:t>,2022(02):</w:t>
      </w:r>
      <w:proofErr w:type="gramStart"/>
      <w:r w:rsidRPr="00E073BD">
        <w:rPr>
          <w:rFonts w:hint="eastAsia"/>
          <w:sz w:val="21"/>
          <w:szCs w:val="21"/>
          <w:lang w:eastAsia="zh-CN"/>
        </w:rPr>
        <w:t>89-91+96.</w:t>
      </w:r>
      <w:proofErr w:type="gramEnd"/>
    </w:p>
    <w:p w:rsidR="00857770" w:rsidRDefault="00857770" w:rsidP="00BF2C65">
      <w:pPr>
        <w:spacing w:line="240" w:lineRule="auto"/>
        <w:ind w:left="210" w:right="210"/>
        <w:rPr>
          <w:sz w:val="21"/>
          <w:szCs w:val="21"/>
          <w:lang w:eastAsia="zh-CN"/>
        </w:rPr>
      </w:pPr>
      <w:r w:rsidRPr="00857770">
        <w:rPr>
          <w:rFonts w:hint="eastAsia"/>
          <w:sz w:val="21"/>
          <w:szCs w:val="21"/>
          <w:lang w:eastAsia="zh-CN"/>
        </w:rPr>
        <w:t>[</w:t>
      </w:r>
      <w:r>
        <w:rPr>
          <w:rFonts w:hint="eastAsia"/>
          <w:sz w:val="21"/>
          <w:szCs w:val="21"/>
          <w:lang w:eastAsia="zh-CN"/>
        </w:rPr>
        <w:t>9</w:t>
      </w:r>
      <w:r w:rsidRPr="00857770">
        <w:rPr>
          <w:rFonts w:hint="eastAsia"/>
          <w:sz w:val="21"/>
          <w:szCs w:val="21"/>
          <w:lang w:eastAsia="zh-CN"/>
        </w:rPr>
        <w:t>]</w:t>
      </w:r>
      <w:proofErr w:type="gramStart"/>
      <w:r w:rsidRPr="00857770">
        <w:rPr>
          <w:rFonts w:hint="eastAsia"/>
          <w:sz w:val="21"/>
          <w:szCs w:val="21"/>
          <w:lang w:eastAsia="zh-CN"/>
        </w:rPr>
        <w:t>赵镜</w:t>
      </w:r>
      <w:proofErr w:type="gramEnd"/>
      <w:r w:rsidRPr="00857770">
        <w:rPr>
          <w:rFonts w:hint="eastAsia"/>
          <w:sz w:val="21"/>
          <w:szCs w:val="21"/>
          <w:lang w:eastAsia="zh-CN"/>
        </w:rPr>
        <w:t xml:space="preserve">. </w:t>
      </w:r>
      <w:r w:rsidRPr="00857770">
        <w:rPr>
          <w:rFonts w:hint="eastAsia"/>
          <w:sz w:val="21"/>
          <w:szCs w:val="21"/>
          <w:lang w:eastAsia="zh-CN"/>
        </w:rPr>
        <w:t>中餐厨房燃具烟气余热回收技术研究</w:t>
      </w:r>
      <w:r w:rsidRPr="00857770">
        <w:rPr>
          <w:rFonts w:hint="eastAsia"/>
          <w:sz w:val="21"/>
          <w:szCs w:val="21"/>
          <w:lang w:eastAsia="zh-CN"/>
        </w:rPr>
        <w:t>[D].</w:t>
      </w:r>
      <w:r w:rsidRPr="00857770">
        <w:rPr>
          <w:rFonts w:hint="eastAsia"/>
          <w:sz w:val="21"/>
          <w:szCs w:val="21"/>
          <w:lang w:eastAsia="zh-CN"/>
        </w:rPr>
        <w:t>重庆大学</w:t>
      </w:r>
      <w:r w:rsidRPr="00857770">
        <w:rPr>
          <w:rFonts w:hint="eastAsia"/>
          <w:sz w:val="21"/>
          <w:szCs w:val="21"/>
          <w:lang w:eastAsia="zh-CN"/>
        </w:rPr>
        <w:t>,2019.DOI:10.27670/d.cnki.gcqdu.2019.000028.</w:t>
      </w:r>
    </w:p>
    <w:p w:rsidR="003537BB" w:rsidRDefault="003537BB" w:rsidP="00BF2C65">
      <w:pPr>
        <w:spacing w:line="240" w:lineRule="auto"/>
        <w:ind w:left="210" w:right="210"/>
        <w:rPr>
          <w:sz w:val="21"/>
          <w:szCs w:val="21"/>
          <w:lang w:eastAsia="zh-CN"/>
        </w:rPr>
      </w:pPr>
      <w:r w:rsidRPr="003537BB">
        <w:rPr>
          <w:rFonts w:hint="eastAsia"/>
          <w:sz w:val="21"/>
          <w:szCs w:val="21"/>
          <w:lang w:eastAsia="zh-CN"/>
        </w:rPr>
        <w:t>[</w:t>
      </w:r>
      <w:r>
        <w:rPr>
          <w:rFonts w:hint="eastAsia"/>
          <w:sz w:val="21"/>
          <w:szCs w:val="21"/>
          <w:lang w:eastAsia="zh-CN"/>
        </w:rPr>
        <w:t>10</w:t>
      </w:r>
      <w:r w:rsidRPr="003537BB">
        <w:rPr>
          <w:rFonts w:hint="eastAsia"/>
          <w:sz w:val="21"/>
          <w:szCs w:val="21"/>
          <w:lang w:eastAsia="zh-CN"/>
        </w:rPr>
        <w:t>]</w:t>
      </w:r>
      <w:r w:rsidRPr="003537BB">
        <w:rPr>
          <w:rFonts w:hint="eastAsia"/>
          <w:sz w:val="21"/>
          <w:szCs w:val="21"/>
          <w:lang w:eastAsia="zh-CN"/>
        </w:rPr>
        <w:t>林佳琳</w:t>
      </w:r>
      <w:r w:rsidRPr="003537BB">
        <w:rPr>
          <w:rFonts w:hint="eastAsia"/>
          <w:sz w:val="21"/>
          <w:szCs w:val="21"/>
          <w:lang w:eastAsia="zh-CN"/>
        </w:rPr>
        <w:t>,</w:t>
      </w:r>
      <w:r w:rsidRPr="003537BB">
        <w:rPr>
          <w:rFonts w:hint="eastAsia"/>
          <w:sz w:val="21"/>
          <w:szCs w:val="21"/>
          <w:lang w:eastAsia="zh-CN"/>
        </w:rPr>
        <w:t>刘恒</w:t>
      </w:r>
      <w:r w:rsidRPr="003537BB">
        <w:rPr>
          <w:rFonts w:hint="eastAsia"/>
          <w:sz w:val="21"/>
          <w:szCs w:val="21"/>
          <w:lang w:eastAsia="zh-CN"/>
        </w:rPr>
        <w:t>,</w:t>
      </w:r>
      <w:r w:rsidRPr="003537BB">
        <w:rPr>
          <w:rFonts w:hint="eastAsia"/>
          <w:sz w:val="21"/>
          <w:szCs w:val="21"/>
          <w:lang w:eastAsia="zh-CN"/>
        </w:rPr>
        <w:t>王斌</w:t>
      </w:r>
      <w:r w:rsidRPr="003537BB">
        <w:rPr>
          <w:rFonts w:hint="eastAsia"/>
          <w:sz w:val="21"/>
          <w:szCs w:val="21"/>
          <w:lang w:eastAsia="zh-CN"/>
        </w:rPr>
        <w:t>.</w:t>
      </w:r>
      <w:r w:rsidRPr="003537BB">
        <w:rPr>
          <w:rFonts w:hint="eastAsia"/>
          <w:sz w:val="21"/>
          <w:szCs w:val="21"/>
          <w:lang w:eastAsia="zh-CN"/>
        </w:rPr>
        <w:t>夏热冬</w:t>
      </w:r>
      <w:proofErr w:type="gramStart"/>
      <w:r w:rsidRPr="003537BB">
        <w:rPr>
          <w:rFonts w:hint="eastAsia"/>
          <w:sz w:val="21"/>
          <w:szCs w:val="21"/>
          <w:lang w:eastAsia="zh-CN"/>
        </w:rPr>
        <w:t>暖地区</w:t>
      </w:r>
      <w:proofErr w:type="gramEnd"/>
      <w:r w:rsidRPr="003537BB">
        <w:rPr>
          <w:rFonts w:hint="eastAsia"/>
          <w:sz w:val="21"/>
          <w:szCs w:val="21"/>
          <w:lang w:eastAsia="zh-CN"/>
        </w:rPr>
        <w:t>既有建筑遮阳措施对比分析</w:t>
      </w:r>
      <w:r w:rsidRPr="003537BB">
        <w:rPr>
          <w:rFonts w:hint="eastAsia"/>
          <w:sz w:val="21"/>
          <w:szCs w:val="21"/>
          <w:lang w:eastAsia="zh-CN"/>
        </w:rPr>
        <w:t>[J].</w:t>
      </w:r>
      <w:r w:rsidRPr="003537BB">
        <w:rPr>
          <w:rFonts w:hint="eastAsia"/>
          <w:sz w:val="21"/>
          <w:szCs w:val="21"/>
          <w:lang w:eastAsia="zh-CN"/>
        </w:rPr>
        <w:t>城市住宅</w:t>
      </w:r>
      <w:r w:rsidRPr="003537BB">
        <w:rPr>
          <w:rFonts w:hint="eastAsia"/>
          <w:sz w:val="21"/>
          <w:szCs w:val="21"/>
          <w:lang w:eastAsia="zh-CN"/>
        </w:rPr>
        <w:t>,2020,27(02):</w:t>
      </w:r>
      <w:proofErr w:type="gramStart"/>
      <w:r w:rsidRPr="003537BB">
        <w:rPr>
          <w:rFonts w:hint="eastAsia"/>
          <w:sz w:val="21"/>
          <w:szCs w:val="21"/>
          <w:lang w:eastAsia="zh-CN"/>
        </w:rPr>
        <w:t>54-57.</w:t>
      </w:r>
      <w:proofErr w:type="gramEnd"/>
    </w:p>
    <w:p w:rsidR="00834BA2" w:rsidRDefault="00834BA2" w:rsidP="00BF2C65">
      <w:pPr>
        <w:spacing w:line="240" w:lineRule="auto"/>
        <w:ind w:left="210" w:right="210"/>
        <w:rPr>
          <w:rFonts w:ascii="微软雅黑" w:eastAsia="微软雅黑" w:hAnsi="微软雅黑"/>
          <w:color w:val="222222"/>
          <w:sz w:val="16"/>
          <w:szCs w:val="16"/>
          <w:lang w:eastAsia="zh-CN"/>
        </w:rPr>
      </w:pPr>
      <w:r w:rsidRPr="00771104">
        <w:rPr>
          <w:rFonts w:ascii="微软雅黑" w:eastAsia="微软雅黑" w:hAnsi="微软雅黑" w:hint="eastAsia"/>
          <w:color w:val="222222"/>
          <w:sz w:val="16"/>
          <w:szCs w:val="16"/>
          <w:lang w:eastAsia="zh-CN"/>
        </w:rPr>
        <w:t>[</w:t>
      </w:r>
      <w:r w:rsidR="003537BB">
        <w:rPr>
          <w:rFonts w:ascii="微软雅黑" w:eastAsia="微软雅黑" w:hAnsi="微软雅黑" w:hint="eastAsia"/>
          <w:color w:val="222222"/>
          <w:sz w:val="16"/>
          <w:szCs w:val="16"/>
          <w:lang w:eastAsia="zh-CN"/>
        </w:rPr>
        <w:t>11</w:t>
      </w:r>
      <w:r w:rsidRPr="00771104">
        <w:rPr>
          <w:rFonts w:ascii="微软雅黑" w:eastAsia="微软雅黑" w:hAnsi="微软雅黑" w:hint="eastAsia"/>
          <w:color w:val="222222"/>
          <w:sz w:val="16"/>
          <w:szCs w:val="16"/>
          <w:lang w:eastAsia="zh-CN"/>
        </w:rPr>
        <w:t>]姜俞龙. 办公建筑遮阳与照明协同控制策略研究——以郑州市为例[D]. 中原工学院.</w:t>
      </w:r>
    </w:p>
    <w:p w:rsidR="00057002" w:rsidRDefault="00057002" w:rsidP="00BF2C65">
      <w:pPr>
        <w:spacing w:line="240" w:lineRule="auto"/>
        <w:ind w:left="210" w:right="210"/>
        <w:rPr>
          <w:sz w:val="21"/>
          <w:szCs w:val="21"/>
          <w:lang w:eastAsia="zh-CN"/>
        </w:rPr>
      </w:pPr>
      <w:r w:rsidRPr="00057002">
        <w:rPr>
          <w:rFonts w:hint="eastAsia"/>
          <w:sz w:val="21"/>
          <w:szCs w:val="21"/>
          <w:lang w:eastAsia="zh-CN"/>
        </w:rPr>
        <w:lastRenderedPageBreak/>
        <w:t>[</w:t>
      </w:r>
      <w:r w:rsidR="003537BB">
        <w:rPr>
          <w:rFonts w:hint="eastAsia"/>
          <w:sz w:val="21"/>
          <w:szCs w:val="21"/>
          <w:lang w:eastAsia="zh-CN"/>
        </w:rPr>
        <w:t>12</w:t>
      </w:r>
      <w:r w:rsidRPr="00057002">
        <w:rPr>
          <w:rFonts w:hint="eastAsia"/>
          <w:sz w:val="21"/>
          <w:szCs w:val="21"/>
          <w:lang w:eastAsia="zh-CN"/>
        </w:rPr>
        <w:t>]</w:t>
      </w:r>
      <w:r w:rsidRPr="00057002">
        <w:rPr>
          <w:rFonts w:hint="eastAsia"/>
          <w:sz w:val="21"/>
          <w:szCs w:val="21"/>
          <w:lang w:eastAsia="zh-CN"/>
        </w:rPr>
        <w:t>李明</w:t>
      </w:r>
      <w:r w:rsidRPr="00057002">
        <w:rPr>
          <w:rFonts w:hint="eastAsia"/>
          <w:sz w:val="21"/>
          <w:szCs w:val="21"/>
          <w:lang w:eastAsia="zh-CN"/>
        </w:rPr>
        <w:t>.</w:t>
      </w:r>
      <w:r w:rsidRPr="00057002">
        <w:rPr>
          <w:rFonts w:hint="eastAsia"/>
          <w:sz w:val="21"/>
          <w:szCs w:val="21"/>
          <w:lang w:eastAsia="zh-CN"/>
        </w:rPr>
        <w:t>计算机、显示器产品国内外能效要求对比分析</w:t>
      </w:r>
      <w:r w:rsidRPr="00057002">
        <w:rPr>
          <w:rFonts w:hint="eastAsia"/>
          <w:sz w:val="21"/>
          <w:szCs w:val="21"/>
          <w:lang w:eastAsia="zh-CN"/>
        </w:rPr>
        <w:t>(</w:t>
      </w:r>
      <w:r w:rsidRPr="00057002">
        <w:rPr>
          <w:rFonts w:hint="eastAsia"/>
          <w:sz w:val="21"/>
          <w:szCs w:val="21"/>
          <w:lang w:eastAsia="zh-CN"/>
        </w:rPr>
        <w:t>下</w:t>
      </w:r>
      <w:r w:rsidRPr="00057002">
        <w:rPr>
          <w:rFonts w:hint="eastAsia"/>
          <w:sz w:val="21"/>
          <w:szCs w:val="21"/>
          <w:lang w:eastAsia="zh-CN"/>
        </w:rPr>
        <w:t>)[J].</w:t>
      </w:r>
      <w:r w:rsidRPr="00057002">
        <w:rPr>
          <w:rFonts w:hint="eastAsia"/>
          <w:sz w:val="21"/>
          <w:szCs w:val="21"/>
          <w:lang w:eastAsia="zh-CN"/>
        </w:rPr>
        <w:t>信息技术与标准化</w:t>
      </w:r>
      <w:r w:rsidRPr="00057002">
        <w:rPr>
          <w:rFonts w:hint="eastAsia"/>
          <w:sz w:val="21"/>
          <w:szCs w:val="21"/>
          <w:lang w:eastAsia="zh-CN"/>
        </w:rPr>
        <w:t>,2011(08):</w:t>
      </w:r>
      <w:proofErr w:type="gramStart"/>
      <w:r w:rsidRPr="00057002">
        <w:rPr>
          <w:rFonts w:hint="eastAsia"/>
          <w:sz w:val="21"/>
          <w:szCs w:val="21"/>
          <w:lang w:eastAsia="zh-CN"/>
        </w:rPr>
        <w:t>42-45.</w:t>
      </w:r>
      <w:proofErr w:type="gramEnd"/>
    </w:p>
    <w:p w:rsidR="000F131B" w:rsidRDefault="000F131B" w:rsidP="00BF2C65">
      <w:pPr>
        <w:spacing w:line="240" w:lineRule="auto"/>
        <w:ind w:left="210" w:right="210"/>
        <w:rPr>
          <w:sz w:val="21"/>
          <w:szCs w:val="21"/>
          <w:lang w:eastAsia="zh-CN"/>
        </w:rPr>
      </w:pPr>
      <w:r w:rsidRPr="000F131B">
        <w:rPr>
          <w:rFonts w:hint="eastAsia"/>
          <w:sz w:val="21"/>
          <w:szCs w:val="21"/>
          <w:lang w:eastAsia="zh-CN"/>
        </w:rPr>
        <w:t>[</w:t>
      </w:r>
      <w:r w:rsidR="003537BB">
        <w:rPr>
          <w:rFonts w:hint="eastAsia"/>
          <w:sz w:val="21"/>
          <w:szCs w:val="21"/>
          <w:lang w:eastAsia="zh-CN"/>
        </w:rPr>
        <w:t>13</w:t>
      </w:r>
      <w:r w:rsidRPr="000F131B">
        <w:rPr>
          <w:rFonts w:hint="eastAsia"/>
          <w:sz w:val="21"/>
          <w:szCs w:val="21"/>
          <w:lang w:eastAsia="zh-CN"/>
        </w:rPr>
        <w:t>]</w:t>
      </w:r>
      <w:r w:rsidRPr="000F131B">
        <w:rPr>
          <w:rFonts w:hint="eastAsia"/>
          <w:sz w:val="21"/>
          <w:szCs w:val="21"/>
          <w:lang w:eastAsia="zh-CN"/>
        </w:rPr>
        <w:t>胡宾</w:t>
      </w:r>
      <w:r w:rsidRPr="000F131B">
        <w:rPr>
          <w:rFonts w:hint="eastAsia"/>
          <w:sz w:val="21"/>
          <w:szCs w:val="21"/>
          <w:lang w:eastAsia="zh-CN"/>
        </w:rPr>
        <w:t>,</w:t>
      </w:r>
      <w:r w:rsidRPr="000F131B">
        <w:rPr>
          <w:rFonts w:hint="eastAsia"/>
          <w:sz w:val="21"/>
          <w:szCs w:val="21"/>
          <w:lang w:eastAsia="zh-CN"/>
        </w:rPr>
        <w:t>俞准</w:t>
      </w:r>
      <w:r w:rsidRPr="000F131B">
        <w:rPr>
          <w:rFonts w:hint="eastAsia"/>
          <w:sz w:val="21"/>
          <w:szCs w:val="21"/>
          <w:lang w:eastAsia="zh-CN"/>
        </w:rPr>
        <w:t>,</w:t>
      </w:r>
      <w:r w:rsidRPr="000F131B">
        <w:rPr>
          <w:rFonts w:hint="eastAsia"/>
          <w:sz w:val="21"/>
          <w:szCs w:val="21"/>
          <w:lang w:eastAsia="zh-CN"/>
        </w:rPr>
        <w:t>李郡</w:t>
      </w:r>
      <w:r w:rsidRPr="000F131B">
        <w:rPr>
          <w:rFonts w:hint="eastAsia"/>
          <w:sz w:val="21"/>
          <w:szCs w:val="21"/>
          <w:lang w:eastAsia="zh-CN"/>
        </w:rPr>
        <w:t>,</w:t>
      </w:r>
      <w:r w:rsidRPr="000F131B">
        <w:rPr>
          <w:rFonts w:hint="eastAsia"/>
          <w:sz w:val="21"/>
          <w:szCs w:val="21"/>
          <w:lang w:eastAsia="zh-CN"/>
        </w:rPr>
        <w:t>张国强</w:t>
      </w:r>
      <w:r w:rsidRPr="000F131B">
        <w:rPr>
          <w:rFonts w:hint="eastAsia"/>
          <w:sz w:val="21"/>
          <w:szCs w:val="21"/>
          <w:lang w:eastAsia="zh-CN"/>
        </w:rPr>
        <w:t>.</w:t>
      </w:r>
      <w:r w:rsidRPr="000F131B">
        <w:rPr>
          <w:rFonts w:hint="eastAsia"/>
          <w:sz w:val="21"/>
          <w:szCs w:val="21"/>
          <w:lang w:eastAsia="zh-CN"/>
        </w:rPr>
        <w:t>高校建筑电器待机能耗调查及行为分析</w:t>
      </w:r>
      <w:r w:rsidRPr="000F131B">
        <w:rPr>
          <w:rFonts w:hint="eastAsia"/>
          <w:sz w:val="21"/>
          <w:szCs w:val="21"/>
          <w:lang w:eastAsia="zh-CN"/>
        </w:rPr>
        <w:t>[J].</w:t>
      </w:r>
      <w:r w:rsidRPr="000F131B">
        <w:rPr>
          <w:rFonts w:hint="eastAsia"/>
          <w:sz w:val="21"/>
          <w:szCs w:val="21"/>
          <w:lang w:eastAsia="zh-CN"/>
        </w:rPr>
        <w:t>建筑科学</w:t>
      </w:r>
      <w:r w:rsidRPr="000F131B">
        <w:rPr>
          <w:rFonts w:hint="eastAsia"/>
          <w:sz w:val="21"/>
          <w:szCs w:val="21"/>
          <w:lang w:eastAsia="zh-CN"/>
        </w:rPr>
        <w:t>,2017,33(06):55-61.DOI:10.13614/j.cnki.11-1962/tu.2017.06.09.</w:t>
      </w:r>
    </w:p>
    <w:p w:rsidR="002D1B64" w:rsidRDefault="002D1B64" w:rsidP="00BF2C65">
      <w:pPr>
        <w:spacing w:line="240" w:lineRule="auto"/>
        <w:ind w:left="210" w:right="210"/>
        <w:rPr>
          <w:sz w:val="21"/>
          <w:szCs w:val="21"/>
          <w:lang w:eastAsia="zh-CN"/>
        </w:rPr>
      </w:pPr>
      <w:r w:rsidRPr="002D1B64">
        <w:rPr>
          <w:rFonts w:hint="eastAsia"/>
          <w:sz w:val="21"/>
          <w:szCs w:val="21"/>
          <w:lang w:eastAsia="zh-CN"/>
        </w:rPr>
        <w:t>[</w:t>
      </w:r>
      <w:r w:rsidR="003537BB">
        <w:rPr>
          <w:rFonts w:hint="eastAsia"/>
          <w:sz w:val="21"/>
          <w:szCs w:val="21"/>
          <w:lang w:eastAsia="zh-CN"/>
        </w:rPr>
        <w:t>14</w:t>
      </w:r>
      <w:r w:rsidRPr="002D1B64">
        <w:rPr>
          <w:rFonts w:hint="eastAsia"/>
          <w:sz w:val="21"/>
          <w:szCs w:val="21"/>
          <w:lang w:eastAsia="zh-CN"/>
        </w:rPr>
        <w:t>]</w:t>
      </w:r>
      <w:proofErr w:type="gramStart"/>
      <w:r w:rsidRPr="002D1B64">
        <w:rPr>
          <w:rFonts w:hint="eastAsia"/>
          <w:sz w:val="21"/>
          <w:szCs w:val="21"/>
          <w:lang w:eastAsia="zh-CN"/>
        </w:rPr>
        <w:t>宿爱香</w:t>
      </w:r>
      <w:proofErr w:type="gramEnd"/>
      <w:r w:rsidRPr="002D1B64">
        <w:rPr>
          <w:rFonts w:hint="eastAsia"/>
          <w:sz w:val="21"/>
          <w:szCs w:val="21"/>
          <w:lang w:eastAsia="zh-CN"/>
        </w:rPr>
        <w:t>,</w:t>
      </w:r>
      <w:r w:rsidRPr="002D1B64">
        <w:rPr>
          <w:rFonts w:hint="eastAsia"/>
          <w:sz w:val="21"/>
          <w:szCs w:val="21"/>
          <w:lang w:eastAsia="zh-CN"/>
        </w:rPr>
        <w:t>张霞</w:t>
      </w:r>
      <w:r w:rsidRPr="002D1B64">
        <w:rPr>
          <w:rFonts w:hint="eastAsia"/>
          <w:sz w:val="21"/>
          <w:szCs w:val="21"/>
          <w:lang w:eastAsia="zh-CN"/>
        </w:rPr>
        <w:t>.</w:t>
      </w:r>
      <w:r w:rsidRPr="002D1B64">
        <w:rPr>
          <w:rFonts w:hint="eastAsia"/>
          <w:sz w:val="21"/>
          <w:szCs w:val="21"/>
          <w:lang w:eastAsia="zh-CN"/>
        </w:rPr>
        <w:t>电梯节能技术研究</w:t>
      </w:r>
      <w:r w:rsidRPr="002D1B64">
        <w:rPr>
          <w:rFonts w:hint="eastAsia"/>
          <w:sz w:val="21"/>
          <w:szCs w:val="21"/>
          <w:lang w:eastAsia="zh-CN"/>
        </w:rPr>
        <w:t>[J].</w:t>
      </w:r>
      <w:r w:rsidRPr="002D1B64">
        <w:rPr>
          <w:rFonts w:hint="eastAsia"/>
          <w:sz w:val="21"/>
          <w:szCs w:val="21"/>
          <w:lang w:eastAsia="zh-CN"/>
        </w:rPr>
        <w:t>特种设备安全技术</w:t>
      </w:r>
      <w:r w:rsidRPr="002D1B64">
        <w:rPr>
          <w:rFonts w:hint="eastAsia"/>
          <w:sz w:val="21"/>
          <w:szCs w:val="21"/>
          <w:lang w:eastAsia="zh-CN"/>
        </w:rPr>
        <w:t>,2020(01):</w:t>
      </w:r>
      <w:proofErr w:type="gramStart"/>
      <w:r w:rsidRPr="002D1B64">
        <w:rPr>
          <w:rFonts w:hint="eastAsia"/>
          <w:sz w:val="21"/>
          <w:szCs w:val="21"/>
          <w:lang w:eastAsia="zh-CN"/>
        </w:rPr>
        <w:t>38-39+45.</w:t>
      </w:r>
      <w:proofErr w:type="gramEnd"/>
    </w:p>
    <w:p w:rsidR="00881797" w:rsidRDefault="00881797" w:rsidP="00BF2C65">
      <w:pPr>
        <w:spacing w:line="240" w:lineRule="auto"/>
        <w:ind w:left="210" w:right="210"/>
        <w:rPr>
          <w:sz w:val="21"/>
          <w:szCs w:val="21"/>
          <w:lang w:eastAsia="zh-CN"/>
        </w:rPr>
      </w:pPr>
      <w:r w:rsidRPr="00881797">
        <w:rPr>
          <w:rFonts w:hint="eastAsia"/>
          <w:sz w:val="21"/>
          <w:szCs w:val="21"/>
          <w:lang w:eastAsia="zh-CN"/>
        </w:rPr>
        <w:t>[</w:t>
      </w:r>
      <w:r w:rsidR="003537BB">
        <w:rPr>
          <w:rFonts w:hint="eastAsia"/>
          <w:sz w:val="21"/>
          <w:szCs w:val="21"/>
          <w:lang w:eastAsia="zh-CN"/>
        </w:rPr>
        <w:t>15</w:t>
      </w:r>
      <w:r w:rsidRPr="00881797">
        <w:rPr>
          <w:rFonts w:hint="eastAsia"/>
          <w:sz w:val="21"/>
          <w:szCs w:val="21"/>
          <w:lang w:eastAsia="zh-CN"/>
        </w:rPr>
        <w:t>]</w:t>
      </w:r>
      <w:r w:rsidRPr="00881797">
        <w:rPr>
          <w:rFonts w:hint="eastAsia"/>
          <w:sz w:val="21"/>
          <w:szCs w:val="21"/>
          <w:lang w:eastAsia="zh-CN"/>
        </w:rPr>
        <w:t>莫惠芝</w:t>
      </w:r>
      <w:r w:rsidRPr="00881797">
        <w:rPr>
          <w:rFonts w:hint="eastAsia"/>
          <w:sz w:val="21"/>
          <w:szCs w:val="21"/>
          <w:lang w:eastAsia="zh-CN"/>
        </w:rPr>
        <w:t>,</w:t>
      </w:r>
      <w:r w:rsidRPr="00881797">
        <w:rPr>
          <w:rFonts w:hint="eastAsia"/>
          <w:sz w:val="21"/>
          <w:szCs w:val="21"/>
          <w:lang w:eastAsia="zh-CN"/>
        </w:rPr>
        <w:t>殷金岩</w:t>
      </w:r>
      <w:r w:rsidRPr="00881797">
        <w:rPr>
          <w:rFonts w:hint="eastAsia"/>
          <w:sz w:val="21"/>
          <w:szCs w:val="21"/>
          <w:lang w:eastAsia="zh-CN"/>
        </w:rPr>
        <w:t>,</w:t>
      </w:r>
      <w:r w:rsidRPr="00881797">
        <w:rPr>
          <w:rFonts w:hint="eastAsia"/>
          <w:sz w:val="21"/>
          <w:szCs w:val="21"/>
          <w:lang w:eastAsia="zh-CN"/>
        </w:rPr>
        <w:t>许建新</w:t>
      </w:r>
      <w:r w:rsidRPr="00881797">
        <w:rPr>
          <w:rFonts w:hint="eastAsia"/>
          <w:sz w:val="21"/>
          <w:szCs w:val="21"/>
          <w:lang w:eastAsia="zh-CN"/>
        </w:rPr>
        <w:t>.</w:t>
      </w:r>
      <w:r w:rsidRPr="00881797">
        <w:rPr>
          <w:rFonts w:hint="eastAsia"/>
          <w:sz w:val="21"/>
          <w:szCs w:val="21"/>
          <w:lang w:eastAsia="zh-CN"/>
        </w:rPr>
        <w:t>简式屋顶绿化植物</w:t>
      </w:r>
      <w:proofErr w:type="gramStart"/>
      <w:r w:rsidRPr="00881797">
        <w:rPr>
          <w:rFonts w:hint="eastAsia"/>
          <w:sz w:val="21"/>
          <w:szCs w:val="21"/>
          <w:lang w:eastAsia="zh-CN"/>
        </w:rPr>
        <w:t>固碳释氧效益</w:t>
      </w:r>
      <w:proofErr w:type="gramEnd"/>
      <w:r w:rsidRPr="00881797">
        <w:rPr>
          <w:rFonts w:hint="eastAsia"/>
          <w:sz w:val="21"/>
          <w:szCs w:val="21"/>
          <w:lang w:eastAsia="zh-CN"/>
        </w:rPr>
        <w:t>比较</w:t>
      </w:r>
      <w:r w:rsidRPr="00881797">
        <w:rPr>
          <w:rFonts w:hint="eastAsia"/>
          <w:sz w:val="21"/>
          <w:szCs w:val="21"/>
          <w:lang w:eastAsia="zh-CN"/>
        </w:rPr>
        <w:t>[J].</w:t>
      </w:r>
      <w:r w:rsidRPr="00881797">
        <w:rPr>
          <w:rFonts w:hint="eastAsia"/>
          <w:sz w:val="21"/>
          <w:szCs w:val="21"/>
          <w:lang w:eastAsia="zh-CN"/>
        </w:rPr>
        <w:t>天津农业科学</w:t>
      </w:r>
      <w:r w:rsidRPr="00881797">
        <w:rPr>
          <w:rFonts w:hint="eastAsia"/>
          <w:sz w:val="21"/>
          <w:szCs w:val="21"/>
          <w:lang w:eastAsia="zh-CN"/>
        </w:rPr>
        <w:t>,2017,23(09):</w:t>
      </w:r>
      <w:proofErr w:type="gramStart"/>
      <w:r w:rsidRPr="00881797">
        <w:rPr>
          <w:rFonts w:hint="eastAsia"/>
          <w:sz w:val="21"/>
          <w:szCs w:val="21"/>
          <w:lang w:eastAsia="zh-CN"/>
        </w:rPr>
        <w:t>89-94.</w:t>
      </w:r>
      <w:proofErr w:type="gramEnd"/>
    </w:p>
    <w:p w:rsidR="00881797" w:rsidRDefault="00881797" w:rsidP="00BF2C65">
      <w:pPr>
        <w:spacing w:line="240" w:lineRule="auto"/>
        <w:ind w:left="210" w:right="210"/>
        <w:rPr>
          <w:sz w:val="21"/>
          <w:szCs w:val="21"/>
          <w:lang w:eastAsia="zh-CN"/>
        </w:rPr>
      </w:pPr>
      <w:r>
        <w:rPr>
          <w:rFonts w:hint="eastAsia"/>
          <w:sz w:val="21"/>
          <w:szCs w:val="21"/>
          <w:lang w:eastAsia="zh-CN"/>
        </w:rPr>
        <w:t>[</w:t>
      </w:r>
      <w:r w:rsidR="003537BB">
        <w:rPr>
          <w:rFonts w:hint="eastAsia"/>
          <w:sz w:val="21"/>
          <w:szCs w:val="21"/>
          <w:lang w:eastAsia="zh-CN"/>
        </w:rPr>
        <w:t>16</w:t>
      </w:r>
      <w:r>
        <w:rPr>
          <w:rFonts w:hint="eastAsia"/>
          <w:sz w:val="21"/>
          <w:szCs w:val="21"/>
          <w:lang w:eastAsia="zh-CN"/>
        </w:rPr>
        <w:t>]</w:t>
      </w:r>
      <w:r w:rsidRPr="00881797">
        <w:rPr>
          <w:rFonts w:hint="eastAsia"/>
          <w:lang w:eastAsia="zh-CN"/>
        </w:rPr>
        <w:t xml:space="preserve"> </w:t>
      </w:r>
      <w:r w:rsidRPr="00881797">
        <w:rPr>
          <w:rFonts w:hint="eastAsia"/>
          <w:sz w:val="21"/>
          <w:szCs w:val="21"/>
          <w:lang w:eastAsia="zh-CN"/>
        </w:rPr>
        <w:t>陈爱葵</w:t>
      </w:r>
      <w:r w:rsidRPr="00881797">
        <w:rPr>
          <w:rFonts w:hint="eastAsia"/>
          <w:sz w:val="21"/>
          <w:szCs w:val="21"/>
          <w:lang w:eastAsia="zh-CN"/>
        </w:rPr>
        <w:t>,</w:t>
      </w:r>
      <w:r w:rsidRPr="00881797">
        <w:rPr>
          <w:rFonts w:hint="eastAsia"/>
          <w:sz w:val="21"/>
          <w:szCs w:val="21"/>
          <w:lang w:eastAsia="zh-CN"/>
        </w:rPr>
        <w:t>陆剑</w:t>
      </w:r>
      <w:r w:rsidRPr="00881797">
        <w:rPr>
          <w:rFonts w:hint="eastAsia"/>
          <w:sz w:val="21"/>
          <w:szCs w:val="21"/>
          <w:lang w:eastAsia="zh-CN"/>
        </w:rPr>
        <w:t>,</w:t>
      </w:r>
      <w:r w:rsidRPr="00881797">
        <w:rPr>
          <w:rFonts w:hint="eastAsia"/>
          <w:sz w:val="21"/>
          <w:szCs w:val="21"/>
          <w:lang w:eastAsia="zh-CN"/>
        </w:rPr>
        <w:t>袁剑刚</w:t>
      </w:r>
      <w:r w:rsidRPr="00881797">
        <w:rPr>
          <w:rFonts w:hint="eastAsia"/>
          <w:sz w:val="21"/>
          <w:szCs w:val="21"/>
          <w:lang w:eastAsia="zh-CN"/>
        </w:rPr>
        <w:t>,</w:t>
      </w:r>
      <w:r w:rsidRPr="00881797">
        <w:rPr>
          <w:rFonts w:hint="eastAsia"/>
          <w:sz w:val="21"/>
          <w:szCs w:val="21"/>
          <w:lang w:eastAsia="zh-CN"/>
        </w:rPr>
        <w:t>徐亚幸</w:t>
      </w:r>
      <w:r w:rsidRPr="00881797">
        <w:rPr>
          <w:rFonts w:hint="eastAsia"/>
          <w:sz w:val="21"/>
          <w:szCs w:val="21"/>
          <w:lang w:eastAsia="zh-CN"/>
        </w:rPr>
        <w:t>,</w:t>
      </w:r>
      <w:r w:rsidRPr="00881797">
        <w:rPr>
          <w:rFonts w:hint="eastAsia"/>
          <w:sz w:val="21"/>
          <w:szCs w:val="21"/>
          <w:lang w:eastAsia="zh-CN"/>
        </w:rPr>
        <w:t>杨中艺</w:t>
      </w:r>
      <w:r w:rsidRPr="00881797">
        <w:rPr>
          <w:rFonts w:hint="eastAsia"/>
          <w:sz w:val="21"/>
          <w:szCs w:val="21"/>
          <w:lang w:eastAsia="zh-CN"/>
        </w:rPr>
        <w:t>.</w:t>
      </w:r>
      <w:r w:rsidRPr="00881797">
        <w:rPr>
          <w:rFonts w:hint="eastAsia"/>
          <w:sz w:val="21"/>
          <w:szCs w:val="21"/>
          <w:lang w:eastAsia="zh-CN"/>
        </w:rPr>
        <w:t>屋顶绿地</w:t>
      </w:r>
      <w:proofErr w:type="gramStart"/>
      <w:r w:rsidRPr="00881797">
        <w:rPr>
          <w:rFonts w:hint="eastAsia"/>
          <w:sz w:val="21"/>
          <w:szCs w:val="21"/>
          <w:lang w:eastAsia="zh-CN"/>
        </w:rPr>
        <w:t>碳固定</w:t>
      </w:r>
      <w:proofErr w:type="gramEnd"/>
      <w:r w:rsidRPr="00881797">
        <w:rPr>
          <w:rFonts w:hint="eastAsia"/>
          <w:sz w:val="21"/>
          <w:szCs w:val="21"/>
          <w:lang w:eastAsia="zh-CN"/>
        </w:rPr>
        <w:t>潜力的研究</w:t>
      </w:r>
      <w:r w:rsidRPr="00881797">
        <w:rPr>
          <w:rFonts w:hint="eastAsia"/>
          <w:sz w:val="21"/>
          <w:szCs w:val="21"/>
          <w:lang w:eastAsia="zh-CN"/>
        </w:rPr>
        <w:t>[J].</w:t>
      </w:r>
      <w:r w:rsidRPr="00881797">
        <w:rPr>
          <w:rFonts w:hint="eastAsia"/>
          <w:sz w:val="21"/>
          <w:szCs w:val="21"/>
          <w:lang w:eastAsia="zh-CN"/>
        </w:rPr>
        <w:t>中山大学学报</w:t>
      </w:r>
      <w:r w:rsidRPr="00881797">
        <w:rPr>
          <w:rFonts w:hint="eastAsia"/>
          <w:sz w:val="21"/>
          <w:szCs w:val="21"/>
          <w:lang w:eastAsia="zh-CN"/>
        </w:rPr>
        <w:t>(</w:t>
      </w:r>
      <w:r w:rsidRPr="00881797">
        <w:rPr>
          <w:rFonts w:hint="eastAsia"/>
          <w:sz w:val="21"/>
          <w:szCs w:val="21"/>
          <w:lang w:eastAsia="zh-CN"/>
        </w:rPr>
        <w:t>自然科学版</w:t>
      </w:r>
      <w:r w:rsidRPr="00881797">
        <w:rPr>
          <w:rFonts w:hint="eastAsia"/>
          <w:sz w:val="21"/>
          <w:szCs w:val="21"/>
          <w:lang w:eastAsia="zh-CN"/>
        </w:rPr>
        <w:t>),2015,54(01):89-95.DOI:10.13471/j.cnki.acta.snus.2015.01.018.</w:t>
      </w:r>
    </w:p>
    <w:p w:rsidR="00C90591" w:rsidRDefault="00C90591" w:rsidP="00BF2C65">
      <w:pPr>
        <w:spacing w:line="240" w:lineRule="auto"/>
        <w:ind w:left="210" w:right="210"/>
        <w:rPr>
          <w:sz w:val="21"/>
          <w:szCs w:val="21"/>
          <w:lang w:eastAsia="zh-CN"/>
        </w:rPr>
      </w:pPr>
      <w:r w:rsidRPr="00C90591">
        <w:rPr>
          <w:rFonts w:hint="eastAsia"/>
          <w:sz w:val="21"/>
          <w:szCs w:val="21"/>
          <w:lang w:eastAsia="zh-CN"/>
        </w:rPr>
        <w:t>[</w:t>
      </w:r>
      <w:r w:rsidR="003537BB">
        <w:rPr>
          <w:rFonts w:hint="eastAsia"/>
          <w:sz w:val="21"/>
          <w:szCs w:val="21"/>
          <w:lang w:eastAsia="zh-CN"/>
        </w:rPr>
        <w:t>17</w:t>
      </w:r>
      <w:r w:rsidRPr="00C90591">
        <w:rPr>
          <w:rFonts w:hint="eastAsia"/>
          <w:sz w:val="21"/>
          <w:szCs w:val="21"/>
          <w:lang w:eastAsia="zh-CN"/>
        </w:rPr>
        <w:t>]</w:t>
      </w:r>
      <w:r w:rsidRPr="00C90591">
        <w:rPr>
          <w:rFonts w:hint="eastAsia"/>
          <w:sz w:val="21"/>
          <w:szCs w:val="21"/>
          <w:lang w:eastAsia="zh-CN"/>
        </w:rPr>
        <w:t>王永军</w:t>
      </w:r>
      <w:r w:rsidRPr="00C90591">
        <w:rPr>
          <w:rFonts w:hint="eastAsia"/>
          <w:sz w:val="21"/>
          <w:szCs w:val="21"/>
          <w:lang w:eastAsia="zh-CN"/>
        </w:rPr>
        <w:t>,</w:t>
      </w:r>
      <w:r w:rsidRPr="00C90591">
        <w:rPr>
          <w:rFonts w:hint="eastAsia"/>
          <w:sz w:val="21"/>
          <w:szCs w:val="21"/>
          <w:lang w:eastAsia="zh-CN"/>
        </w:rPr>
        <w:t>李凯</w:t>
      </w:r>
      <w:r w:rsidRPr="00C90591">
        <w:rPr>
          <w:rFonts w:hint="eastAsia"/>
          <w:sz w:val="21"/>
          <w:szCs w:val="21"/>
          <w:lang w:eastAsia="zh-CN"/>
        </w:rPr>
        <w:t>,</w:t>
      </w:r>
      <w:r w:rsidRPr="00C90591">
        <w:rPr>
          <w:rFonts w:hint="eastAsia"/>
          <w:sz w:val="21"/>
          <w:szCs w:val="21"/>
          <w:lang w:eastAsia="zh-CN"/>
        </w:rPr>
        <w:t>周玉娟</w:t>
      </w:r>
      <w:r w:rsidRPr="00C90591">
        <w:rPr>
          <w:rFonts w:hint="eastAsia"/>
          <w:sz w:val="21"/>
          <w:szCs w:val="21"/>
          <w:lang w:eastAsia="zh-CN"/>
        </w:rPr>
        <w:t>.</w:t>
      </w:r>
      <w:r w:rsidRPr="00C90591">
        <w:rPr>
          <w:rFonts w:hint="eastAsia"/>
          <w:sz w:val="21"/>
          <w:szCs w:val="21"/>
          <w:lang w:eastAsia="zh-CN"/>
        </w:rPr>
        <w:t>基于多能互补的建筑能源规划探索和实践——以某高校建筑群为例</w:t>
      </w:r>
      <w:r w:rsidRPr="00C90591">
        <w:rPr>
          <w:rFonts w:hint="eastAsia"/>
          <w:sz w:val="21"/>
          <w:szCs w:val="21"/>
          <w:lang w:eastAsia="zh-CN"/>
        </w:rPr>
        <w:t>[J].</w:t>
      </w:r>
      <w:r w:rsidRPr="00C90591">
        <w:rPr>
          <w:rFonts w:hint="eastAsia"/>
          <w:sz w:val="21"/>
          <w:szCs w:val="21"/>
          <w:lang w:eastAsia="zh-CN"/>
        </w:rPr>
        <w:t>建设科技</w:t>
      </w:r>
      <w:r w:rsidRPr="00C90591">
        <w:rPr>
          <w:rFonts w:hint="eastAsia"/>
          <w:sz w:val="21"/>
          <w:szCs w:val="21"/>
          <w:lang w:eastAsia="zh-CN"/>
        </w:rPr>
        <w:t>,2021(16):57-60+56.DOI:10.16116/j.cnki.jskj.2021.16.013.</w:t>
      </w:r>
    </w:p>
    <w:p w:rsidR="005000E1" w:rsidRDefault="005000E1" w:rsidP="00BF2C65">
      <w:pPr>
        <w:spacing w:line="240" w:lineRule="auto"/>
        <w:ind w:left="210" w:right="210"/>
        <w:rPr>
          <w:sz w:val="21"/>
          <w:szCs w:val="21"/>
          <w:lang w:eastAsia="zh-CN"/>
        </w:rPr>
      </w:pPr>
      <w:r>
        <w:rPr>
          <w:rFonts w:hint="eastAsia"/>
          <w:sz w:val="21"/>
          <w:szCs w:val="21"/>
          <w:lang w:eastAsia="zh-CN"/>
        </w:rPr>
        <w:t>[</w:t>
      </w:r>
      <w:r w:rsidR="003537BB">
        <w:rPr>
          <w:rFonts w:hint="eastAsia"/>
          <w:sz w:val="21"/>
          <w:szCs w:val="21"/>
          <w:lang w:eastAsia="zh-CN"/>
        </w:rPr>
        <w:t>18</w:t>
      </w:r>
      <w:r w:rsidRPr="005000E1">
        <w:rPr>
          <w:rFonts w:hint="eastAsia"/>
          <w:sz w:val="21"/>
          <w:szCs w:val="21"/>
          <w:lang w:eastAsia="zh-CN"/>
        </w:rPr>
        <w:t>].</w:t>
      </w:r>
      <w:r w:rsidRPr="005000E1">
        <w:rPr>
          <w:rFonts w:hint="eastAsia"/>
          <w:sz w:val="21"/>
          <w:szCs w:val="21"/>
          <w:lang w:eastAsia="zh-CN"/>
        </w:rPr>
        <w:t>张永伟：预计</w:t>
      </w:r>
      <w:r w:rsidRPr="005000E1">
        <w:rPr>
          <w:rFonts w:hint="eastAsia"/>
          <w:sz w:val="21"/>
          <w:szCs w:val="21"/>
          <w:lang w:eastAsia="zh-CN"/>
        </w:rPr>
        <w:t>2030</w:t>
      </w:r>
      <w:r w:rsidRPr="005000E1">
        <w:rPr>
          <w:rFonts w:hint="eastAsia"/>
          <w:sz w:val="21"/>
          <w:szCs w:val="21"/>
          <w:lang w:eastAsia="zh-CN"/>
        </w:rPr>
        <w:t>年中国电动汽车保有量达</w:t>
      </w:r>
      <w:r w:rsidRPr="005000E1">
        <w:rPr>
          <w:rFonts w:hint="eastAsia"/>
          <w:sz w:val="21"/>
          <w:szCs w:val="21"/>
          <w:lang w:eastAsia="zh-CN"/>
        </w:rPr>
        <w:t>8000</w:t>
      </w:r>
      <w:r w:rsidRPr="005000E1">
        <w:rPr>
          <w:rFonts w:hint="eastAsia"/>
          <w:sz w:val="21"/>
          <w:szCs w:val="21"/>
          <w:lang w:eastAsia="zh-CN"/>
        </w:rPr>
        <w:t>万辆</w:t>
      </w:r>
      <w:r w:rsidRPr="005000E1">
        <w:rPr>
          <w:rFonts w:hint="eastAsia"/>
          <w:sz w:val="21"/>
          <w:szCs w:val="21"/>
          <w:lang w:eastAsia="zh-CN"/>
        </w:rPr>
        <w:t>[J].</w:t>
      </w:r>
      <w:r w:rsidRPr="005000E1">
        <w:rPr>
          <w:rFonts w:hint="eastAsia"/>
          <w:sz w:val="21"/>
          <w:szCs w:val="21"/>
          <w:lang w:eastAsia="zh-CN"/>
        </w:rPr>
        <w:t>重型汽车</w:t>
      </w:r>
      <w:r w:rsidRPr="005000E1">
        <w:rPr>
          <w:rFonts w:hint="eastAsia"/>
          <w:sz w:val="21"/>
          <w:szCs w:val="21"/>
          <w:lang w:eastAsia="zh-CN"/>
        </w:rPr>
        <w:t>,2021(02):1.</w:t>
      </w:r>
    </w:p>
    <w:p w:rsidR="004D7FB2" w:rsidRDefault="004D7FB2" w:rsidP="00BF2C65">
      <w:pPr>
        <w:spacing w:line="240" w:lineRule="auto"/>
        <w:ind w:left="210" w:right="210"/>
        <w:rPr>
          <w:sz w:val="21"/>
          <w:szCs w:val="21"/>
          <w:lang w:eastAsia="zh-CN"/>
        </w:rPr>
      </w:pPr>
      <w:r w:rsidRPr="004D7FB2">
        <w:rPr>
          <w:rFonts w:hint="eastAsia"/>
          <w:sz w:val="21"/>
          <w:szCs w:val="21"/>
          <w:lang w:eastAsia="zh-CN"/>
        </w:rPr>
        <w:t>[</w:t>
      </w:r>
      <w:r w:rsidR="003537BB">
        <w:rPr>
          <w:rFonts w:hint="eastAsia"/>
          <w:sz w:val="21"/>
          <w:szCs w:val="21"/>
          <w:lang w:eastAsia="zh-CN"/>
        </w:rPr>
        <w:t>19</w:t>
      </w:r>
      <w:r w:rsidRPr="004D7FB2">
        <w:rPr>
          <w:rFonts w:hint="eastAsia"/>
          <w:sz w:val="21"/>
          <w:szCs w:val="21"/>
          <w:lang w:eastAsia="zh-CN"/>
        </w:rPr>
        <w:t>].</w:t>
      </w:r>
      <w:r w:rsidRPr="004D7FB2">
        <w:rPr>
          <w:rFonts w:hint="eastAsia"/>
          <w:sz w:val="21"/>
          <w:szCs w:val="21"/>
          <w:lang w:eastAsia="zh-CN"/>
        </w:rPr>
        <w:t>江苏省人民政府办公厅关于印发江苏省“十四五”新能源汽车产业发展规划的通知</w:t>
      </w:r>
      <w:r w:rsidRPr="004D7FB2">
        <w:rPr>
          <w:rFonts w:hint="eastAsia"/>
          <w:sz w:val="21"/>
          <w:szCs w:val="21"/>
          <w:lang w:eastAsia="zh-CN"/>
        </w:rPr>
        <w:t>[J].</w:t>
      </w:r>
      <w:r w:rsidRPr="004D7FB2">
        <w:rPr>
          <w:rFonts w:hint="eastAsia"/>
          <w:sz w:val="21"/>
          <w:szCs w:val="21"/>
          <w:lang w:eastAsia="zh-CN"/>
        </w:rPr>
        <w:t>江苏省人民政府公报</w:t>
      </w:r>
      <w:r w:rsidRPr="004D7FB2">
        <w:rPr>
          <w:rFonts w:hint="eastAsia"/>
          <w:sz w:val="21"/>
          <w:szCs w:val="21"/>
          <w:lang w:eastAsia="zh-CN"/>
        </w:rPr>
        <w:t>,2022(01):</w:t>
      </w:r>
      <w:proofErr w:type="gramStart"/>
      <w:r w:rsidRPr="004D7FB2">
        <w:rPr>
          <w:rFonts w:hint="eastAsia"/>
          <w:sz w:val="21"/>
          <w:szCs w:val="21"/>
          <w:lang w:eastAsia="zh-CN"/>
        </w:rPr>
        <w:t>92-99.</w:t>
      </w:r>
      <w:proofErr w:type="gramEnd"/>
    </w:p>
    <w:p w:rsidR="002C2275" w:rsidRDefault="002C2275" w:rsidP="00BF2C65">
      <w:pPr>
        <w:spacing w:line="240" w:lineRule="auto"/>
        <w:ind w:left="210" w:right="210"/>
        <w:rPr>
          <w:sz w:val="21"/>
          <w:szCs w:val="21"/>
          <w:lang w:eastAsia="zh-CN"/>
        </w:rPr>
      </w:pPr>
      <w:r>
        <w:rPr>
          <w:rFonts w:hint="eastAsia"/>
          <w:sz w:val="21"/>
          <w:szCs w:val="21"/>
          <w:lang w:eastAsia="zh-CN"/>
        </w:rPr>
        <w:t>[</w:t>
      </w:r>
      <w:r w:rsidR="003537BB">
        <w:rPr>
          <w:rFonts w:hint="eastAsia"/>
          <w:sz w:val="21"/>
          <w:szCs w:val="21"/>
          <w:lang w:eastAsia="zh-CN"/>
        </w:rPr>
        <w:t>20</w:t>
      </w:r>
      <w:r>
        <w:rPr>
          <w:rFonts w:hint="eastAsia"/>
          <w:sz w:val="21"/>
          <w:szCs w:val="21"/>
          <w:lang w:eastAsia="zh-CN"/>
        </w:rPr>
        <w:t>]</w:t>
      </w:r>
      <w:r w:rsidRPr="002C2275">
        <w:rPr>
          <w:rFonts w:hint="eastAsia"/>
          <w:sz w:val="21"/>
          <w:szCs w:val="21"/>
          <w:lang w:eastAsia="zh-CN"/>
        </w:rPr>
        <w:t>王鹏飞</w:t>
      </w:r>
      <w:r w:rsidRPr="002C2275">
        <w:rPr>
          <w:rFonts w:hint="eastAsia"/>
          <w:sz w:val="21"/>
          <w:szCs w:val="21"/>
          <w:lang w:eastAsia="zh-CN"/>
        </w:rPr>
        <w:t xml:space="preserve">. </w:t>
      </w:r>
      <w:r w:rsidRPr="002C2275">
        <w:rPr>
          <w:rFonts w:hint="eastAsia"/>
          <w:sz w:val="21"/>
          <w:szCs w:val="21"/>
          <w:lang w:eastAsia="zh-CN"/>
        </w:rPr>
        <w:t>考虑泊位共享的城市综合体停车需求预测与调控</w:t>
      </w:r>
      <w:r w:rsidRPr="002C2275">
        <w:rPr>
          <w:rFonts w:hint="eastAsia"/>
          <w:sz w:val="21"/>
          <w:szCs w:val="21"/>
          <w:lang w:eastAsia="zh-CN"/>
        </w:rPr>
        <w:t>[D].</w:t>
      </w:r>
      <w:r w:rsidRPr="002C2275">
        <w:rPr>
          <w:rFonts w:hint="eastAsia"/>
          <w:sz w:val="21"/>
          <w:szCs w:val="21"/>
          <w:lang w:eastAsia="zh-CN"/>
        </w:rPr>
        <w:t>山东科技大学</w:t>
      </w:r>
      <w:r w:rsidRPr="002C2275">
        <w:rPr>
          <w:rFonts w:hint="eastAsia"/>
          <w:sz w:val="21"/>
          <w:szCs w:val="21"/>
          <w:lang w:eastAsia="zh-CN"/>
        </w:rPr>
        <w:t>,2019.DOI:10.27275/d.cnki.gsdku.2019.001588.</w:t>
      </w:r>
    </w:p>
    <w:p w:rsidR="009B5363" w:rsidRPr="00771104" w:rsidRDefault="009B5363" w:rsidP="00BF2C65">
      <w:pPr>
        <w:spacing w:line="240" w:lineRule="auto"/>
        <w:ind w:left="210" w:right="210"/>
        <w:rPr>
          <w:sz w:val="21"/>
          <w:szCs w:val="21"/>
          <w:lang w:eastAsia="zh-CN"/>
        </w:rPr>
      </w:pPr>
      <w:r w:rsidRPr="009B5363">
        <w:rPr>
          <w:rFonts w:hint="eastAsia"/>
          <w:sz w:val="21"/>
          <w:szCs w:val="21"/>
          <w:lang w:eastAsia="zh-CN"/>
        </w:rPr>
        <w:t>[</w:t>
      </w:r>
      <w:r w:rsidR="003537BB">
        <w:rPr>
          <w:rFonts w:hint="eastAsia"/>
          <w:sz w:val="21"/>
          <w:szCs w:val="21"/>
          <w:lang w:eastAsia="zh-CN"/>
        </w:rPr>
        <w:t>21</w:t>
      </w:r>
      <w:r w:rsidRPr="009B5363">
        <w:rPr>
          <w:rFonts w:hint="eastAsia"/>
          <w:sz w:val="21"/>
          <w:szCs w:val="21"/>
          <w:lang w:eastAsia="zh-CN"/>
        </w:rPr>
        <w:t>]</w:t>
      </w:r>
      <w:proofErr w:type="gramStart"/>
      <w:r w:rsidRPr="009B5363">
        <w:rPr>
          <w:rFonts w:hint="eastAsia"/>
          <w:sz w:val="21"/>
          <w:szCs w:val="21"/>
          <w:lang w:eastAsia="zh-CN"/>
        </w:rPr>
        <w:t>梁登香</w:t>
      </w:r>
      <w:proofErr w:type="gramEnd"/>
      <w:r w:rsidRPr="009B5363">
        <w:rPr>
          <w:rFonts w:hint="eastAsia"/>
          <w:sz w:val="21"/>
          <w:szCs w:val="21"/>
          <w:lang w:eastAsia="zh-CN"/>
        </w:rPr>
        <w:t xml:space="preserve">. </w:t>
      </w:r>
      <w:r w:rsidRPr="009B5363">
        <w:rPr>
          <w:rFonts w:hint="eastAsia"/>
          <w:sz w:val="21"/>
          <w:szCs w:val="21"/>
          <w:lang w:eastAsia="zh-CN"/>
        </w:rPr>
        <w:t>电动汽车虚拟储能在电网中的应用及商业模式研究</w:t>
      </w:r>
      <w:r w:rsidRPr="009B5363">
        <w:rPr>
          <w:rFonts w:hint="eastAsia"/>
          <w:sz w:val="21"/>
          <w:szCs w:val="21"/>
          <w:lang w:eastAsia="zh-CN"/>
        </w:rPr>
        <w:t>[D].</w:t>
      </w:r>
      <w:r w:rsidRPr="009B5363">
        <w:rPr>
          <w:rFonts w:hint="eastAsia"/>
          <w:sz w:val="21"/>
          <w:szCs w:val="21"/>
          <w:lang w:eastAsia="zh-CN"/>
        </w:rPr>
        <w:t>华北电力大学</w:t>
      </w:r>
      <w:r w:rsidRPr="009B5363">
        <w:rPr>
          <w:rFonts w:hint="eastAsia"/>
          <w:sz w:val="21"/>
          <w:szCs w:val="21"/>
          <w:lang w:eastAsia="zh-CN"/>
        </w:rPr>
        <w:t>(</w:t>
      </w:r>
      <w:r w:rsidRPr="009B5363">
        <w:rPr>
          <w:rFonts w:hint="eastAsia"/>
          <w:sz w:val="21"/>
          <w:szCs w:val="21"/>
          <w:lang w:eastAsia="zh-CN"/>
        </w:rPr>
        <w:t>北京</w:t>
      </w:r>
      <w:r w:rsidRPr="009B5363">
        <w:rPr>
          <w:rFonts w:hint="eastAsia"/>
          <w:sz w:val="21"/>
          <w:szCs w:val="21"/>
          <w:lang w:eastAsia="zh-CN"/>
        </w:rPr>
        <w:t>),2021.DOI:10.27140/d.cnki.ghbbu.2021.000577.</w:t>
      </w:r>
    </w:p>
    <w:p w:rsidR="00A302C0" w:rsidRDefault="00A302C0" w:rsidP="00BF2C65">
      <w:pPr>
        <w:spacing w:line="240" w:lineRule="auto"/>
        <w:ind w:left="210" w:right="210"/>
        <w:rPr>
          <w:sz w:val="21"/>
          <w:szCs w:val="21"/>
          <w:lang w:eastAsia="zh-CN"/>
        </w:rPr>
      </w:pPr>
      <w:r w:rsidRPr="00A302C0">
        <w:rPr>
          <w:rFonts w:hint="eastAsia"/>
          <w:sz w:val="21"/>
          <w:szCs w:val="21"/>
          <w:highlight w:val="yellow"/>
          <w:lang w:eastAsia="zh-CN"/>
        </w:rPr>
        <w:t>建筑能源管理系统</w:t>
      </w:r>
    </w:p>
    <w:p w:rsidR="00192B4A" w:rsidRPr="009722BA" w:rsidRDefault="00192B4A" w:rsidP="00245DB7">
      <w:pPr>
        <w:spacing w:line="240" w:lineRule="auto"/>
        <w:ind w:left="210" w:right="210"/>
        <w:rPr>
          <w:sz w:val="21"/>
          <w:szCs w:val="21"/>
          <w:lang w:eastAsia="zh-CN"/>
        </w:rPr>
      </w:pPr>
      <w:r w:rsidRPr="00192B4A">
        <w:rPr>
          <w:rFonts w:hint="eastAsia"/>
          <w:sz w:val="21"/>
          <w:szCs w:val="21"/>
          <w:lang w:eastAsia="zh-CN"/>
        </w:rPr>
        <w:t>建筑碳排放</w:t>
      </w:r>
      <w:r>
        <w:rPr>
          <w:rFonts w:hint="eastAsia"/>
          <w:sz w:val="21"/>
          <w:szCs w:val="21"/>
          <w:lang w:eastAsia="zh-CN"/>
        </w:rPr>
        <w:t>从形式上可划分为直接碳排放、间接碳排放与隐含碳排放。</w:t>
      </w:r>
      <w:r w:rsidR="00CB673D">
        <w:rPr>
          <w:rFonts w:hint="eastAsia"/>
          <w:sz w:val="21"/>
          <w:szCs w:val="21"/>
          <w:lang w:eastAsia="zh-CN"/>
        </w:rPr>
        <w:t>其中直接碳</w:t>
      </w:r>
      <w:proofErr w:type="gramStart"/>
      <w:r w:rsidR="00CB673D">
        <w:rPr>
          <w:rFonts w:hint="eastAsia"/>
          <w:sz w:val="21"/>
          <w:szCs w:val="21"/>
          <w:lang w:eastAsia="zh-CN"/>
        </w:rPr>
        <w:t>排放指</w:t>
      </w:r>
      <w:proofErr w:type="gramEnd"/>
      <w:r w:rsidR="00CB673D">
        <w:rPr>
          <w:rFonts w:hint="eastAsia"/>
          <w:sz w:val="21"/>
          <w:szCs w:val="21"/>
          <w:lang w:eastAsia="zh-CN"/>
        </w:rPr>
        <w:t>建筑在运行过程中直接消耗化石燃料，如供暖、热水、烹饪等过程中产生的碳排放；间接碳排放一般指建筑在运行阶段由外界获取的电力、热能等二次能源而产生的碳排放，这也是目前建筑最主要的碳排放来源；隐含碳</w:t>
      </w:r>
      <w:proofErr w:type="gramStart"/>
      <w:r w:rsidR="00CB673D">
        <w:rPr>
          <w:rFonts w:hint="eastAsia"/>
          <w:sz w:val="21"/>
          <w:szCs w:val="21"/>
          <w:lang w:eastAsia="zh-CN"/>
        </w:rPr>
        <w:t>排放指</w:t>
      </w:r>
      <w:proofErr w:type="gramEnd"/>
      <w:r w:rsidR="00CB673D">
        <w:rPr>
          <w:rFonts w:hint="eastAsia"/>
          <w:sz w:val="21"/>
          <w:szCs w:val="21"/>
          <w:lang w:eastAsia="zh-CN"/>
        </w:rPr>
        <w:t>建筑使用前由原材料开采、运输以及施工等活动带来的碳排放。</w:t>
      </w:r>
    </w:p>
    <w:sectPr w:rsidR="00192B4A" w:rsidRPr="009722BA" w:rsidSect="00B64A73">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8EE" w:rsidRDefault="001408EE" w:rsidP="00A42430">
      <w:pPr>
        <w:spacing w:line="240" w:lineRule="auto"/>
        <w:ind w:left="210" w:right="210"/>
      </w:pPr>
      <w:r>
        <w:separator/>
      </w:r>
    </w:p>
  </w:endnote>
  <w:endnote w:type="continuationSeparator" w:id="0">
    <w:p w:rsidR="001408EE" w:rsidRDefault="001408EE" w:rsidP="00A42430">
      <w:pPr>
        <w:spacing w:line="240" w:lineRule="auto"/>
        <w:ind w:left="210" w:right="21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7C6" w:rsidRDefault="00CF27C6" w:rsidP="00A42430">
    <w:pPr>
      <w:pStyle w:val="a5"/>
      <w:ind w:left="210" w:right="21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7C6" w:rsidRDefault="00CF27C6" w:rsidP="00A42430">
    <w:pPr>
      <w:pStyle w:val="a5"/>
      <w:ind w:left="210" w:right="21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7C6" w:rsidRDefault="00CF27C6" w:rsidP="00A42430">
    <w:pPr>
      <w:pStyle w:val="a5"/>
      <w:ind w:left="210" w:right="21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8EE" w:rsidRDefault="001408EE" w:rsidP="00A42430">
      <w:pPr>
        <w:spacing w:line="240" w:lineRule="auto"/>
        <w:ind w:left="210" w:right="210"/>
      </w:pPr>
      <w:r>
        <w:separator/>
      </w:r>
    </w:p>
  </w:footnote>
  <w:footnote w:type="continuationSeparator" w:id="0">
    <w:p w:rsidR="001408EE" w:rsidRDefault="001408EE" w:rsidP="00A42430">
      <w:pPr>
        <w:spacing w:line="240" w:lineRule="auto"/>
        <w:ind w:left="210" w:right="21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7C6" w:rsidRDefault="00CF27C6" w:rsidP="00A42430">
    <w:pPr>
      <w:pStyle w:val="a4"/>
      <w:ind w:left="210" w:right="21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7C6" w:rsidRDefault="00CF27C6" w:rsidP="00A42430">
    <w:pPr>
      <w:pStyle w:val="a4"/>
      <w:ind w:left="210" w:right="21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7C6" w:rsidRDefault="00CF27C6" w:rsidP="00A42430">
    <w:pPr>
      <w:pStyle w:val="a4"/>
      <w:ind w:left="210" w:right="21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4C76"/>
    <w:multiLevelType w:val="hybridMultilevel"/>
    <w:tmpl w:val="504E144E"/>
    <w:lvl w:ilvl="0" w:tplc="54887934">
      <w:start w:val="1"/>
      <w:numFmt w:val="lowerLetter"/>
      <w:lvlText w:val="%1）"/>
      <w:lvlJc w:val="left"/>
      <w:pPr>
        <w:ind w:left="1020" w:hanging="405"/>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1">
    <w:nsid w:val="0F915A16"/>
    <w:multiLevelType w:val="hybridMultilevel"/>
    <w:tmpl w:val="48FE9204"/>
    <w:lvl w:ilvl="0" w:tplc="146E266C">
      <w:start w:val="1"/>
      <w:numFmt w:val="decimal"/>
      <w:lvlText w:val="%1）"/>
      <w:lvlJc w:val="left"/>
      <w:pPr>
        <w:ind w:left="502"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16D930EC"/>
    <w:multiLevelType w:val="hybridMultilevel"/>
    <w:tmpl w:val="CB8C5C1A"/>
    <w:lvl w:ilvl="0" w:tplc="B28E659E">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3">
    <w:nsid w:val="19545B59"/>
    <w:multiLevelType w:val="hybridMultilevel"/>
    <w:tmpl w:val="6D40CBCE"/>
    <w:lvl w:ilvl="0" w:tplc="3DDED1D4">
      <w:start w:val="1"/>
      <w:numFmt w:val="decimal"/>
      <w:lvlText w:val="%1）"/>
      <w:lvlJc w:val="left"/>
      <w:pPr>
        <w:ind w:left="615" w:hanging="40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
    <w:nsid w:val="22960B34"/>
    <w:multiLevelType w:val="hybridMultilevel"/>
    <w:tmpl w:val="04EAC0AE"/>
    <w:lvl w:ilvl="0" w:tplc="96B4FBA8">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5">
    <w:nsid w:val="33A33D5F"/>
    <w:multiLevelType w:val="hybridMultilevel"/>
    <w:tmpl w:val="FE1649AA"/>
    <w:lvl w:ilvl="0" w:tplc="E8A4755E">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nsid w:val="36CC6668"/>
    <w:multiLevelType w:val="multilevel"/>
    <w:tmpl w:val="B772FF0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930" w:hanging="720"/>
      </w:pPr>
      <w:rPr>
        <w:rFonts w:hint="default"/>
      </w:rPr>
    </w:lvl>
    <w:lvl w:ilvl="3">
      <w:start w:val="1"/>
      <w:numFmt w:val="decimal"/>
      <w:isLgl/>
      <w:lvlText w:val="%1.%2.%3.%4"/>
      <w:lvlJc w:val="left"/>
      <w:pPr>
        <w:ind w:left="930" w:hanging="720"/>
      </w:pPr>
      <w:rPr>
        <w:rFonts w:hint="default"/>
      </w:rPr>
    </w:lvl>
    <w:lvl w:ilvl="4">
      <w:start w:val="1"/>
      <w:numFmt w:val="decimal"/>
      <w:isLgl/>
      <w:lvlText w:val="%1.%2.%3.%4.%5"/>
      <w:lvlJc w:val="left"/>
      <w:pPr>
        <w:ind w:left="1290" w:hanging="1080"/>
      </w:pPr>
      <w:rPr>
        <w:rFonts w:hint="default"/>
      </w:rPr>
    </w:lvl>
    <w:lvl w:ilvl="5">
      <w:start w:val="1"/>
      <w:numFmt w:val="decimal"/>
      <w:isLgl/>
      <w:lvlText w:val="%1.%2.%3.%4.%5.%6"/>
      <w:lvlJc w:val="left"/>
      <w:pPr>
        <w:ind w:left="1290" w:hanging="1080"/>
      </w:pPr>
      <w:rPr>
        <w:rFonts w:hint="default"/>
      </w:rPr>
    </w:lvl>
    <w:lvl w:ilvl="6">
      <w:start w:val="1"/>
      <w:numFmt w:val="decimal"/>
      <w:isLgl/>
      <w:lvlText w:val="%1.%2.%3.%4.%5.%6.%7"/>
      <w:lvlJc w:val="left"/>
      <w:pPr>
        <w:ind w:left="1290" w:hanging="1080"/>
      </w:pPr>
      <w:rPr>
        <w:rFonts w:hint="default"/>
      </w:rPr>
    </w:lvl>
    <w:lvl w:ilvl="7">
      <w:start w:val="1"/>
      <w:numFmt w:val="decimal"/>
      <w:isLgl/>
      <w:lvlText w:val="%1.%2.%3.%4.%5.%6.%7.%8"/>
      <w:lvlJc w:val="left"/>
      <w:pPr>
        <w:ind w:left="1650" w:hanging="1440"/>
      </w:pPr>
      <w:rPr>
        <w:rFonts w:hint="default"/>
      </w:rPr>
    </w:lvl>
    <w:lvl w:ilvl="8">
      <w:start w:val="1"/>
      <w:numFmt w:val="decimal"/>
      <w:isLgl/>
      <w:lvlText w:val="%1.%2.%3.%4.%5.%6.%7.%8.%9"/>
      <w:lvlJc w:val="left"/>
      <w:pPr>
        <w:ind w:left="1650" w:hanging="1440"/>
      </w:pPr>
      <w:rPr>
        <w:rFonts w:hint="default"/>
      </w:rPr>
    </w:lvl>
  </w:abstractNum>
  <w:abstractNum w:abstractNumId="7">
    <w:nsid w:val="49377E86"/>
    <w:multiLevelType w:val="hybridMultilevel"/>
    <w:tmpl w:val="8F94BB48"/>
    <w:lvl w:ilvl="0" w:tplc="0598D5B8">
      <w:start w:val="1"/>
      <w:numFmt w:val="decimal"/>
      <w:lvlText w:val="%1）"/>
      <w:lvlJc w:val="left"/>
      <w:pPr>
        <w:ind w:left="405" w:hanging="40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nsid w:val="533268AA"/>
    <w:multiLevelType w:val="hybridMultilevel"/>
    <w:tmpl w:val="B8BCBC28"/>
    <w:lvl w:ilvl="0" w:tplc="037629B6">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abstractNum w:abstractNumId="9">
    <w:nsid w:val="759A6A76"/>
    <w:multiLevelType w:val="hybridMultilevel"/>
    <w:tmpl w:val="57DCF0A6"/>
    <w:lvl w:ilvl="0" w:tplc="E924BA80">
      <w:start w:val="1"/>
      <w:numFmt w:val="lowerLetter"/>
      <w:lvlText w:val="%1）"/>
      <w:lvlJc w:val="left"/>
      <w:pPr>
        <w:ind w:left="975" w:hanging="360"/>
      </w:pPr>
      <w:rPr>
        <w:rFonts w:hint="default"/>
      </w:rPr>
    </w:lvl>
    <w:lvl w:ilvl="1" w:tplc="04090019" w:tentative="1">
      <w:start w:val="1"/>
      <w:numFmt w:val="lowerLetter"/>
      <w:lvlText w:val="%2)"/>
      <w:lvlJc w:val="left"/>
      <w:pPr>
        <w:ind w:left="1455" w:hanging="420"/>
      </w:pPr>
    </w:lvl>
    <w:lvl w:ilvl="2" w:tplc="0409001B" w:tentative="1">
      <w:start w:val="1"/>
      <w:numFmt w:val="lowerRoman"/>
      <w:lvlText w:val="%3."/>
      <w:lvlJc w:val="right"/>
      <w:pPr>
        <w:ind w:left="1875" w:hanging="420"/>
      </w:pPr>
    </w:lvl>
    <w:lvl w:ilvl="3" w:tplc="0409000F" w:tentative="1">
      <w:start w:val="1"/>
      <w:numFmt w:val="decimal"/>
      <w:lvlText w:val="%4."/>
      <w:lvlJc w:val="left"/>
      <w:pPr>
        <w:ind w:left="2295" w:hanging="420"/>
      </w:pPr>
    </w:lvl>
    <w:lvl w:ilvl="4" w:tplc="04090019" w:tentative="1">
      <w:start w:val="1"/>
      <w:numFmt w:val="lowerLetter"/>
      <w:lvlText w:val="%5)"/>
      <w:lvlJc w:val="left"/>
      <w:pPr>
        <w:ind w:left="2715" w:hanging="420"/>
      </w:pPr>
    </w:lvl>
    <w:lvl w:ilvl="5" w:tplc="0409001B" w:tentative="1">
      <w:start w:val="1"/>
      <w:numFmt w:val="lowerRoman"/>
      <w:lvlText w:val="%6."/>
      <w:lvlJc w:val="right"/>
      <w:pPr>
        <w:ind w:left="3135" w:hanging="420"/>
      </w:pPr>
    </w:lvl>
    <w:lvl w:ilvl="6" w:tplc="0409000F" w:tentative="1">
      <w:start w:val="1"/>
      <w:numFmt w:val="decimal"/>
      <w:lvlText w:val="%7."/>
      <w:lvlJc w:val="left"/>
      <w:pPr>
        <w:ind w:left="3555" w:hanging="420"/>
      </w:pPr>
    </w:lvl>
    <w:lvl w:ilvl="7" w:tplc="04090019" w:tentative="1">
      <w:start w:val="1"/>
      <w:numFmt w:val="lowerLetter"/>
      <w:lvlText w:val="%8)"/>
      <w:lvlJc w:val="left"/>
      <w:pPr>
        <w:ind w:left="3975" w:hanging="420"/>
      </w:pPr>
    </w:lvl>
    <w:lvl w:ilvl="8" w:tplc="0409001B" w:tentative="1">
      <w:start w:val="1"/>
      <w:numFmt w:val="lowerRoman"/>
      <w:lvlText w:val="%9."/>
      <w:lvlJc w:val="right"/>
      <w:pPr>
        <w:ind w:left="4395" w:hanging="420"/>
      </w:pPr>
    </w:lvl>
  </w:abstractNum>
  <w:num w:numId="1">
    <w:abstractNumId w:val="6"/>
  </w:num>
  <w:num w:numId="2">
    <w:abstractNumId w:val="1"/>
  </w:num>
  <w:num w:numId="3">
    <w:abstractNumId w:val="7"/>
  </w:num>
  <w:num w:numId="4">
    <w:abstractNumId w:val="3"/>
  </w:num>
  <w:num w:numId="5">
    <w:abstractNumId w:val="9"/>
  </w:num>
  <w:num w:numId="6">
    <w:abstractNumId w:val="2"/>
  </w:num>
  <w:num w:numId="7">
    <w:abstractNumId w:val="0"/>
  </w:num>
  <w:num w:numId="8">
    <w:abstractNumId w:val="8"/>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54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504C"/>
    <w:rsid w:val="000026C3"/>
    <w:rsid w:val="00007687"/>
    <w:rsid w:val="00021178"/>
    <w:rsid w:val="000233EF"/>
    <w:rsid w:val="00027DDB"/>
    <w:rsid w:val="00031107"/>
    <w:rsid w:val="00033673"/>
    <w:rsid w:val="00036F5D"/>
    <w:rsid w:val="00044E88"/>
    <w:rsid w:val="00057002"/>
    <w:rsid w:val="00062C54"/>
    <w:rsid w:val="00064352"/>
    <w:rsid w:val="00067B58"/>
    <w:rsid w:val="00076499"/>
    <w:rsid w:val="00080D4B"/>
    <w:rsid w:val="000827E0"/>
    <w:rsid w:val="0008364D"/>
    <w:rsid w:val="000A49B1"/>
    <w:rsid w:val="000A5A8B"/>
    <w:rsid w:val="000B5860"/>
    <w:rsid w:val="000B5FB2"/>
    <w:rsid w:val="000B64A9"/>
    <w:rsid w:val="000D0B12"/>
    <w:rsid w:val="000D1464"/>
    <w:rsid w:val="000D1B76"/>
    <w:rsid w:val="000D2EC8"/>
    <w:rsid w:val="000D504C"/>
    <w:rsid w:val="000D636B"/>
    <w:rsid w:val="000D6C7C"/>
    <w:rsid w:val="000E41BE"/>
    <w:rsid w:val="000E4A95"/>
    <w:rsid w:val="000E4CDE"/>
    <w:rsid w:val="000F1207"/>
    <w:rsid w:val="000F131B"/>
    <w:rsid w:val="000F355F"/>
    <w:rsid w:val="000F56B2"/>
    <w:rsid w:val="000F5964"/>
    <w:rsid w:val="0010016E"/>
    <w:rsid w:val="00101178"/>
    <w:rsid w:val="00102C48"/>
    <w:rsid w:val="001057A3"/>
    <w:rsid w:val="00110677"/>
    <w:rsid w:val="0011476B"/>
    <w:rsid w:val="00115171"/>
    <w:rsid w:val="00121012"/>
    <w:rsid w:val="00123293"/>
    <w:rsid w:val="0012769E"/>
    <w:rsid w:val="00133A25"/>
    <w:rsid w:val="0013498B"/>
    <w:rsid w:val="001408EE"/>
    <w:rsid w:val="00142B1C"/>
    <w:rsid w:val="001441D0"/>
    <w:rsid w:val="001679E3"/>
    <w:rsid w:val="00171B55"/>
    <w:rsid w:val="00183747"/>
    <w:rsid w:val="00192B4A"/>
    <w:rsid w:val="00195295"/>
    <w:rsid w:val="001A1F00"/>
    <w:rsid w:val="001A7076"/>
    <w:rsid w:val="001C0C8B"/>
    <w:rsid w:val="001C2509"/>
    <w:rsid w:val="001C3D96"/>
    <w:rsid w:val="001C42AA"/>
    <w:rsid w:val="001C4DF5"/>
    <w:rsid w:val="001E707F"/>
    <w:rsid w:val="001F0893"/>
    <w:rsid w:val="001F790D"/>
    <w:rsid w:val="002052D2"/>
    <w:rsid w:val="00210B1A"/>
    <w:rsid w:val="00217A42"/>
    <w:rsid w:val="00217AAC"/>
    <w:rsid w:val="00220D73"/>
    <w:rsid w:val="00221B63"/>
    <w:rsid w:val="0022526E"/>
    <w:rsid w:val="002257C5"/>
    <w:rsid w:val="00226A48"/>
    <w:rsid w:val="002271B4"/>
    <w:rsid w:val="00235876"/>
    <w:rsid w:val="00245DB7"/>
    <w:rsid w:val="00252CF7"/>
    <w:rsid w:val="0026024B"/>
    <w:rsid w:val="002605C9"/>
    <w:rsid w:val="002609D0"/>
    <w:rsid w:val="0026661B"/>
    <w:rsid w:val="00266B6D"/>
    <w:rsid w:val="0027015B"/>
    <w:rsid w:val="00271A32"/>
    <w:rsid w:val="0027670E"/>
    <w:rsid w:val="00283BD3"/>
    <w:rsid w:val="00283EBB"/>
    <w:rsid w:val="00284E78"/>
    <w:rsid w:val="00285ED2"/>
    <w:rsid w:val="002862D5"/>
    <w:rsid w:val="00292918"/>
    <w:rsid w:val="00297429"/>
    <w:rsid w:val="002A0FC4"/>
    <w:rsid w:val="002A6767"/>
    <w:rsid w:val="002A75F5"/>
    <w:rsid w:val="002A79DD"/>
    <w:rsid w:val="002B6DD1"/>
    <w:rsid w:val="002B7CD7"/>
    <w:rsid w:val="002C1A08"/>
    <w:rsid w:val="002C2275"/>
    <w:rsid w:val="002C2F16"/>
    <w:rsid w:val="002C4509"/>
    <w:rsid w:val="002C7DCA"/>
    <w:rsid w:val="002D1B64"/>
    <w:rsid w:val="002D54EC"/>
    <w:rsid w:val="002E22CF"/>
    <w:rsid w:val="002E4BE6"/>
    <w:rsid w:val="002E59E0"/>
    <w:rsid w:val="002E6FB8"/>
    <w:rsid w:val="002E7819"/>
    <w:rsid w:val="002F5EB8"/>
    <w:rsid w:val="002F6B73"/>
    <w:rsid w:val="00301628"/>
    <w:rsid w:val="00301997"/>
    <w:rsid w:val="00304634"/>
    <w:rsid w:val="00305B3E"/>
    <w:rsid w:val="003110DB"/>
    <w:rsid w:val="00313FF3"/>
    <w:rsid w:val="00320793"/>
    <w:rsid w:val="00323CC6"/>
    <w:rsid w:val="00325BB8"/>
    <w:rsid w:val="003276CA"/>
    <w:rsid w:val="0034012E"/>
    <w:rsid w:val="00343C2C"/>
    <w:rsid w:val="0034548D"/>
    <w:rsid w:val="00350913"/>
    <w:rsid w:val="003537BB"/>
    <w:rsid w:val="003703CC"/>
    <w:rsid w:val="0037082E"/>
    <w:rsid w:val="00377530"/>
    <w:rsid w:val="003A2280"/>
    <w:rsid w:val="003B3AA0"/>
    <w:rsid w:val="003B4011"/>
    <w:rsid w:val="003B48EB"/>
    <w:rsid w:val="003C5049"/>
    <w:rsid w:val="003C5C44"/>
    <w:rsid w:val="003D5FF5"/>
    <w:rsid w:val="003D6A39"/>
    <w:rsid w:val="003E121A"/>
    <w:rsid w:val="003E2AF3"/>
    <w:rsid w:val="003E44D4"/>
    <w:rsid w:val="003E7525"/>
    <w:rsid w:val="003F1A8B"/>
    <w:rsid w:val="003F2677"/>
    <w:rsid w:val="003F481B"/>
    <w:rsid w:val="00406642"/>
    <w:rsid w:val="004177E5"/>
    <w:rsid w:val="0042562F"/>
    <w:rsid w:val="00425F13"/>
    <w:rsid w:val="00433A9A"/>
    <w:rsid w:val="00454160"/>
    <w:rsid w:val="00461692"/>
    <w:rsid w:val="00462EE5"/>
    <w:rsid w:val="00464D77"/>
    <w:rsid w:val="00466404"/>
    <w:rsid w:val="004743C3"/>
    <w:rsid w:val="00477878"/>
    <w:rsid w:val="004806D3"/>
    <w:rsid w:val="00487C37"/>
    <w:rsid w:val="00496C67"/>
    <w:rsid w:val="004A0B32"/>
    <w:rsid w:val="004A4E54"/>
    <w:rsid w:val="004B4136"/>
    <w:rsid w:val="004B638C"/>
    <w:rsid w:val="004C185E"/>
    <w:rsid w:val="004C1BE3"/>
    <w:rsid w:val="004D7FB2"/>
    <w:rsid w:val="004E3D5D"/>
    <w:rsid w:val="004E545A"/>
    <w:rsid w:val="004E54F4"/>
    <w:rsid w:val="004F12F6"/>
    <w:rsid w:val="005000E1"/>
    <w:rsid w:val="00511644"/>
    <w:rsid w:val="0052001F"/>
    <w:rsid w:val="00523B81"/>
    <w:rsid w:val="00530A00"/>
    <w:rsid w:val="0053638D"/>
    <w:rsid w:val="005414D4"/>
    <w:rsid w:val="00543ECA"/>
    <w:rsid w:val="00556C10"/>
    <w:rsid w:val="00556FC3"/>
    <w:rsid w:val="005604C9"/>
    <w:rsid w:val="0056059D"/>
    <w:rsid w:val="005612A3"/>
    <w:rsid w:val="00561342"/>
    <w:rsid w:val="005700CA"/>
    <w:rsid w:val="005753BB"/>
    <w:rsid w:val="0058057E"/>
    <w:rsid w:val="00591D83"/>
    <w:rsid w:val="005A41FA"/>
    <w:rsid w:val="005A4E4C"/>
    <w:rsid w:val="005A73AD"/>
    <w:rsid w:val="005B3000"/>
    <w:rsid w:val="005C1247"/>
    <w:rsid w:val="005C71F3"/>
    <w:rsid w:val="005D05FC"/>
    <w:rsid w:val="005D241D"/>
    <w:rsid w:val="005D5099"/>
    <w:rsid w:val="005F22C4"/>
    <w:rsid w:val="005F6074"/>
    <w:rsid w:val="005F6D06"/>
    <w:rsid w:val="005F7EEF"/>
    <w:rsid w:val="00601386"/>
    <w:rsid w:val="006074C5"/>
    <w:rsid w:val="006106B7"/>
    <w:rsid w:val="006107C5"/>
    <w:rsid w:val="00611B48"/>
    <w:rsid w:val="006144ED"/>
    <w:rsid w:val="0062226D"/>
    <w:rsid w:val="00622AAF"/>
    <w:rsid w:val="00625D89"/>
    <w:rsid w:val="00630C31"/>
    <w:rsid w:val="0063378C"/>
    <w:rsid w:val="00635626"/>
    <w:rsid w:val="00636DAB"/>
    <w:rsid w:val="00653819"/>
    <w:rsid w:val="0065437C"/>
    <w:rsid w:val="00655801"/>
    <w:rsid w:val="006606DC"/>
    <w:rsid w:val="006719E8"/>
    <w:rsid w:val="006734B5"/>
    <w:rsid w:val="00674767"/>
    <w:rsid w:val="00674FAF"/>
    <w:rsid w:val="006766C5"/>
    <w:rsid w:val="00676AE3"/>
    <w:rsid w:val="00680C48"/>
    <w:rsid w:val="00694F95"/>
    <w:rsid w:val="006A4C65"/>
    <w:rsid w:val="006A6668"/>
    <w:rsid w:val="006C2D6E"/>
    <w:rsid w:val="006C6F1D"/>
    <w:rsid w:val="006D2158"/>
    <w:rsid w:val="006D574D"/>
    <w:rsid w:val="006F7A52"/>
    <w:rsid w:val="00701BCB"/>
    <w:rsid w:val="00703BD5"/>
    <w:rsid w:val="00707C4F"/>
    <w:rsid w:val="007133E9"/>
    <w:rsid w:val="00714D9C"/>
    <w:rsid w:val="0071760A"/>
    <w:rsid w:val="00721D42"/>
    <w:rsid w:val="00727951"/>
    <w:rsid w:val="007375E6"/>
    <w:rsid w:val="00755E7D"/>
    <w:rsid w:val="00756BEF"/>
    <w:rsid w:val="0075743A"/>
    <w:rsid w:val="0076380D"/>
    <w:rsid w:val="00763E8F"/>
    <w:rsid w:val="00771104"/>
    <w:rsid w:val="007729B3"/>
    <w:rsid w:val="00776877"/>
    <w:rsid w:val="0078226F"/>
    <w:rsid w:val="00790E75"/>
    <w:rsid w:val="0079214A"/>
    <w:rsid w:val="00792972"/>
    <w:rsid w:val="007A068A"/>
    <w:rsid w:val="007A2A4C"/>
    <w:rsid w:val="007B2069"/>
    <w:rsid w:val="007B5556"/>
    <w:rsid w:val="007C2122"/>
    <w:rsid w:val="007C59B8"/>
    <w:rsid w:val="007C71FB"/>
    <w:rsid w:val="007D4555"/>
    <w:rsid w:val="007D57D8"/>
    <w:rsid w:val="007E7C3F"/>
    <w:rsid w:val="007F04A3"/>
    <w:rsid w:val="007F088B"/>
    <w:rsid w:val="007F098A"/>
    <w:rsid w:val="007F3123"/>
    <w:rsid w:val="007F3216"/>
    <w:rsid w:val="007F5A8A"/>
    <w:rsid w:val="007F77C5"/>
    <w:rsid w:val="00802742"/>
    <w:rsid w:val="008107C8"/>
    <w:rsid w:val="00810B2E"/>
    <w:rsid w:val="008161C6"/>
    <w:rsid w:val="008172A8"/>
    <w:rsid w:val="00830F6C"/>
    <w:rsid w:val="00834BA2"/>
    <w:rsid w:val="00834D3C"/>
    <w:rsid w:val="00835AEE"/>
    <w:rsid w:val="008408A9"/>
    <w:rsid w:val="00840E4B"/>
    <w:rsid w:val="00841967"/>
    <w:rsid w:val="00841D10"/>
    <w:rsid w:val="00855806"/>
    <w:rsid w:val="00855ADD"/>
    <w:rsid w:val="00856EE1"/>
    <w:rsid w:val="00857770"/>
    <w:rsid w:val="00863DEA"/>
    <w:rsid w:val="00864014"/>
    <w:rsid w:val="008655C3"/>
    <w:rsid w:val="00872B5B"/>
    <w:rsid w:val="00876C1A"/>
    <w:rsid w:val="00881797"/>
    <w:rsid w:val="008A0402"/>
    <w:rsid w:val="008A182B"/>
    <w:rsid w:val="008B0E0F"/>
    <w:rsid w:val="008C342F"/>
    <w:rsid w:val="008D37B1"/>
    <w:rsid w:val="008E115D"/>
    <w:rsid w:val="008E1691"/>
    <w:rsid w:val="008E3F04"/>
    <w:rsid w:val="008F1EE5"/>
    <w:rsid w:val="008F408E"/>
    <w:rsid w:val="008F5B7F"/>
    <w:rsid w:val="009055B8"/>
    <w:rsid w:val="00905F54"/>
    <w:rsid w:val="00910B50"/>
    <w:rsid w:val="0091249B"/>
    <w:rsid w:val="00914017"/>
    <w:rsid w:val="00922C22"/>
    <w:rsid w:val="0092605C"/>
    <w:rsid w:val="009270EE"/>
    <w:rsid w:val="00947576"/>
    <w:rsid w:val="00965885"/>
    <w:rsid w:val="009722BA"/>
    <w:rsid w:val="00974D94"/>
    <w:rsid w:val="0098540F"/>
    <w:rsid w:val="00987579"/>
    <w:rsid w:val="00987B13"/>
    <w:rsid w:val="009A0939"/>
    <w:rsid w:val="009A139F"/>
    <w:rsid w:val="009A4744"/>
    <w:rsid w:val="009A4CE0"/>
    <w:rsid w:val="009A7035"/>
    <w:rsid w:val="009B5363"/>
    <w:rsid w:val="009C7609"/>
    <w:rsid w:val="009D3B1A"/>
    <w:rsid w:val="009E696A"/>
    <w:rsid w:val="00A056BA"/>
    <w:rsid w:val="00A13463"/>
    <w:rsid w:val="00A23566"/>
    <w:rsid w:val="00A302C0"/>
    <w:rsid w:val="00A34423"/>
    <w:rsid w:val="00A34EC3"/>
    <w:rsid w:val="00A37230"/>
    <w:rsid w:val="00A413BE"/>
    <w:rsid w:val="00A42430"/>
    <w:rsid w:val="00A44B54"/>
    <w:rsid w:val="00A45D39"/>
    <w:rsid w:val="00A56736"/>
    <w:rsid w:val="00A60708"/>
    <w:rsid w:val="00A766F4"/>
    <w:rsid w:val="00A87C1A"/>
    <w:rsid w:val="00A90FEA"/>
    <w:rsid w:val="00AA771D"/>
    <w:rsid w:val="00AB2378"/>
    <w:rsid w:val="00AB28E2"/>
    <w:rsid w:val="00AB6E3E"/>
    <w:rsid w:val="00AC342A"/>
    <w:rsid w:val="00AC634D"/>
    <w:rsid w:val="00AC7418"/>
    <w:rsid w:val="00AE307F"/>
    <w:rsid w:val="00AE6A05"/>
    <w:rsid w:val="00B016F5"/>
    <w:rsid w:val="00B02557"/>
    <w:rsid w:val="00B06873"/>
    <w:rsid w:val="00B1154E"/>
    <w:rsid w:val="00B209AB"/>
    <w:rsid w:val="00B24688"/>
    <w:rsid w:val="00B35EC4"/>
    <w:rsid w:val="00B37AF5"/>
    <w:rsid w:val="00B441C5"/>
    <w:rsid w:val="00B5132D"/>
    <w:rsid w:val="00B64A73"/>
    <w:rsid w:val="00B711E3"/>
    <w:rsid w:val="00B75EEB"/>
    <w:rsid w:val="00B76E54"/>
    <w:rsid w:val="00B8063E"/>
    <w:rsid w:val="00B8141D"/>
    <w:rsid w:val="00B81CE3"/>
    <w:rsid w:val="00B908BE"/>
    <w:rsid w:val="00B93980"/>
    <w:rsid w:val="00B95DF9"/>
    <w:rsid w:val="00B969E0"/>
    <w:rsid w:val="00BA1E4D"/>
    <w:rsid w:val="00BB01B3"/>
    <w:rsid w:val="00BB3B8D"/>
    <w:rsid w:val="00BB6CA7"/>
    <w:rsid w:val="00BC4DD4"/>
    <w:rsid w:val="00BC79DF"/>
    <w:rsid w:val="00BE5341"/>
    <w:rsid w:val="00BF26EC"/>
    <w:rsid w:val="00BF2C65"/>
    <w:rsid w:val="00BF3627"/>
    <w:rsid w:val="00BF36D2"/>
    <w:rsid w:val="00BF74CA"/>
    <w:rsid w:val="00BF76E5"/>
    <w:rsid w:val="00C0137F"/>
    <w:rsid w:val="00C01E0C"/>
    <w:rsid w:val="00C07A73"/>
    <w:rsid w:val="00C14935"/>
    <w:rsid w:val="00C14C05"/>
    <w:rsid w:val="00C21FDF"/>
    <w:rsid w:val="00C23165"/>
    <w:rsid w:val="00C231CB"/>
    <w:rsid w:val="00C2450A"/>
    <w:rsid w:val="00C31635"/>
    <w:rsid w:val="00C32AC9"/>
    <w:rsid w:val="00C34F56"/>
    <w:rsid w:val="00C407A3"/>
    <w:rsid w:val="00C43788"/>
    <w:rsid w:val="00C43FF6"/>
    <w:rsid w:val="00C64322"/>
    <w:rsid w:val="00C70B13"/>
    <w:rsid w:val="00C7261A"/>
    <w:rsid w:val="00C807D0"/>
    <w:rsid w:val="00C80CDC"/>
    <w:rsid w:val="00C90591"/>
    <w:rsid w:val="00C93542"/>
    <w:rsid w:val="00C93D2A"/>
    <w:rsid w:val="00CA7302"/>
    <w:rsid w:val="00CB45B3"/>
    <w:rsid w:val="00CB673D"/>
    <w:rsid w:val="00CC087B"/>
    <w:rsid w:val="00CC08E3"/>
    <w:rsid w:val="00CD180B"/>
    <w:rsid w:val="00CD4D22"/>
    <w:rsid w:val="00CE16E7"/>
    <w:rsid w:val="00CE6373"/>
    <w:rsid w:val="00CF2582"/>
    <w:rsid w:val="00CF27C6"/>
    <w:rsid w:val="00CF6F72"/>
    <w:rsid w:val="00D00A7A"/>
    <w:rsid w:val="00D02BAF"/>
    <w:rsid w:val="00D25BE9"/>
    <w:rsid w:val="00D263D9"/>
    <w:rsid w:val="00D30952"/>
    <w:rsid w:val="00D35D93"/>
    <w:rsid w:val="00D450DC"/>
    <w:rsid w:val="00D4538E"/>
    <w:rsid w:val="00D53273"/>
    <w:rsid w:val="00D66FC5"/>
    <w:rsid w:val="00D73496"/>
    <w:rsid w:val="00D73C2F"/>
    <w:rsid w:val="00D7621F"/>
    <w:rsid w:val="00D762AC"/>
    <w:rsid w:val="00D77AF0"/>
    <w:rsid w:val="00D80F2F"/>
    <w:rsid w:val="00D82FEE"/>
    <w:rsid w:val="00D85987"/>
    <w:rsid w:val="00D958C3"/>
    <w:rsid w:val="00D9600A"/>
    <w:rsid w:val="00D979EB"/>
    <w:rsid w:val="00DA0A8B"/>
    <w:rsid w:val="00DA1F44"/>
    <w:rsid w:val="00DB3D87"/>
    <w:rsid w:val="00DB66D3"/>
    <w:rsid w:val="00DC4B75"/>
    <w:rsid w:val="00DE42FA"/>
    <w:rsid w:val="00DF05EB"/>
    <w:rsid w:val="00DF5CB6"/>
    <w:rsid w:val="00E00C15"/>
    <w:rsid w:val="00E00FFF"/>
    <w:rsid w:val="00E03A69"/>
    <w:rsid w:val="00E058E1"/>
    <w:rsid w:val="00E073BD"/>
    <w:rsid w:val="00E07E4E"/>
    <w:rsid w:val="00E16840"/>
    <w:rsid w:val="00E173B1"/>
    <w:rsid w:val="00E21451"/>
    <w:rsid w:val="00E21EF6"/>
    <w:rsid w:val="00E21EF7"/>
    <w:rsid w:val="00E30476"/>
    <w:rsid w:val="00E347F8"/>
    <w:rsid w:val="00E4047E"/>
    <w:rsid w:val="00E45431"/>
    <w:rsid w:val="00E47730"/>
    <w:rsid w:val="00E513B5"/>
    <w:rsid w:val="00E55BE4"/>
    <w:rsid w:val="00E55E63"/>
    <w:rsid w:val="00E61321"/>
    <w:rsid w:val="00E71CA1"/>
    <w:rsid w:val="00E7380A"/>
    <w:rsid w:val="00E74CD2"/>
    <w:rsid w:val="00E82989"/>
    <w:rsid w:val="00E82FF3"/>
    <w:rsid w:val="00E86650"/>
    <w:rsid w:val="00E87A2C"/>
    <w:rsid w:val="00EA20B9"/>
    <w:rsid w:val="00EA3D24"/>
    <w:rsid w:val="00EA4C9A"/>
    <w:rsid w:val="00EA6B9C"/>
    <w:rsid w:val="00EB7F3B"/>
    <w:rsid w:val="00ED6EE6"/>
    <w:rsid w:val="00EE6032"/>
    <w:rsid w:val="00EF53DB"/>
    <w:rsid w:val="00EF60CE"/>
    <w:rsid w:val="00F00E41"/>
    <w:rsid w:val="00F010BA"/>
    <w:rsid w:val="00F024EE"/>
    <w:rsid w:val="00F07BD8"/>
    <w:rsid w:val="00F20F8B"/>
    <w:rsid w:val="00F246CF"/>
    <w:rsid w:val="00F30720"/>
    <w:rsid w:val="00F31AC4"/>
    <w:rsid w:val="00F42414"/>
    <w:rsid w:val="00F429C2"/>
    <w:rsid w:val="00F42DC9"/>
    <w:rsid w:val="00F53215"/>
    <w:rsid w:val="00F574E2"/>
    <w:rsid w:val="00F660B0"/>
    <w:rsid w:val="00F67FBA"/>
    <w:rsid w:val="00F71AA8"/>
    <w:rsid w:val="00F77A37"/>
    <w:rsid w:val="00F77B23"/>
    <w:rsid w:val="00F77BAE"/>
    <w:rsid w:val="00F804E6"/>
    <w:rsid w:val="00F85966"/>
    <w:rsid w:val="00F92BDE"/>
    <w:rsid w:val="00FA084D"/>
    <w:rsid w:val="00FB4C70"/>
    <w:rsid w:val="00FC3D12"/>
    <w:rsid w:val="00FC7361"/>
    <w:rsid w:val="00FD297C"/>
    <w:rsid w:val="00FD4649"/>
    <w:rsid w:val="00FE7C8B"/>
    <w:rsid w:val="00FF7C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5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2F16"/>
  </w:style>
  <w:style w:type="paragraph" w:styleId="1">
    <w:name w:val="heading 1"/>
    <w:basedOn w:val="a"/>
    <w:next w:val="a"/>
    <w:link w:val="1Char"/>
    <w:uiPriority w:val="9"/>
    <w:qFormat/>
    <w:rsid w:val="002C2F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2C2F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2C2F1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2C2F16"/>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2C2F16"/>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2C2F1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2C2F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C2F1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2C2F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2F16"/>
    <w:pPr>
      <w:ind w:left="720"/>
      <w:contextualSpacing/>
    </w:pPr>
  </w:style>
  <w:style w:type="paragraph" w:styleId="a4">
    <w:name w:val="header"/>
    <w:basedOn w:val="a"/>
    <w:link w:val="Char"/>
    <w:uiPriority w:val="99"/>
    <w:semiHidden/>
    <w:unhideWhenUsed/>
    <w:rsid w:val="00A4243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semiHidden/>
    <w:rsid w:val="00A42430"/>
    <w:rPr>
      <w:sz w:val="18"/>
      <w:szCs w:val="18"/>
    </w:rPr>
  </w:style>
  <w:style w:type="paragraph" w:styleId="a5">
    <w:name w:val="footer"/>
    <w:basedOn w:val="a"/>
    <w:link w:val="Char0"/>
    <w:uiPriority w:val="99"/>
    <w:semiHidden/>
    <w:unhideWhenUsed/>
    <w:rsid w:val="00A42430"/>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semiHidden/>
    <w:rsid w:val="00A42430"/>
    <w:rPr>
      <w:sz w:val="18"/>
      <w:szCs w:val="18"/>
    </w:rPr>
  </w:style>
  <w:style w:type="table" w:styleId="a6">
    <w:name w:val="Table Grid"/>
    <w:basedOn w:val="a1"/>
    <w:uiPriority w:val="59"/>
    <w:rsid w:val="00283EB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6C6F1D"/>
    <w:pPr>
      <w:spacing w:line="240" w:lineRule="auto"/>
    </w:pPr>
    <w:rPr>
      <w:sz w:val="18"/>
      <w:szCs w:val="18"/>
    </w:rPr>
  </w:style>
  <w:style w:type="character" w:customStyle="1" w:styleId="Char1">
    <w:name w:val="批注框文本 Char"/>
    <w:basedOn w:val="a0"/>
    <w:link w:val="a7"/>
    <w:uiPriority w:val="99"/>
    <w:semiHidden/>
    <w:rsid w:val="006C6F1D"/>
    <w:rPr>
      <w:sz w:val="18"/>
      <w:szCs w:val="18"/>
    </w:rPr>
  </w:style>
  <w:style w:type="character" w:customStyle="1" w:styleId="1Char">
    <w:name w:val="标题 1 Char"/>
    <w:basedOn w:val="a0"/>
    <w:link w:val="1"/>
    <w:uiPriority w:val="9"/>
    <w:rsid w:val="002C2F16"/>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2C2F16"/>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2C2F16"/>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2C2F16"/>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2C2F16"/>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2C2F16"/>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2C2F16"/>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2C2F16"/>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2C2F16"/>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unhideWhenUsed/>
    <w:qFormat/>
    <w:rsid w:val="002C2F16"/>
    <w:pPr>
      <w:spacing w:line="240" w:lineRule="auto"/>
    </w:pPr>
    <w:rPr>
      <w:b/>
      <w:bCs/>
      <w:color w:val="4F81BD" w:themeColor="accent1"/>
      <w:sz w:val="18"/>
      <w:szCs w:val="18"/>
    </w:rPr>
  </w:style>
  <w:style w:type="paragraph" w:styleId="a9">
    <w:name w:val="Title"/>
    <w:basedOn w:val="a"/>
    <w:next w:val="a"/>
    <w:link w:val="Char2"/>
    <w:uiPriority w:val="10"/>
    <w:qFormat/>
    <w:rsid w:val="002C2F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标题 Char"/>
    <w:basedOn w:val="a0"/>
    <w:link w:val="a9"/>
    <w:uiPriority w:val="10"/>
    <w:rsid w:val="002C2F16"/>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3"/>
    <w:uiPriority w:val="11"/>
    <w:qFormat/>
    <w:rsid w:val="002C2F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副标题 Char"/>
    <w:basedOn w:val="a0"/>
    <w:link w:val="aa"/>
    <w:uiPriority w:val="11"/>
    <w:rsid w:val="002C2F16"/>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2C2F16"/>
    <w:rPr>
      <w:b/>
      <w:bCs/>
    </w:rPr>
  </w:style>
  <w:style w:type="character" w:styleId="ac">
    <w:name w:val="Emphasis"/>
    <w:basedOn w:val="a0"/>
    <w:uiPriority w:val="20"/>
    <w:qFormat/>
    <w:rsid w:val="002C2F16"/>
    <w:rPr>
      <w:i/>
      <w:iCs/>
    </w:rPr>
  </w:style>
  <w:style w:type="paragraph" w:styleId="ad">
    <w:name w:val="No Spacing"/>
    <w:uiPriority w:val="1"/>
    <w:qFormat/>
    <w:rsid w:val="002C2F16"/>
    <w:pPr>
      <w:spacing w:after="0" w:line="240" w:lineRule="auto"/>
    </w:pPr>
  </w:style>
  <w:style w:type="paragraph" w:styleId="ae">
    <w:name w:val="Quote"/>
    <w:basedOn w:val="a"/>
    <w:next w:val="a"/>
    <w:link w:val="Char4"/>
    <w:uiPriority w:val="29"/>
    <w:qFormat/>
    <w:rsid w:val="002C2F16"/>
    <w:rPr>
      <w:i/>
      <w:iCs/>
      <w:color w:val="000000" w:themeColor="text1"/>
    </w:rPr>
  </w:style>
  <w:style w:type="character" w:customStyle="1" w:styleId="Char4">
    <w:name w:val="引用 Char"/>
    <w:basedOn w:val="a0"/>
    <w:link w:val="ae"/>
    <w:uiPriority w:val="29"/>
    <w:rsid w:val="002C2F16"/>
    <w:rPr>
      <w:i/>
      <w:iCs/>
      <w:color w:val="000000" w:themeColor="text1"/>
    </w:rPr>
  </w:style>
  <w:style w:type="paragraph" w:styleId="af">
    <w:name w:val="Intense Quote"/>
    <w:basedOn w:val="a"/>
    <w:next w:val="a"/>
    <w:link w:val="Char5"/>
    <w:uiPriority w:val="30"/>
    <w:qFormat/>
    <w:rsid w:val="002C2F16"/>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f"/>
    <w:uiPriority w:val="30"/>
    <w:rsid w:val="002C2F16"/>
    <w:rPr>
      <w:b/>
      <w:bCs/>
      <w:i/>
      <w:iCs/>
      <w:color w:val="4F81BD" w:themeColor="accent1"/>
    </w:rPr>
  </w:style>
  <w:style w:type="character" w:styleId="af0">
    <w:name w:val="Subtle Emphasis"/>
    <w:basedOn w:val="a0"/>
    <w:uiPriority w:val="19"/>
    <w:qFormat/>
    <w:rsid w:val="002C2F16"/>
    <w:rPr>
      <w:i/>
      <w:iCs/>
      <w:color w:val="808080" w:themeColor="text1" w:themeTint="7F"/>
    </w:rPr>
  </w:style>
  <w:style w:type="character" w:styleId="af1">
    <w:name w:val="Intense Emphasis"/>
    <w:basedOn w:val="a0"/>
    <w:uiPriority w:val="21"/>
    <w:qFormat/>
    <w:rsid w:val="002C2F16"/>
    <w:rPr>
      <w:b/>
      <w:bCs/>
      <w:i/>
      <w:iCs/>
      <w:color w:val="4F81BD" w:themeColor="accent1"/>
    </w:rPr>
  </w:style>
  <w:style w:type="character" w:styleId="af2">
    <w:name w:val="Subtle Reference"/>
    <w:basedOn w:val="a0"/>
    <w:uiPriority w:val="31"/>
    <w:qFormat/>
    <w:rsid w:val="002C2F16"/>
    <w:rPr>
      <w:smallCaps/>
      <w:color w:val="C0504D" w:themeColor="accent2"/>
      <w:u w:val="single"/>
    </w:rPr>
  </w:style>
  <w:style w:type="character" w:styleId="af3">
    <w:name w:val="Intense Reference"/>
    <w:basedOn w:val="a0"/>
    <w:uiPriority w:val="32"/>
    <w:qFormat/>
    <w:rsid w:val="002C2F16"/>
    <w:rPr>
      <w:b/>
      <w:bCs/>
      <w:smallCaps/>
      <w:color w:val="C0504D" w:themeColor="accent2"/>
      <w:spacing w:val="5"/>
      <w:u w:val="single"/>
    </w:rPr>
  </w:style>
  <w:style w:type="character" w:styleId="af4">
    <w:name w:val="Book Title"/>
    <w:basedOn w:val="a0"/>
    <w:uiPriority w:val="33"/>
    <w:qFormat/>
    <w:rsid w:val="002C2F16"/>
    <w:rPr>
      <w:b/>
      <w:bCs/>
      <w:smallCaps/>
      <w:spacing w:val="5"/>
    </w:rPr>
  </w:style>
  <w:style w:type="paragraph" w:styleId="TOC">
    <w:name w:val="TOC Heading"/>
    <w:basedOn w:val="1"/>
    <w:next w:val="a"/>
    <w:uiPriority w:val="39"/>
    <w:semiHidden/>
    <w:unhideWhenUsed/>
    <w:qFormat/>
    <w:rsid w:val="002C2F16"/>
    <w:pPr>
      <w:outlineLvl w:val="9"/>
    </w:pPr>
  </w:style>
  <w:style w:type="paragraph" w:styleId="af5">
    <w:name w:val="Normal (Web)"/>
    <w:basedOn w:val="a"/>
    <w:uiPriority w:val="99"/>
    <w:unhideWhenUsed/>
    <w:rsid w:val="00776877"/>
    <w:pPr>
      <w:spacing w:before="100" w:beforeAutospacing="1" w:after="100" w:afterAutospacing="1" w:line="240" w:lineRule="auto"/>
    </w:pPr>
    <w:rPr>
      <w:rFonts w:ascii="宋体" w:eastAsia="宋体" w:hAnsi="宋体" w:cs="宋体"/>
      <w:sz w:val="24"/>
      <w:szCs w:val="24"/>
      <w:lang w:eastAsia="zh-CN" w:bidi="ar-SA"/>
    </w:rPr>
  </w:style>
</w:styles>
</file>

<file path=word/webSettings.xml><?xml version="1.0" encoding="utf-8"?>
<w:webSettings xmlns:r="http://schemas.openxmlformats.org/officeDocument/2006/relationships" xmlns:w="http://schemas.openxmlformats.org/wordprocessingml/2006/main">
  <w:divs>
    <w:div w:id="183986073">
      <w:bodyDiv w:val="1"/>
      <w:marLeft w:val="0"/>
      <w:marRight w:val="0"/>
      <w:marTop w:val="0"/>
      <w:marBottom w:val="0"/>
      <w:divBdr>
        <w:top w:val="none" w:sz="0" w:space="0" w:color="auto"/>
        <w:left w:val="none" w:sz="0" w:space="0" w:color="auto"/>
        <w:bottom w:val="none" w:sz="0" w:space="0" w:color="auto"/>
        <w:right w:val="none" w:sz="0" w:space="0" w:color="auto"/>
      </w:divBdr>
    </w:div>
    <w:div w:id="227114040">
      <w:bodyDiv w:val="1"/>
      <w:marLeft w:val="0"/>
      <w:marRight w:val="0"/>
      <w:marTop w:val="0"/>
      <w:marBottom w:val="0"/>
      <w:divBdr>
        <w:top w:val="none" w:sz="0" w:space="0" w:color="auto"/>
        <w:left w:val="none" w:sz="0" w:space="0" w:color="auto"/>
        <w:bottom w:val="none" w:sz="0" w:space="0" w:color="auto"/>
        <w:right w:val="none" w:sz="0" w:space="0" w:color="auto"/>
      </w:divBdr>
    </w:div>
    <w:div w:id="460654832">
      <w:bodyDiv w:val="1"/>
      <w:marLeft w:val="0"/>
      <w:marRight w:val="0"/>
      <w:marTop w:val="0"/>
      <w:marBottom w:val="0"/>
      <w:divBdr>
        <w:top w:val="none" w:sz="0" w:space="0" w:color="auto"/>
        <w:left w:val="none" w:sz="0" w:space="0" w:color="auto"/>
        <w:bottom w:val="none" w:sz="0" w:space="0" w:color="auto"/>
        <w:right w:val="none" w:sz="0" w:space="0" w:color="auto"/>
      </w:divBdr>
    </w:div>
    <w:div w:id="634067347">
      <w:bodyDiv w:val="1"/>
      <w:marLeft w:val="0"/>
      <w:marRight w:val="0"/>
      <w:marTop w:val="0"/>
      <w:marBottom w:val="0"/>
      <w:divBdr>
        <w:top w:val="none" w:sz="0" w:space="0" w:color="auto"/>
        <w:left w:val="none" w:sz="0" w:space="0" w:color="auto"/>
        <w:bottom w:val="none" w:sz="0" w:space="0" w:color="auto"/>
        <w:right w:val="none" w:sz="0" w:space="0" w:color="auto"/>
      </w:divBdr>
    </w:div>
    <w:div w:id="896431405">
      <w:bodyDiv w:val="1"/>
      <w:marLeft w:val="0"/>
      <w:marRight w:val="0"/>
      <w:marTop w:val="0"/>
      <w:marBottom w:val="0"/>
      <w:divBdr>
        <w:top w:val="none" w:sz="0" w:space="0" w:color="auto"/>
        <w:left w:val="none" w:sz="0" w:space="0" w:color="auto"/>
        <w:bottom w:val="none" w:sz="0" w:space="0" w:color="auto"/>
        <w:right w:val="none" w:sz="0" w:space="0" w:color="auto"/>
      </w:divBdr>
    </w:div>
    <w:div w:id="993601990">
      <w:bodyDiv w:val="1"/>
      <w:marLeft w:val="0"/>
      <w:marRight w:val="0"/>
      <w:marTop w:val="0"/>
      <w:marBottom w:val="0"/>
      <w:divBdr>
        <w:top w:val="none" w:sz="0" w:space="0" w:color="auto"/>
        <w:left w:val="none" w:sz="0" w:space="0" w:color="auto"/>
        <w:bottom w:val="none" w:sz="0" w:space="0" w:color="auto"/>
        <w:right w:val="none" w:sz="0" w:space="0" w:color="auto"/>
      </w:divBdr>
    </w:div>
    <w:div w:id="1186091162">
      <w:bodyDiv w:val="1"/>
      <w:marLeft w:val="0"/>
      <w:marRight w:val="0"/>
      <w:marTop w:val="0"/>
      <w:marBottom w:val="0"/>
      <w:divBdr>
        <w:top w:val="none" w:sz="0" w:space="0" w:color="auto"/>
        <w:left w:val="none" w:sz="0" w:space="0" w:color="auto"/>
        <w:bottom w:val="none" w:sz="0" w:space="0" w:color="auto"/>
        <w:right w:val="none" w:sz="0" w:space="0" w:color="auto"/>
      </w:divBdr>
    </w:div>
    <w:div w:id="1193687170">
      <w:bodyDiv w:val="1"/>
      <w:marLeft w:val="0"/>
      <w:marRight w:val="0"/>
      <w:marTop w:val="0"/>
      <w:marBottom w:val="0"/>
      <w:divBdr>
        <w:top w:val="none" w:sz="0" w:space="0" w:color="auto"/>
        <w:left w:val="none" w:sz="0" w:space="0" w:color="auto"/>
        <w:bottom w:val="none" w:sz="0" w:space="0" w:color="auto"/>
        <w:right w:val="none" w:sz="0" w:space="0" w:color="auto"/>
      </w:divBdr>
    </w:div>
    <w:div w:id="1481923292">
      <w:bodyDiv w:val="1"/>
      <w:marLeft w:val="0"/>
      <w:marRight w:val="0"/>
      <w:marTop w:val="0"/>
      <w:marBottom w:val="0"/>
      <w:divBdr>
        <w:top w:val="none" w:sz="0" w:space="0" w:color="auto"/>
        <w:left w:val="none" w:sz="0" w:space="0" w:color="auto"/>
        <w:bottom w:val="none" w:sz="0" w:space="0" w:color="auto"/>
        <w:right w:val="none" w:sz="0" w:space="0" w:color="auto"/>
      </w:divBdr>
    </w:div>
    <w:div w:id="1498840890">
      <w:bodyDiv w:val="1"/>
      <w:marLeft w:val="0"/>
      <w:marRight w:val="0"/>
      <w:marTop w:val="0"/>
      <w:marBottom w:val="0"/>
      <w:divBdr>
        <w:top w:val="none" w:sz="0" w:space="0" w:color="auto"/>
        <w:left w:val="none" w:sz="0" w:space="0" w:color="auto"/>
        <w:bottom w:val="none" w:sz="0" w:space="0" w:color="auto"/>
        <w:right w:val="none" w:sz="0" w:space="0" w:color="auto"/>
      </w:divBdr>
    </w:div>
    <w:div w:id="1560705056">
      <w:bodyDiv w:val="1"/>
      <w:marLeft w:val="0"/>
      <w:marRight w:val="0"/>
      <w:marTop w:val="0"/>
      <w:marBottom w:val="0"/>
      <w:divBdr>
        <w:top w:val="none" w:sz="0" w:space="0" w:color="auto"/>
        <w:left w:val="none" w:sz="0" w:space="0" w:color="auto"/>
        <w:bottom w:val="none" w:sz="0" w:space="0" w:color="auto"/>
        <w:right w:val="none" w:sz="0" w:space="0" w:color="auto"/>
      </w:divBdr>
    </w:div>
    <w:div w:id="1586766754">
      <w:bodyDiv w:val="1"/>
      <w:marLeft w:val="0"/>
      <w:marRight w:val="0"/>
      <w:marTop w:val="0"/>
      <w:marBottom w:val="0"/>
      <w:divBdr>
        <w:top w:val="none" w:sz="0" w:space="0" w:color="auto"/>
        <w:left w:val="none" w:sz="0" w:space="0" w:color="auto"/>
        <w:bottom w:val="none" w:sz="0" w:space="0" w:color="auto"/>
        <w:right w:val="none" w:sz="0" w:space="0" w:color="auto"/>
      </w:divBdr>
    </w:div>
    <w:div w:id="210648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21917A-2B8A-4760-9143-2B8E9AEE4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3700</TotalTime>
  <Pages>22</Pages>
  <Words>3172</Words>
  <Characters>18085</Characters>
  <Application>Microsoft Office Word</Application>
  <DocSecurity>0</DocSecurity>
  <Lines>150</Lines>
  <Paragraphs>42</Paragraphs>
  <ScaleCrop>false</ScaleCrop>
  <Company/>
  <LinksUpToDate>false</LinksUpToDate>
  <CharactersWithSpaces>21215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53</cp:revision>
  <dcterms:created xsi:type="dcterms:W3CDTF">2022-04-25T09:55:00Z</dcterms:created>
  <dcterms:modified xsi:type="dcterms:W3CDTF">2022-05-11T04:29:00Z</dcterms:modified>
</cp:coreProperties>
</file>