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A73" w:rsidRDefault="00003458" w:rsidP="00D77AF0">
      <w:pPr>
        <w:ind w:left="210" w:right="210"/>
      </w:pPr>
      <w:r>
        <w:t>建筑碳排放理论研究</w:t>
      </w:r>
    </w:p>
    <w:p w:rsidR="00A12A6D" w:rsidRDefault="00A12A6D" w:rsidP="00A12A6D">
      <w:pPr>
        <w:ind w:left="210" w:right="210" w:firstLine="210"/>
      </w:pPr>
      <w:r>
        <w:rPr>
          <w:rFonts w:hint="eastAsia"/>
        </w:rPr>
        <w:t>建筑全生命周期理论</w:t>
      </w:r>
    </w:p>
    <w:p w:rsidR="00A12A6D" w:rsidRDefault="00A12A6D" w:rsidP="00D77AF0">
      <w:pPr>
        <w:ind w:left="210" w:right="210"/>
      </w:pPr>
      <w:r>
        <w:rPr>
          <w:rFonts w:hint="eastAsia"/>
        </w:rPr>
        <w:tab/>
      </w:r>
      <w:r>
        <w:rPr>
          <w:rFonts w:hint="eastAsia"/>
        </w:rPr>
        <w:t>建筑碳排放计算方法</w:t>
      </w:r>
    </w:p>
    <w:p w:rsidR="00A12A6D" w:rsidRDefault="00A12A6D" w:rsidP="00D77AF0">
      <w:pPr>
        <w:ind w:left="210" w:right="210"/>
      </w:pPr>
      <w:r>
        <w:rPr>
          <w:rFonts w:hint="eastAsia"/>
        </w:rPr>
        <w:tab/>
      </w:r>
      <w:r>
        <w:rPr>
          <w:rFonts w:hint="eastAsia"/>
        </w:rPr>
        <w:tab/>
      </w:r>
      <w:r>
        <w:rPr>
          <w:rFonts w:hint="eastAsia"/>
        </w:rPr>
        <w:t>标准计算方法</w:t>
      </w:r>
    </w:p>
    <w:p w:rsidR="00A12A6D" w:rsidRDefault="00A12A6D" w:rsidP="00D77AF0">
      <w:pPr>
        <w:ind w:left="210" w:right="210"/>
      </w:pPr>
      <w:r>
        <w:rPr>
          <w:rFonts w:hint="eastAsia"/>
        </w:rPr>
        <w:tab/>
      </w:r>
      <w:r>
        <w:rPr>
          <w:rFonts w:hint="eastAsia"/>
        </w:rPr>
        <w:tab/>
      </w:r>
      <w:r>
        <w:rPr>
          <w:rFonts w:hint="eastAsia"/>
        </w:rPr>
        <w:t>资料收集</w:t>
      </w:r>
    </w:p>
    <w:p w:rsidR="00A12A6D" w:rsidRDefault="00A12A6D" w:rsidP="00D77AF0">
      <w:pPr>
        <w:ind w:left="210" w:right="210"/>
      </w:pPr>
      <w:r>
        <w:rPr>
          <w:rFonts w:hint="eastAsia"/>
        </w:rPr>
        <w:tab/>
      </w:r>
      <w:r>
        <w:rPr>
          <w:rFonts w:hint="eastAsia"/>
        </w:rPr>
        <w:t>碳排放计算模型</w:t>
      </w:r>
    </w:p>
    <w:p w:rsidR="00A12A6D" w:rsidRDefault="00A12A6D" w:rsidP="00D77AF0">
      <w:pPr>
        <w:ind w:left="210" w:right="210"/>
      </w:pPr>
      <w:r>
        <w:rPr>
          <w:rFonts w:hint="eastAsia"/>
        </w:rPr>
        <w:tab/>
      </w:r>
      <w:r>
        <w:rPr>
          <w:rFonts w:hint="eastAsia"/>
        </w:rPr>
        <w:t>碳排放因子清单</w:t>
      </w:r>
    </w:p>
    <w:p w:rsidR="00A12A6D" w:rsidRDefault="00A12A6D" w:rsidP="00A12A6D">
      <w:pPr>
        <w:ind w:left="210" w:right="210" w:firstLine="210"/>
      </w:pPr>
      <w:r>
        <w:rPr>
          <w:rFonts w:hint="eastAsia"/>
        </w:rPr>
        <w:t>综合体类建筑碳排放特点</w:t>
      </w:r>
    </w:p>
    <w:p w:rsidR="00A12A6D" w:rsidRDefault="00A12A6D" w:rsidP="00D77AF0">
      <w:pPr>
        <w:ind w:left="210" w:right="210"/>
      </w:pPr>
      <w:r>
        <w:rPr>
          <w:rFonts w:hint="eastAsia"/>
        </w:rPr>
        <w:t>市政综合体</w:t>
      </w:r>
      <w:r>
        <w:t>全生命周期碳排放预测</w:t>
      </w:r>
    </w:p>
    <w:p w:rsidR="00A12A6D" w:rsidRDefault="00A12A6D" w:rsidP="00D77AF0">
      <w:pPr>
        <w:ind w:left="210" w:right="210"/>
      </w:pPr>
      <w:r>
        <w:rPr>
          <w:rFonts w:hint="eastAsia"/>
        </w:rPr>
        <w:t xml:space="preserve">  </w:t>
      </w:r>
      <w:r>
        <w:rPr>
          <w:rFonts w:hint="eastAsia"/>
        </w:rPr>
        <w:t>国际路市政综合体项目简介</w:t>
      </w:r>
    </w:p>
    <w:p w:rsidR="00A12A6D" w:rsidRDefault="00A12A6D" w:rsidP="00D77AF0">
      <w:pPr>
        <w:ind w:left="210" w:right="210"/>
      </w:pPr>
      <w:r>
        <w:rPr>
          <w:rFonts w:hint="eastAsia"/>
        </w:rPr>
        <w:tab/>
      </w:r>
      <w:r>
        <w:rPr>
          <w:rFonts w:hint="eastAsia"/>
        </w:rPr>
        <w:t>建筑全生命周期碳排放量计算</w:t>
      </w:r>
    </w:p>
    <w:p w:rsidR="00A12A6D" w:rsidRDefault="00A12A6D" w:rsidP="00D77AF0">
      <w:pPr>
        <w:ind w:left="210" w:right="210"/>
      </w:pPr>
      <w:r>
        <w:rPr>
          <w:rFonts w:hint="eastAsia"/>
        </w:rPr>
        <w:tab/>
      </w:r>
      <w:r>
        <w:rPr>
          <w:rFonts w:hint="eastAsia"/>
        </w:rPr>
        <w:t>建筑碳排放特点分析</w:t>
      </w:r>
    </w:p>
    <w:p w:rsidR="00A12A6D" w:rsidRDefault="00A12A6D" w:rsidP="00D77AF0">
      <w:pPr>
        <w:ind w:left="210" w:right="210"/>
      </w:pPr>
      <w:r>
        <w:rPr>
          <w:rFonts w:hint="eastAsia"/>
        </w:rPr>
        <w:t>节能技术节能</w:t>
      </w:r>
      <w:proofErr w:type="gramStart"/>
      <w:r>
        <w:rPr>
          <w:rFonts w:hint="eastAsia"/>
        </w:rPr>
        <w:t>减碳潜力</w:t>
      </w:r>
      <w:proofErr w:type="gramEnd"/>
      <w:r>
        <w:rPr>
          <w:rFonts w:hint="eastAsia"/>
        </w:rPr>
        <w:t>评估</w:t>
      </w:r>
    </w:p>
    <w:p w:rsidR="00A12A6D" w:rsidRDefault="00A12A6D" w:rsidP="00D77AF0">
      <w:pPr>
        <w:ind w:left="210" w:right="210"/>
      </w:pPr>
      <w:r>
        <w:rPr>
          <w:rFonts w:hint="eastAsia"/>
        </w:rPr>
        <w:tab/>
      </w:r>
      <w:r>
        <w:rPr>
          <w:rFonts w:hint="eastAsia"/>
        </w:rPr>
        <w:t>被动式建筑技术</w:t>
      </w:r>
    </w:p>
    <w:p w:rsidR="00A12A6D" w:rsidRDefault="00A12A6D" w:rsidP="00D77AF0">
      <w:pPr>
        <w:ind w:left="210" w:right="210"/>
      </w:pPr>
      <w:r>
        <w:rPr>
          <w:rFonts w:hint="eastAsia"/>
        </w:rPr>
        <w:tab/>
        <w:t>HVAC</w:t>
      </w:r>
      <w:r>
        <w:rPr>
          <w:rFonts w:hint="eastAsia"/>
        </w:rPr>
        <w:t>技术</w:t>
      </w:r>
    </w:p>
    <w:p w:rsidR="00A12A6D" w:rsidRDefault="00A12A6D" w:rsidP="00D77AF0">
      <w:pPr>
        <w:ind w:left="210" w:right="210"/>
      </w:pPr>
      <w:r>
        <w:rPr>
          <w:rFonts w:hint="eastAsia"/>
        </w:rPr>
        <w:tab/>
      </w:r>
      <w:r>
        <w:rPr>
          <w:rFonts w:hint="eastAsia"/>
        </w:rPr>
        <w:t>可再生能源技术</w:t>
      </w:r>
    </w:p>
    <w:p w:rsidR="00A12A6D" w:rsidRDefault="00A12A6D" w:rsidP="00D77AF0">
      <w:pPr>
        <w:ind w:left="210" w:right="210"/>
      </w:pPr>
      <w:r>
        <w:rPr>
          <w:rFonts w:hint="eastAsia"/>
        </w:rPr>
        <w:tab/>
      </w:r>
      <w:r>
        <w:rPr>
          <w:rFonts w:hint="eastAsia"/>
        </w:rPr>
        <w:t>节能管理技术</w:t>
      </w:r>
    </w:p>
    <w:p w:rsidR="00A12A6D" w:rsidRDefault="00A12A6D" w:rsidP="00D77AF0">
      <w:pPr>
        <w:ind w:left="210" w:right="210"/>
      </w:pPr>
      <w:r>
        <w:rPr>
          <w:rFonts w:hint="eastAsia"/>
        </w:rPr>
        <w:t>市政</w:t>
      </w:r>
      <w:proofErr w:type="gramStart"/>
      <w:r>
        <w:rPr>
          <w:rFonts w:hint="eastAsia"/>
        </w:rPr>
        <w:t>综合体减碳路径</w:t>
      </w:r>
      <w:proofErr w:type="gramEnd"/>
    </w:p>
    <w:p w:rsidR="00A12A6D" w:rsidRDefault="00A12A6D" w:rsidP="00D77AF0">
      <w:pPr>
        <w:ind w:left="210" w:right="210"/>
      </w:pPr>
      <w:r>
        <w:rPr>
          <w:rFonts w:hint="eastAsia"/>
        </w:rPr>
        <w:t>总结</w:t>
      </w:r>
    </w:p>
    <w:p w:rsidR="003A105B" w:rsidRPr="00541095" w:rsidRDefault="00541095" w:rsidP="00D77AF0">
      <w:pPr>
        <w:ind w:left="210" w:right="210"/>
      </w:pPr>
      <w:r>
        <w:rPr>
          <w:rFonts w:hint="eastAsia"/>
        </w:rPr>
        <w:t>311.902m</w:t>
      </w:r>
      <w:r w:rsidRPr="00541095">
        <w:rPr>
          <w:rFonts w:hint="eastAsia"/>
          <w:vertAlign w:val="superscript"/>
        </w:rPr>
        <w:t>2</w:t>
      </w:r>
      <w:r>
        <w:rPr>
          <w:rFonts w:hint="eastAsia"/>
        </w:rPr>
        <w:t>每年可提供</w:t>
      </w:r>
      <w:r>
        <w:rPr>
          <w:rFonts w:hint="eastAsia"/>
        </w:rPr>
        <w:t>1762.05m</w:t>
      </w:r>
      <w:r w:rsidRPr="00541095">
        <w:rPr>
          <w:rFonts w:hint="eastAsia"/>
          <w:vertAlign w:val="superscript"/>
        </w:rPr>
        <w:t>3</w:t>
      </w:r>
      <w:r>
        <w:rPr>
          <w:rFonts w:hint="eastAsia"/>
        </w:rPr>
        <w:t>的热水量</w:t>
      </w:r>
    </w:p>
    <w:p w:rsidR="003A105B" w:rsidRPr="00541095" w:rsidRDefault="00541095" w:rsidP="00D77AF0">
      <w:pPr>
        <w:ind w:left="210" w:right="210"/>
      </w:pPr>
      <w:r>
        <w:rPr>
          <w:rFonts w:hint="eastAsia"/>
        </w:rPr>
        <w:t>5.65m</w:t>
      </w:r>
      <w:r w:rsidRPr="00541095">
        <w:rPr>
          <w:rFonts w:hint="eastAsia"/>
          <w:vertAlign w:val="superscript"/>
        </w:rPr>
        <w:t>3</w:t>
      </w:r>
      <w:r>
        <w:rPr>
          <w:rFonts w:hint="eastAsia"/>
        </w:rPr>
        <w:t>/m</w:t>
      </w:r>
      <w:r w:rsidRPr="00541095">
        <w:rPr>
          <w:rFonts w:hint="eastAsia"/>
          <w:vertAlign w:val="superscript"/>
        </w:rPr>
        <w:t>2</w:t>
      </w:r>
    </w:p>
    <w:p w:rsidR="003A105B" w:rsidRDefault="003A105B" w:rsidP="00D77AF0">
      <w:pPr>
        <w:ind w:left="210" w:right="210"/>
      </w:pPr>
    </w:p>
    <w:p w:rsidR="003A105B" w:rsidRDefault="003A105B" w:rsidP="00D77AF0">
      <w:pPr>
        <w:ind w:left="210" w:right="210"/>
      </w:pPr>
    </w:p>
    <w:p w:rsidR="003A105B" w:rsidRDefault="003A105B" w:rsidP="00D77AF0">
      <w:pPr>
        <w:ind w:left="210" w:right="210"/>
      </w:pPr>
    </w:p>
    <w:p w:rsidR="003A105B" w:rsidRDefault="003A105B" w:rsidP="00D77AF0">
      <w:pPr>
        <w:ind w:left="210" w:right="210"/>
      </w:pPr>
    </w:p>
    <w:p w:rsidR="003A105B" w:rsidRDefault="003A105B" w:rsidP="00D77AF0">
      <w:pPr>
        <w:ind w:left="210" w:right="210"/>
      </w:pPr>
    </w:p>
    <w:p w:rsidR="003A105B" w:rsidRDefault="003A105B" w:rsidP="00D77AF0">
      <w:pPr>
        <w:ind w:left="210" w:right="210"/>
      </w:pPr>
      <w:r>
        <w:rPr>
          <w:rFonts w:hint="eastAsia"/>
        </w:rPr>
        <w:lastRenderedPageBreak/>
        <w:t>建筑全生命周期评价理论</w:t>
      </w:r>
    </w:p>
    <w:p w:rsidR="003A105B" w:rsidRDefault="003A105B" w:rsidP="003A105B">
      <w:pPr>
        <w:spacing w:line="240" w:lineRule="auto"/>
        <w:ind w:left="210" w:right="210"/>
      </w:pPr>
      <w:r>
        <w:rPr>
          <w:rFonts w:hint="eastAsia"/>
        </w:rPr>
        <w:t>确定碳排放核算的</w:t>
      </w:r>
      <w:r w:rsidR="00541095">
        <w:rPr>
          <w:rFonts w:hint="eastAsia"/>
        </w:rPr>
        <w:t>时间边界</w:t>
      </w:r>
      <w:r w:rsidR="000F0F6C">
        <w:rPr>
          <w:rFonts w:hint="eastAsia"/>
        </w:rPr>
        <w:t>并对</w:t>
      </w:r>
      <w:r w:rsidR="0054110E">
        <w:rPr>
          <w:rFonts w:hint="eastAsia"/>
        </w:rPr>
        <w:t>周期内</w:t>
      </w:r>
      <w:r w:rsidR="000F0F6C">
        <w:rPr>
          <w:rFonts w:hint="eastAsia"/>
        </w:rPr>
        <w:t>不同阶段进行</w:t>
      </w:r>
      <w:r w:rsidR="00541095">
        <w:rPr>
          <w:rFonts w:hint="eastAsia"/>
        </w:rPr>
        <w:t>合理划分，</w:t>
      </w:r>
      <w:r w:rsidR="000F0F6C">
        <w:rPr>
          <w:rFonts w:hint="eastAsia"/>
        </w:rPr>
        <w:t>是</w:t>
      </w:r>
      <w:r w:rsidR="00541095">
        <w:rPr>
          <w:rFonts w:hint="eastAsia"/>
        </w:rPr>
        <w:t>建筑碳排放核算</w:t>
      </w:r>
      <w:r w:rsidR="000F0F6C">
        <w:rPr>
          <w:rFonts w:hint="eastAsia"/>
        </w:rPr>
        <w:t>的重要基础</w:t>
      </w:r>
      <w:r w:rsidR="0054110E">
        <w:rPr>
          <w:rFonts w:hint="eastAsia"/>
        </w:rPr>
        <w:t>。</w:t>
      </w:r>
      <w:r w:rsidR="00541095">
        <w:rPr>
          <w:rFonts w:hint="eastAsia"/>
        </w:rPr>
        <w:t>生命周期理论是目前建筑碳排放核算中应用</w:t>
      </w:r>
      <w:r w:rsidR="000F0F6C">
        <w:rPr>
          <w:rFonts w:hint="eastAsia"/>
        </w:rPr>
        <w:t>最广泛的评价方法，本节内容将从生命周期评价定义</w:t>
      </w:r>
      <w:r w:rsidR="0054110E">
        <w:rPr>
          <w:rFonts w:hint="eastAsia"/>
        </w:rPr>
        <w:t>以及</w:t>
      </w:r>
      <w:r w:rsidR="000F0F6C">
        <w:rPr>
          <w:rFonts w:hint="eastAsia"/>
        </w:rPr>
        <w:t>建筑生命周期阶段划分</w:t>
      </w:r>
      <w:r w:rsidR="0054110E">
        <w:rPr>
          <w:rFonts w:hint="eastAsia"/>
        </w:rPr>
        <w:t>两方面构建建筑全生命周期评价的理论框架。</w:t>
      </w:r>
    </w:p>
    <w:p w:rsidR="003A105B" w:rsidRDefault="003A105B" w:rsidP="003A105B">
      <w:pPr>
        <w:pStyle w:val="a5"/>
        <w:numPr>
          <w:ilvl w:val="0"/>
          <w:numId w:val="1"/>
        </w:numPr>
        <w:ind w:leftChars="0" w:right="210" w:firstLineChars="0"/>
      </w:pPr>
      <w:r>
        <w:rPr>
          <w:rFonts w:hint="eastAsia"/>
        </w:rPr>
        <w:t>全生命周期评价理论</w:t>
      </w:r>
    </w:p>
    <w:p w:rsidR="003A105B" w:rsidRDefault="003A105B" w:rsidP="003A105B">
      <w:pPr>
        <w:pStyle w:val="a5"/>
        <w:spacing w:line="240" w:lineRule="auto"/>
        <w:ind w:leftChars="0" w:left="570" w:right="210" w:firstLineChars="0" w:firstLine="0"/>
      </w:pPr>
      <w:r>
        <w:rPr>
          <w:rFonts w:hint="eastAsia"/>
        </w:rPr>
        <w:t>全生命周期评价</w:t>
      </w:r>
      <w:r>
        <w:rPr>
          <w:rFonts w:hint="eastAsia"/>
        </w:rPr>
        <w:t xml:space="preserve">(Life Cycle </w:t>
      </w:r>
      <w:proofErr w:type="spellStart"/>
      <w:r>
        <w:rPr>
          <w:rFonts w:hint="eastAsia"/>
        </w:rPr>
        <w:t>Assesment,LCA</w:t>
      </w:r>
      <w:proofErr w:type="spellEnd"/>
      <w:r>
        <w:rPr>
          <w:rFonts w:hint="eastAsia"/>
        </w:rPr>
        <w:t>)</w:t>
      </w:r>
      <w:r>
        <w:rPr>
          <w:rFonts w:hint="eastAsia"/>
        </w:rPr>
        <w:t>理论</w:t>
      </w:r>
      <w:r w:rsidR="005F1375">
        <w:rPr>
          <w:rFonts w:hint="eastAsia"/>
        </w:rPr>
        <w:t>是一系列用于评估产品在“由摇篮到坟墓”的过程中对环境带来影响的工具。</w:t>
      </w:r>
      <w:r>
        <w:rPr>
          <w:rFonts w:hint="eastAsia"/>
        </w:rPr>
        <w:t>自</w:t>
      </w:r>
      <w:r>
        <w:rPr>
          <w:rFonts w:hint="eastAsia"/>
        </w:rPr>
        <w:t>20</w:t>
      </w:r>
      <w:r>
        <w:rPr>
          <w:rFonts w:hint="eastAsia"/>
        </w:rPr>
        <w:t>世纪</w:t>
      </w:r>
      <w:r>
        <w:rPr>
          <w:rFonts w:hint="eastAsia"/>
        </w:rPr>
        <w:t>60</w:t>
      </w:r>
      <w:r>
        <w:rPr>
          <w:rFonts w:hint="eastAsia"/>
        </w:rPr>
        <w:t>年代</w:t>
      </w:r>
      <w:r w:rsidR="005F1375">
        <w:rPr>
          <w:rFonts w:hint="eastAsia"/>
        </w:rPr>
        <w:t>首次提出</w:t>
      </w:r>
      <w:r>
        <w:rPr>
          <w:rFonts w:hint="eastAsia"/>
        </w:rPr>
        <w:t>以来</w:t>
      </w:r>
      <w:r>
        <w:rPr>
          <w:rFonts w:hint="eastAsia"/>
        </w:rPr>
        <w:t>,</w:t>
      </w:r>
      <w:r>
        <w:rPr>
          <w:rFonts w:hint="eastAsia"/>
        </w:rPr>
        <w:t>已经在经济评估、工业生产、环境治理等领域中应用超过</w:t>
      </w:r>
      <w:r>
        <w:rPr>
          <w:rFonts w:hint="eastAsia"/>
        </w:rPr>
        <w:t>50</w:t>
      </w:r>
      <w:r>
        <w:rPr>
          <w:rFonts w:hint="eastAsia"/>
        </w:rPr>
        <w:t>年。</w:t>
      </w:r>
      <w:r w:rsidR="005F1375">
        <w:rPr>
          <w:rFonts w:hint="eastAsia"/>
        </w:rPr>
        <w:t>其最大的特点在于要求对产品从原料开采、生产、使用直至销毁过程中的全流程环境影响进行详细评估，这使得该理论能够全面反映产品带来的显性与潜在影响，</w:t>
      </w:r>
      <w:r w:rsidR="00DD0E2C">
        <w:rPr>
          <w:rFonts w:hint="eastAsia"/>
        </w:rPr>
        <w:t>帮助决策者更有效地制定环保策略。</w:t>
      </w:r>
    </w:p>
    <w:p w:rsidR="00DD0E2C" w:rsidRDefault="00DD0E2C" w:rsidP="003A105B">
      <w:pPr>
        <w:pStyle w:val="a5"/>
        <w:spacing w:line="240" w:lineRule="auto"/>
        <w:ind w:leftChars="0" w:left="570" w:right="210" w:firstLineChars="0" w:firstLine="0"/>
        <w:rPr>
          <w:rFonts w:ascii="Times New Roman" w:hAnsi="Times New Roman"/>
        </w:rPr>
      </w:pPr>
      <w:r>
        <w:rPr>
          <w:rFonts w:hint="eastAsia"/>
        </w:rPr>
        <w:t>从</w:t>
      </w:r>
      <w:proofErr w:type="gramStart"/>
      <w:r>
        <w:rPr>
          <w:rFonts w:hint="eastAsia"/>
        </w:rPr>
        <w:t>1960</w:t>
      </w:r>
      <w:proofErr w:type="gramEnd"/>
      <w:r>
        <w:rPr>
          <w:rFonts w:hint="eastAsia"/>
        </w:rPr>
        <w:t>年代末美国可口可乐公司对用于产品包装的易拉罐进行原材料消耗调查开始，全生命周期评价理论经历了诞生、缓慢发展、停滞再到快速发展的多个阶段。目前，全生命周期评价的理论研究已非常成熟，并且形成了完整的规范标准。</w:t>
      </w:r>
      <w:r w:rsidR="006C5DC2">
        <w:rPr>
          <w:rFonts w:hint="eastAsia"/>
        </w:rPr>
        <w:t>20</w:t>
      </w:r>
      <w:r w:rsidR="006C5DC2">
        <w:rPr>
          <w:rFonts w:hint="eastAsia"/>
        </w:rPr>
        <w:t>世纪</w:t>
      </w:r>
      <w:r w:rsidR="006C5DC2">
        <w:rPr>
          <w:rFonts w:hint="eastAsia"/>
        </w:rPr>
        <w:t>90</w:t>
      </w:r>
      <w:r w:rsidR="006C5DC2">
        <w:rPr>
          <w:rFonts w:hint="eastAsia"/>
        </w:rPr>
        <w:t>年代，</w:t>
      </w:r>
      <w:r w:rsidR="006C5DC2" w:rsidRPr="00DF6CE4">
        <w:rPr>
          <w:rFonts w:ascii="Times New Roman"/>
        </w:rPr>
        <w:t>环境化学和毒理学会</w:t>
      </w:r>
      <w:r w:rsidR="006C5DC2" w:rsidRPr="00DF6CE4">
        <w:rPr>
          <w:rFonts w:ascii="Times New Roman" w:hAnsi="Times New Roman"/>
        </w:rPr>
        <w:t>(SETAC)</w:t>
      </w:r>
      <w:r w:rsidR="006C5DC2">
        <w:rPr>
          <w:rFonts w:ascii="Times New Roman" w:hAnsi="Times New Roman"/>
        </w:rPr>
        <w:t>召集相关专家首先就全生命周期评价的标准进行讨论</w:t>
      </w:r>
      <w:r w:rsidR="006C5DC2">
        <w:rPr>
          <w:rFonts w:ascii="Times New Roman" w:hAnsi="Times New Roman" w:hint="eastAsia"/>
        </w:rPr>
        <w:t>，</w:t>
      </w:r>
      <w:r w:rsidR="006C5DC2">
        <w:rPr>
          <w:rFonts w:ascii="Times New Roman" w:hAnsi="Times New Roman"/>
        </w:rPr>
        <w:t>并于</w:t>
      </w:r>
      <w:r w:rsidR="006C5DC2">
        <w:rPr>
          <w:rFonts w:ascii="Times New Roman" w:hAnsi="Times New Roman" w:hint="eastAsia"/>
        </w:rPr>
        <w:t>1993</w:t>
      </w:r>
      <w:r w:rsidR="006C5DC2">
        <w:rPr>
          <w:rFonts w:ascii="Times New Roman" w:hAnsi="Times New Roman" w:hint="eastAsia"/>
        </w:rPr>
        <w:t>年公布了《生命周期评价纲要指南》，在该指南性文件中第一次定义了全生命周期评价的技术路径，即首先确定目标的定义与范围，其次对评价目标进行清单汇总、影响评估并提出改善措施。</w:t>
      </w:r>
    </w:p>
    <w:p w:rsidR="006C5DC2" w:rsidRDefault="006C5DC2" w:rsidP="003A105B">
      <w:pPr>
        <w:pStyle w:val="a5"/>
        <w:spacing w:line="240" w:lineRule="auto"/>
        <w:ind w:leftChars="0" w:left="570" w:right="210" w:firstLineChars="0" w:firstLine="0"/>
        <w:rPr>
          <w:rFonts w:ascii="Times New Roman" w:hAnsi="Times New Roman"/>
        </w:rPr>
      </w:pPr>
      <w:r>
        <w:rPr>
          <w:rFonts w:ascii="Times New Roman" w:hAnsi="Times New Roman" w:hint="eastAsia"/>
        </w:rPr>
        <w:t>进入</w:t>
      </w:r>
      <w:r>
        <w:rPr>
          <w:rFonts w:ascii="Times New Roman" w:hAnsi="Times New Roman" w:hint="eastAsia"/>
        </w:rPr>
        <w:t>21</w:t>
      </w:r>
      <w:r>
        <w:rPr>
          <w:rFonts w:ascii="Times New Roman" w:hAnsi="Times New Roman" w:hint="eastAsia"/>
        </w:rPr>
        <w:t>世纪后，全生命周期评价理论的标准化工作进一步推进。国际标准化组织</w:t>
      </w:r>
      <w:r w:rsidR="00AE5FD7">
        <w:rPr>
          <w:rFonts w:ascii="Times New Roman" w:hAnsi="Times New Roman" w:hint="eastAsia"/>
        </w:rPr>
        <w:t>（</w:t>
      </w:r>
      <w:r w:rsidR="00AE5FD7">
        <w:rPr>
          <w:rFonts w:ascii="Times New Roman" w:hAnsi="Times New Roman" w:hint="eastAsia"/>
        </w:rPr>
        <w:t>ISO</w:t>
      </w:r>
      <w:r w:rsidR="00AE5FD7">
        <w:rPr>
          <w:rFonts w:ascii="Times New Roman" w:hAnsi="Times New Roman" w:hint="eastAsia"/>
        </w:rPr>
        <w:t>）先后颁布了</w:t>
      </w:r>
      <w:r w:rsidR="00AE5FD7">
        <w:rPr>
          <w:rFonts w:ascii="Times New Roman" w:hAnsi="Times New Roman" w:hint="eastAsia"/>
        </w:rPr>
        <w:t>ISO-14040</w:t>
      </w:r>
      <w:r w:rsidR="00AE5FD7">
        <w:rPr>
          <w:rFonts w:ascii="Times New Roman" w:hAnsi="Times New Roman" w:hint="eastAsia"/>
        </w:rPr>
        <w:t>与</w:t>
      </w:r>
      <w:r w:rsidR="00AE5FD7">
        <w:rPr>
          <w:rFonts w:ascii="Times New Roman" w:hAnsi="Times New Roman" w:hint="eastAsia"/>
        </w:rPr>
        <w:t>ISO-14044</w:t>
      </w:r>
      <w:proofErr w:type="gramStart"/>
      <w:r w:rsidR="00AE5FD7">
        <w:rPr>
          <w:rFonts w:ascii="Times New Roman" w:hAnsi="Times New Roman" w:hint="eastAsia"/>
        </w:rPr>
        <w:t>两</w:t>
      </w:r>
      <w:proofErr w:type="gramEnd"/>
      <w:r w:rsidR="00AE5FD7">
        <w:rPr>
          <w:rFonts w:ascii="Times New Roman" w:hAnsi="Times New Roman" w:hint="eastAsia"/>
        </w:rPr>
        <w:t>部国际标准。其中，生命周期评价被分为四个主要阶段：</w:t>
      </w:r>
      <w:r w:rsidR="00AE5FD7">
        <w:rPr>
          <w:rFonts w:ascii="Times New Roman" w:hAnsi="Times New Roman" w:hint="eastAsia"/>
        </w:rPr>
        <w:t>1</w:t>
      </w:r>
      <w:r w:rsidR="00AE5FD7">
        <w:rPr>
          <w:rFonts w:ascii="Times New Roman" w:hAnsi="Times New Roman" w:hint="eastAsia"/>
        </w:rPr>
        <w:t>）</w:t>
      </w:r>
      <w:r w:rsidR="00AE5FD7">
        <w:rPr>
          <w:rFonts w:ascii="Times New Roman" w:hAnsi="Times New Roman" w:hint="eastAsia"/>
        </w:rPr>
        <w:t xml:space="preserve"> </w:t>
      </w:r>
      <w:r w:rsidR="00AE5FD7">
        <w:rPr>
          <w:rFonts w:ascii="Times New Roman" w:hAnsi="Times New Roman" w:hint="eastAsia"/>
        </w:rPr>
        <w:t>目标范围与定义；</w:t>
      </w:r>
      <w:r w:rsidR="00AE5FD7">
        <w:rPr>
          <w:rFonts w:ascii="Times New Roman" w:hAnsi="Times New Roman" w:hint="eastAsia"/>
        </w:rPr>
        <w:t>2</w:t>
      </w:r>
      <w:r w:rsidR="00AE5FD7">
        <w:rPr>
          <w:rFonts w:ascii="Times New Roman" w:hAnsi="Times New Roman" w:hint="eastAsia"/>
        </w:rPr>
        <w:t>）</w:t>
      </w:r>
      <w:r w:rsidR="00AE5FD7">
        <w:rPr>
          <w:rFonts w:ascii="Times New Roman" w:hAnsi="Times New Roman" w:hint="eastAsia"/>
        </w:rPr>
        <w:t xml:space="preserve"> </w:t>
      </w:r>
      <w:r w:rsidR="00AE5FD7">
        <w:rPr>
          <w:rFonts w:ascii="Times New Roman" w:hAnsi="Times New Roman" w:hint="eastAsia"/>
        </w:rPr>
        <w:t>清单分析；</w:t>
      </w:r>
      <w:r w:rsidR="00AE5FD7">
        <w:rPr>
          <w:rFonts w:ascii="Times New Roman" w:hAnsi="Times New Roman" w:hint="eastAsia"/>
        </w:rPr>
        <w:t>3</w:t>
      </w:r>
      <w:r w:rsidR="00AE5FD7">
        <w:rPr>
          <w:rFonts w:ascii="Times New Roman" w:hAnsi="Times New Roman" w:hint="eastAsia"/>
        </w:rPr>
        <w:t>）</w:t>
      </w:r>
      <w:r w:rsidR="00AE5FD7">
        <w:rPr>
          <w:rFonts w:ascii="Times New Roman" w:hAnsi="Times New Roman" w:hint="eastAsia"/>
        </w:rPr>
        <w:t xml:space="preserve"> </w:t>
      </w:r>
      <w:r w:rsidR="00AE5FD7">
        <w:rPr>
          <w:rFonts w:ascii="Times New Roman" w:hAnsi="Times New Roman" w:hint="eastAsia"/>
        </w:rPr>
        <w:t>影响评价；</w:t>
      </w:r>
      <w:r w:rsidR="00AE5FD7">
        <w:rPr>
          <w:rFonts w:ascii="Times New Roman" w:hAnsi="Times New Roman" w:hint="eastAsia"/>
        </w:rPr>
        <w:t>4</w:t>
      </w:r>
      <w:r w:rsidR="00AE5FD7">
        <w:rPr>
          <w:rFonts w:ascii="Times New Roman" w:hAnsi="Times New Roman" w:hint="eastAsia"/>
        </w:rPr>
        <w:t>）结果解释与直接应用。</w:t>
      </w:r>
    </w:p>
    <w:p w:rsidR="005C0DFC" w:rsidRDefault="00E1576A" w:rsidP="003A105B">
      <w:pPr>
        <w:pStyle w:val="a5"/>
        <w:spacing w:line="240" w:lineRule="auto"/>
        <w:ind w:leftChars="0" w:left="570" w:right="210" w:firstLineChars="0" w:firstLine="0"/>
      </w:pPr>
      <w:r>
        <w:t>在第一阶段</w:t>
      </w:r>
      <w:r>
        <w:rPr>
          <w:rFonts w:hint="eastAsia"/>
        </w:rPr>
        <w:t>，</w:t>
      </w:r>
      <w:r>
        <w:t>需要对评价对象的生产性质进行定义</w:t>
      </w:r>
      <w:r>
        <w:rPr>
          <w:rFonts w:hint="eastAsia"/>
        </w:rPr>
        <w:t>，并划分其系统及边界，该阶段需要明确产品的生产流程，预测可能带来的环境影响并确定评估的详细程度与数据量；在第二阶段，评估者需要根据上一阶段给出的产品定义及范围</w:t>
      </w:r>
      <w:r w:rsidR="00095681">
        <w:rPr>
          <w:rFonts w:hint="eastAsia"/>
        </w:rPr>
        <w:t>构建产品的资源消耗计算模型，设计流程图，并搜集各流程输入输出数据，计算单位产品带来的资源消耗与环境影响；在第三阶段，需要根据</w:t>
      </w:r>
      <w:r w:rsidR="008B6C1A">
        <w:rPr>
          <w:rFonts w:hint="eastAsia"/>
        </w:rPr>
        <w:t>清单分析结果对环境影响进行评价，并根据评价结果对清单进行分级；在最后一阶段需要根据评价结果说明产品的生产行为将会如何影响环境，并找出影响环境最大的因素</w:t>
      </w:r>
      <w:r w:rsidR="003D5DFF">
        <w:rPr>
          <w:rFonts w:hint="eastAsia"/>
        </w:rPr>
        <w:t>提出有针对性的改进措施。</w:t>
      </w:r>
    </w:p>
    <w:p w:rsidR="003D5DFF" w:rsidRDefault="003D5DFF" w:rsidP="003A105B">
      <w:pPr>
        <w:pStyle w:val="a5"/>
        <w:spacing w:line="240" w:lineRule="auto"/>
        <w:ind w:leftChars="0" w:left="570" w:right="210" w:firstLineChars="0" w:firstLine="0"/>
        <w:rPr>
          <w:rFonts w:ascii="Times New Roman" w:hAnsi="Times New Roman" w:cs="Times New Roman"/>
        </w:rPr>
      </w:pPr>
      <w:r>
        <w:rPr>
          <w:rFonts w:hint="eastAsia"/>
        </w:rPr>
        <w:t>生命周期评价为全面评估产品的直接与潜在环境影响提供了有力的工具，但在其实际应用过程中往往存在着许多不便。首先，由于生产方或</w:t>
      </w:r>
      <w:r w:rsidR="00BE4584">
        <w:rPr>
          <w:rFonts w:hint="eastAsia"/>
        </w:rPr>
        <w:t>监督管理者未提出相关要求，</w:t>
      </w:r>
      <w:r>
        <w:rPr>
          <w:rFonts w:hint="eastAsia"/>
        </w:rPr>
        <w:t>产品从原材料至报废销毁过程中的清单</w:t>
      </w:r>
      <w:r w:rsidR="00BE4584">
        <w:rPr>
          <w:rFonts w:hint="eastAsia"/>
        </w:rPr>
        <w:t>原始</w:t>
      </w:r>
      <w:r>
        <w:rPr>
          <w:rFonts w:hint="eastAsia"/>
        </w:rPr>
        <w:t>数据不易获取且准确性不能保证</w:t>
      </w:r>
      <w:r w:rsidR="00BE4584">
        <w:rPr>
          <w:rFonts w:hint="eastAsia"/>
        </w:rPr>
        <w:t>，这为产品清单分析的实现带来阻力；此外，全生命周期评价要求的数据量非常大，</w:t>
      </w:r>
      <w:proofErr w:type="gramStart"/>
      <w:r w:rsidR="00BE4584">
        <w:rPr>
          <w:rFonts w:hint="eastAsia"/>
        </w:rPr>
        <w:t>且数据</w:t>
      </w:r>
      <w:proofErr w:type="gramEnd"/>
      <w:r w:rsidR="00BE4584">
        <w:rPr>
          <w:rFonts w:hint="eastAsia"/>
        </w:rPr>
        <w:t>构成十分复杂，难以通过常规方法进行快速计算，影响了生命周期评价在实际生产过程中的进一步应用。</w:t>
      </w:r>
      <w:r w:rsidR="00082FA9">
        <w:rPr>
          <w:rFonts w:hint="eastAsia"/>
        </w:rPr>
        <w:t>为了规范数据搜集过程，提高数据准确度及计算便捷性，许多国家推出了全生命周期清单数据库以及全生命周期评价工具，如美国推</w:t>
      </w:r>
      <w:r w:rsidR="009A1ED7">
        <w:rPr>
          <w:rFonts w:hint="eastAsia"/>
        </w:rPr>
        <w:t>出的环境可持续建筑</w:t>
      </w:r>
      <w:r w:rsidR="009A1ED7" w:rsidRPr="009A1ED7">
        <w:rPr>
          <w:rFonts w:ascii="Times New Roman" w:hAnsi="Times New Roman" w:cs="Times New Roman"/>
        </w:rPr>
        <w:t>(BEES)</w:t>
      </w:r>
      <w:r w:rsidR="009A1ED7">
        <w:rPr>
          <w:rFonts w:ascii="Times New Roman" w:hAnsi="Times New Roman" w:cs="Times New Roman" w:hint="eastAsia"/>
        </w:rPr>
        <w:t>[1]</w:t>
      </w:r>
      <w:r w:rsidR="009A1ED7">
        <w:rPr>
          <w:rFonts w:ascii="Times New Roman" w:hAnsi="Times New Roman" w:cs="Times New Roman" w:hint="eastAsia"/>
        </w:rPr>
        <w:t>、荷兰的</w:t>
      </w:r>
      <w:proofErr w:type="spellStart"/>
      <w:r w:rsidR="009A1ED7">
        <w:rPr>
          <w:rFonts w:ascii="Times New Roman" w:hAnsi="Times New Roman" w:cs="Times New Roman" w:hint="eastAsia"/>
        </w:rPr>
        <w:t>SimaPro</w:t>
      </w:r>
      <w:proofErr w:type="spellEnd"/>
      <w:r w:rsidR="009A1ED7">
        <w:rPr>
          <w:rFonts w:ascii="Times New Roman" w:hAnsi="Times New Roman" w:cs="Times New Roman" w:hint="eastAsia"/>
        </w:rPr>
        <w:t>以及德国的</w:t>
      </w:r>
      <w:proofErr w:type="spellStart"/>
      <w:r w:rsidR="009A1ED7">
        <w:rPr>
          <w:rFonts w:ascii="Times New Roman" w:hAnsi="Times New Roman" w:cs="Times New Roman" w:hint="eastAsia"/>
        </w:rPr>
        <w:t>GaBi</w:t>
      </w:r>
      <w:proofErr w:type="spellEnd"/>
      <w:r w:rsidR="009A1ED7">
        <w:rPr>
          <w:rFonts w:ascii="Times New Roman" w:hAnsi="Times New Roman" w:cs="Times New Roman" w:hint="eastAsia"/>
        </w:rPr>
        <w:t>[2]</w:t>
      </w:r>
      <w:r w:rsidR="009A1ED7">
        <w:rPr>
          <w:rFonts w:ascii="Times New Roman" w:hAnsi="Times New Roman" w:cs="Times New Roman" w:hint="eastAsia"/>
        </w:rPr>
        <w:t>。</w:t>
      </w:r>
    </w:p>
    <w:p w:rsidR="009A1ED7" w:rsidRDefault="009A1ED7" w:rsidP="009A1ED7">
      <w:pPr>
        <w:pStyle w:val="a5"/>
        <w:numPr>
          <w:ilvl w:val="0"/>
          <w:numId w:val="1"/>
        </w:numPr>
        <w:spacing w:line="240" w:lineRule="auto"/>
        <w:ind w:leftChars="0" w:right="210" w:firstLineChars="0"/>
        <w:rPr>
          <w:rFonts w:ascii="Times New Roman" w:hAnsi="Times New Roman" w:cs="Times New Roman"/>
        </w:rPr>
      </w:pPr>
      <w:r>
        <w:rPr>
          <w:rFonts w:ascii="Times New Roman" w:hAnsi="Times New Roman" w:cs="Times New Roman" w:hint="eastAsia"/>
        </w:rPr>
        <w:t>建筑全生命周期碳排放评价</w:t>
      </w:r>
    </w:p>
    <w:p w:rsidR="009A1ED7" w:rsidRDefault="00BD4AE4" w:rsidP="009A1ED7">
      <w:pPr>
        <w:pStyle w:val="a5"/>
        <w:spacing w:line="240" w:lineRule="auto"/>
        <w:ind w:leftChars="0" w:left="570" w:right="210" w:firstLineChars="0" w:firstLine="0"/>
        <w:rPr>
          <w:rFonts w:ascii="Times New Roman" w:hAnsi="Times New Roman" w:cs="Times New Roman"/>
        </w:rPr>
      </w:pPr>
      <w:r>
        <w:rPr>
          <w:rFonts w:ascii="Times New Roman" w:hAnsi="Times New Roman" w:cs="Times New Roman" w:hint="eastAsia"/>
        </w:rPr>
        <w:t>作为人类文明发展的见证，自人类诞生之日起建筑就开始发挥其重要的作用，到了现代社会建筑的制造与使用维护维护已经形成了一套完整的产业链，实现了商品化生产。与其他商业产品相比较，建筑有着生命周期长，生产规模大，消耗资源多等特点。</w:t>
      </w:r>
      <w:r w:rsidR="008E2413">
        <w:rPr>
          <w:rFonts w:ascii="Times New Roman" w:hAnsi="Times New Roman" w:cs="Times New Roman" w:hint="eastAsia"/>
        </w:rPr>
        <w:t>在建筑生产与使用过程中伴随着大量温室气体的排放，在全球气候变化形势</w:t>
      </w:r>
      <w:r w:rsidR="008E2413">
        <w:rPr>
          <w:rFonts w:ascii="Times New Roman" w:hAnsi="Times New Roman" w:cs="Times New Roman" w:hint="eastAsia"/>
        </w:rPr>
        <w:lastRenderedPageBreak/>
        <w:t>愈发严峻的情况下，评价建筑全生命周期的温室气体排放量成为了一项必要的任务。建筑全生命周期碳排放的核算包括了建筑从准备建造至建筑报废期间各种活动所产生的</w:t>
      </w:r>
      <w:proofErr w:type="gramStart"/>
      <w:r w:rsidR="008E2413">
        <w:rPr>
          <w:rFonts w:ascii="Times New Roman" w:hAnsi="Times New Roman" w:cs="Times New Roman" w:hint="eastAsia"/>
        </w:rPr>
        <w:t>的</w:t>
      </w:r>
      <w:proofErr w:type="gramEnd"/>
      <w:r w:rsidR="008E2413">
        <w:rPr>
          <w:rFonts w:ascii="Times New Roman" w:hAnsi="Times New Roman" w:cs="Times New Roman" w:hint="eastAsia"/>
        </w:rPr>
        <w:t>温室气体排放，并将其折算为当量二氧化碳排放量。</w:t>
      </w:r>
    </w:p>
    <w:p w:rsidR="008E2413" w:rsidRDefault="008E2413" w:rsidP="009A1ED7">
      <w:pPr>
        <w:pStyle w:val="a5"/>
        <w:spacing w:line="240" w:lineRule="auto"/>
        <w:ind w:leftChars="0" w:left="570" w:right="210" w:firstLineChars="0" w:firstLine="0"/>
        <w:rPr>
          <w:rFonts w:ascii="Times New Roman"/>
        </w:rPr>
      </w:pPr>
      <w:r>
        <w:rPr>
          <w:rFonts w:ascii="Times New Roman" w:hAnsi="Times New Roman" w:cs="Times New Roman" w:hint="eastAsia"/>
        </w:rPr>
        <w:t>根据</w:t>
      </w:r>
      <w:r>
        <w:rPr>
          <w:rFonts w:ascii="Times New Roman" w:hAnsi="Times New Roman" w:cs="Times New Roman" w:hint="eastAsia"/>
        </w:rPr>
        <w:t>1997</w:t>
      </w:r>
      <w:r>
        <w:rPr>
          <w:rFonts w:ascii="Times New Roman" w:hAnsi="Times New Roman" w:cs="Times New Roman" w:hint="eastAsia"/>
        </w:rPr>
        <w:t>年《联合国气候变化框架公约</w:t>
      </w:r>
      <w:r w:rsidR="00FB63DC">
        <w:rPr>
          <w:rFonts w:ascii="Times New Roman" w:hAnsi="Times New Roman" w:cs="Times New Roman" w:hint="eastAsia"/>
        </w:rPr>
        <w:t>》下签署的《京都议定书》，明确被定义为温室气体的物质共有</w:t>
      </w:r>
      <w:r w:rsidR="00FB63DC">
        <w:rPr>
          <w:rFonts w:ascii="Times New Roman" w:hAnsi="Times New Roman" w:cs="Times New Roman" w:hint="eastAsia"/>
        </w:rPr>
        <w:t>6</w:t>
      </w:r>
      <w:r w:rsidR="00FB63DC">
        <w:rPr>
          <w:rFonts w:ascii="Times New Roman" w:hAnsi="Times New Roman" w:cs="Times New Roman" w:hint="eastAsia"/>
        </w:rPr>
        <w:t>种，分别为</w:t>
      </w:r>
      <w:r w:rsidR="00FB63DC" w:rsidRPr="00DF6CE4">
        <w:rPr>
          <w:rFonts w:ascii="Times New Roman"/>
        </w:rPr>
        <w:t>二氧化碳</w:t>
      </w:r>
      <w:r w:rsidR="00FB63DC" w:rsidRPr="00DF6CE4">
        <w:rPr>
          <w:rFonts w:ascii="Times New Roman" w:hAnsi="Times New Roman"/>
        </w:rPr>
        <w:t>(CO</w:t>
      </w:r>
      <w:r w:rsidR="00FB63DC" w:rsidRPr="00DF6CE4">
        <w:rPr>
          <w:rFonts w:ascii="Times New Roman" w:hAnsi="Times New Roman"/>
          <w:vertAlign w:val="subscript"/>
        </w:rPr>
        <w:t>2</w:t>
      </w:r>
      <w:r w:rsidR="00FB63DC" w:rsidRPr="00DF6CE4">
        <w:rPr>
          <w:rFonts w:ascii="Times New Roman" w:hAnsi="Times New Roman"/>
        </w:rPr>
        <w:t>)</w:t>
      </w:r>
      <w:r w:rsidR="00FB63DC" w:rsidRPr="00DF6CE4">
        <w:rPr>
          <w:rFonts w:ascii="Times New Roman"/>
        </w:rPr>
        <w:t>、甲烷</w:t>
      </w:r>
      <w:r w:rsidR="00FB63DC" w:rsidRPr="00DF6CE4">
        <w:rPr>
          <w:rFonts w:ascii="Times New Roman" w:hAnsi="Times New Roman"/>
        </w:rPr>
        <w:t>(CH</w:t>
      </w:r>
      <w:r w:rsidR="00FB63DC" w:rsidRPr="00DF6CE4">
        <w:rPr>
          <w:rFonts w:ascii="Times New Roman" w:hAnsi="Times New Roman"/>
          <w:vertAlign w:val="subscript"/>
        </w:rPr>
        <w:t>4</w:t>
      </w:r>
      <w:r w:rsidR="00FB63DC" w:rsidRPr="00DF6CE4">
        <w:rPr>
          <w:rFonts w:ascii="Times New Roman" w:hAnsi="Times New Roman"/>
        </w:rPr>
        <w:t>)</w:t>
      </w:r>
      <w:r w:rsidR="00FB63DC" w:rsidRPr="00DF6CE4">
        <w:rPr>
          <w:rFonts w:ascii="Times New Roman"/>
        </w:rPr>
        <w:t>、氧化亚氮</w:t>
      </w:r>
      <w:r w:rsidR="00FB63DC" w:rsidRPr="00DF6CE4">
        <w:rPr>
          <w:rFonts w:ascii="Times New Roman" w:hAnsi="Times New Roman"/>
        </w:rPr>
        <w:t>(N</w:t>
      </w:r>
      <w:r w:rsidR="00FB63DC" w:rsidRPr="00DF6CE4">
        <w:rPr>
          <w:rFonts w:ascii="Times New Roman" w:hAnsi="Times New Roman"/>
          <w:vertAlign w:val="subscript"/>
        </w:rPr>
        <w:t>2</w:t>
      </w:r>
      <w:r w:rsidR="00FB63DC" w:rsidRPr="00DF6CE4">
        <w:rPr>
          <w:rFonts w:ascii="Times New Roman" w:hAnsi="Times New Roman"/>
        </w:rPr>
        <w:t>O)</w:t>
      </w:r>
      <w:r w:rsidR="00FB63DC" w:rsidRPr="00DF6CE4">
        <w:rPr>
          <w:rFonts w:ascii="Times New Roman"/>
        </w:rPr>
        <w:t>、氢氟碳化物</w:t>
      </w:r>
      <w:r w:rsidR="00FB63DC" w:rsidRPr="00DF6CE4">
        <w:rPr>
          <w:rFonts w:ascii="Times New Roman" w:hAnsi="Times New Roman"/>
        </w:rPr>
        <w:t>(HFCs)</w:t>
      </w:r>
      <w:r w:rsidR="00FB63DC" w:rsidRPr="00DF6CE4">
        <w:rPr>
          <w:rFonts w:ascii="Times New Roman"/>
        </w:rPr>
        <w:t>、全氟化碳</w:t>
      </w:r>
      <w:r w:rsidR="00FB63DC" w:rsidRPr="00DF6CE4">
        <w:rPr>
          <w:rFonts w:ascii="Times New Roman" w:hAnsi="Times New Roman"/>
        </w:rPr>
        <w:t>(PFCs)</w:t>
      </w:r>
      <w:r w:rsidR="00FB63DC" w:rsidRPr="00DF6CE4">
        <w:rPr>
          <w:rFonts w:ascii="Times New Roman"/>
        </w:rPr>
        <w:t>、六氟化硫（</w:t>
      </w:r>
      <w:r w:rsidR="00FB63DC" w:rsidRPr="00DF6CE4">
        <w:rPr>
          <w:rFonts w:ascii="Times New Roman" w:hAnsi="Times New Roman"/>
        </w:rPr>
        <w:t>SF</w:t>
      </w:r>
      <w:r w:rsidR="00FB63DC" w:rsidRPr="00DF6CE4">
        <w:rPr>
          <w:rFonts w:ascii="Times New Roman" w:hAnsi="Times New Roman"/>
          <w:vertAlign w:val="subscript"/>
        </w:rPr>
        <w:t>6</w:t>
      </w:r>
      <w:r w:rsidR="00FB63DC" w:rsidRPr="00DF6CE4">
        <w:rPr>
          <w:rFonts w:ascii="Times New Roman"/>
        </w:rPr>
        <w:t>）</w:t>
      </w:r>
      <w:r w:rsidR="00FB63DC">
        <w:rPr>
          <w:rFonts w:ascii="Times New Roman" w:hint="eastAsia"/>
        </w:rPr>
        <w:t>。</w:t>
      </w:r>
      <w:r w:rsidR="00FB63DC">
        <w:rPr>
          <w:rFonts w:ascii="Times New Roman"/>
        </w:rPr>
        <w:t>由于不同的温室气体对环境会带来不同程度的温室效应</w:t>
      </w:r>
      <w:r w:rsidR="00FB63DC">
        <w:rPr>
          <w:rFonts w:ascii="Times New Roman" w:hint="eastAsia"/>
        </w:rPr>
        <w:t>，</w:t>
      </w:r>
      <w:r w:rsidR="00FB63DC">
        <w:rPr>
          <w:rFonts w:ascii="Times New Roman"/>
        </w:rPr>
        <w:t>若采取分项计量的方法统计建筑生命周期内的温室气体排放将会十分复杂</w:t>
      </w:r>
      <w:r w:rsidR="00FB63DC">
        <w:rPr>
          <w:rFonts w:ascii="Times New Roman" w:hint="eastAsia"/>
        </w:rPr>
        <w:t>，</w:t>
      </w:r>
      <w:r w:rsidR="00FB63DC">
        <w:rPr>
          <w:rFonts w:ascii="Times New Roman"/>
        </w:rPr>
        <w:t>且难以比较</w:t>
      </w:r>
      <w:r w:rsidR="00FB63DC">
        <w:rPr>
          <w:rFonts w:ascii="Times New Roman" w:hint="eastAsia"/>
        </w:rPr>
        <w:t>。</w:t>
      </w:r>
      <w:r w:rsidR="00FB63DC">
        <w:rPr>
          <w:rFonts w:ascii="Times New Roman"/>
        </w:rPr>
        <w:t>目前国际上通行的方法是</w:t>
      </w:r>
      <w:r w:rsidR="00FB63DC">
        <w:rPr>
          <w:rFonts w:ascii="Times New Roman" w:hint="eastAsia"/>
        </w:rPr>
        <w:t>根据</w:t>
      </w:r>
      <w:r w:rsidR="00FB63DC">
        <w:rPr>
          <w:rFonts w:ascii="Times New Roman"/>
        </w:rPr>
        <w:t>气体的全球变暖潜值</w:t>
      </w:r>
      <w:r w:rsidR="00FB63DC">
        <w:rPr>
          <w:rFonts w:ascii="Times New Roman" w:hint="eastAsia"/>
        </w:rPr>
        <w:t xml:space="preserve">(Global Warming </w:t>
      </w:r>
      <w:proofErr w:type="spellStart"/>
      <w:r w:rsidR="00FB63DC">
        <w:rPr>
          <w:rFonts w:ascii="Times New Roman" w:hint="eastAsia"/>
        </w:rPr>
        <w:t>Potential,GWP</w:t>
      </w:r>
      <w:proofErr w:type="spellEnd"/>
      <w:r w:rsidR="00FB63DC">
        <w:rPr>
          <w:rFonts w:ascii="Times New Roman" w:hint="eastAsia"/>
        </w:rPr>
        <w:t>)</w:t>
      </w:r>
      <w:r w:rsidR="005747EB">
        <w:rPr>
          <w:rFonts w:ascii="Times New Roman" w:hint="eastAsia"/>
        </w:rPr>
        <w:t>，将各温室气体的排放量等效换算为统一的计量单位</w:t>
      </w:r>
      <w:r w:rsidR="00291519">
        <w:rPr>
          <w:rFonts w:ascii="Times New Roman" w:hint="eastAsia"/>
        </w:rPr>
        <w:t>，各温室气体的</w:t>
      </w:r>
      <w:r w:rsidR="00291519">
        <w:rPr>
          <w:rFonts w:ascii="Times New Roman" w:hint="eastAsia"/>
        </w:rPr>
        <w:t>GWP</w:t>
      </w:r>
      <w:r w:rsidR="00291519">
        <w:rPr>
          <w:rFonts w:ascii="Times New Roman" w:hint="eastAsia"/>
        </w:rPr>
        <w:t>数值见表</w:t>
      </w:r>
      <w:r w:rsidR="00291519">
        <w:rPr>
          <w:rFonts w:ascii="Times New Roman" w:hint="eastAsia"/>
        </w:rPr>
        <w:t>1</w:t>
      </w:r>
      <w:r w:rsidR="005747EB">
        <w:rPr>
          <w:rFonts w:ascii="Times New Roman" w:hint="eastAsia"/>
        </w:rPr>
        <w:t>。由于二氧化碳是排放量最大的温室气体，且</w:t>
      </w:r>
      <w:proofErr w:type="gramStart"/>
      <w:r w:rsidR="005747EB">
        <w:rPr>
          <w:rFonts w:ascii="Times New Roman" w:hint="eastAsia"/>
        </w:rPr>
        <w:t>具有着</w:t>
      </w:r>
      <w:proofErr w:type="gramEnd"/>
      <w:r w:rsidR="005747EB">
        <w:rPr>
          <w:rFonts w:ascii="Times New Roman" w:hint="eastAsia"/>
        </w:rPr>
        <w:t>相对成熟的计量方法，因此研究中多将二氧化碳定为统一的度量气体</w:t>
      </w:r>
      <w:r w:rsidR="00291519">
        <w:rPr>
          <w:rFonts w:ascii="Times New Roman" w:hint="eastAsia"/>
        </w:rPr>
        <w:t>，比如，据表中数据，一吨甲烷的</w:t>
      </w:r>
      <w:r w:rsidR="00291519">
        <w:rPr>
          <w:rFonts w:ascii="Times New Roman" w:hint="eastAsia"/>
        </w:rPr>
        <w:t>GWP</w:t>
      </w:r>
      <w:r w:rsidR="00291519">
        <w:rPr>
          <w:rFonts w:ascii="Times New Roman" w:hint="eastAsia"/>
        </w:rPr>
        <w:t>为</w:t>
      </w:r>
      <w:r w:rsidR="00291519">
        <w:rPr>
          <w:rFonts w:ascii="Times New Roman" w:hint="eastAsia"/>
        </w:rPr>
        <w:t>25</w:t>
      </w:r>
      <w:r w:rsidR="00291519">
        <w:rPr>
          <w:rFonts w:ascii="Times New Roman" w:hint="eastAsia"/>
        </w:rPr>
        <w:t>，一吨二氧化碳的</w:t>
      </w:r>
      <w:r w:rsidR="00291519">
        <w:rPr>
          <w:rFonts w:ascii="Times New Roman" w:hint="eastAsia"/>
        </w:rPr>
        <w:t>GWP</w:t>
      </w:r>
      <w:r w:rsidR="00291519">
        <w:rPr>
          <w:rFonts w:ascii="Times New Roman" w:hint="eastAsia"/>
        </w:rPr>
        <w:t>为</w:t>
      </w:r>
      <w:r w:rsidR="00291519">
        <w:rPr>
          <w:rFonts w:ascii="Times New Roman" w:hint="eastAsia"/>
        </w:rPr>
        <w:t>1</w:t>
      </w:r>
      <w:r w:rsidR="00291519">
        <w:rPr>
          <w:rFonts w:ascii="Times New Roman" w:hint="eastAsia"/>
        </w:rPr>
        <w:t>，其可等效为气体排放</w:t>
      </w:r>
      <w:r w:rsidR="00291519">
        <w:rPr>
          <w:rFonts w:ascii="Times New Roman" w:hint="eastAsia"/>
        </w:rPr>
        <w:t>100</w:t>
      </w:r>
      <w:r w:rsidR="00291519">
        <w:rPr>
          <w:rFonts w:ascii="Times New Roman" w:hint="eastAsia"/>
        </w:rPr>
        <w:t>年内一吨甲烷产生的温室效应等效于</w:t>
      </w:r>
      <w:r w:rsidR="00291519">
        <w:rPr>
          <w:rFonts w:ascii="Times New Roman" w:hint="eastAsia"/>
        </w:rPr>
        <w:t>25</w:t>
      </w:r>
      <w:r w:rsidR="00291519">
        <w:rPr>
          <w:rFonts w:ascii="Times New Roman" w:hint="eastAsia"/>
        </w:rPr>
        <w:t>吨二氧化碳</w:t>
      </w:r>
      <w:r w:rsidR="005747EB">
        <w:rPr>
          <w:rFonts w:ascii="Times New Roman" w:hint="eastAsia"/>
        </w:rPr>
        <w:t>。基于此，</w:t>
      </w:r>
      <w:r w:rsidR="00291519">
        <w:rPr>
          <w:rFonts w:ascii="Times New Roman" w:hint="eastAsia"/>
        </w:rPr>
        <w:t>采用建筑生命周期碳排放量对建筑在生命周期过程中各活动的温室气体排放程度进行评价。</w:t>
      </w:r>
    </w:p>
    <w:p w:rsidR="00291519" w:rsidRDefault="00291519" w:rsidP="00291519">
      <w:pPr>
        <w:pStyle w:val="a5"/>
        <w:spacing w:line="240" w:lineRule="auto"/>
        <w:ind w:leftChars="0" w:left="570" w:right="210" w:firstLineChars="0" w:firstLine="0"/>
        <w:jc w:val="center"/>
        <w:rPr>
          <w:rFonts w:ascii="Times New Roman"/>
        </w:rPr>
      </w:pPr>
      <w:r>
        <w:rPr>
          <w:rFonts w:ascii="Times New Roman" w:hint="eastAsia"/>
        </w:rPr>
        <w:t>表</w:t>
      </w:r>
      <w:r>
        <w:rPr>
          <w:rFonts w:ascii="Times New Roman" w:hint="eastAsia"/>
        </w:rPr>
        <w:t xml:space="preserve"> </w:t>
      </w:r>
      <w:r>
        <w:rPr>
          <w:rFonts w:ascii="Times New Roman" w:hint="eastAsia"/>
        </w:rPr>
        <w:t>常见气体的全球变暖潜值</w:t>
      </w:r>
    </w:p>
    <w:p w:rsidR="00291519" w:rsidRPr="009A1ED7" w:rsidRDefault="000E307B" w:rsidP="009A1ED7">
      <w:pPr>
        <w:pStyle w:val="a5"/>
        <w:spacing w:line="240" w:lineRule="auto"/>
        <w:ind w:leftChars="0" w:left="570" w:right="210" w:firstLineChars="0" w:firstLine="0"/>
        <w:rPr>
          <w:rFonts w:ascii="Times New Roman" w:hAnsi="Times New Roman" w:cs="Times New Roman"/>
        </w:rPr>
      </w:pPr>
      <w:r>
        <w:rPr>
          <w:rFonts w:ascii="Times New Roman" w:hAnsi="Times New Roman" w:cs="Times New Roman" w:hint="eastAsia"/>
        </w:rPr>
        <w:t>以上部分将任务目标定为建筑生命周期碳排放。根据全生命周期评价的定义，需要考察其由“摇篮”至“目的”的全过程活动碳排放。从广义上讲，对于一栋建筑</w:t>
      </w:r>
      <w:proofErr w:type="gramStart"/>
      <w:r>
        <w:rPr>
          <w:rFonts w:ascii="Times New Roman" w:hAnsi="Times New Roman" w:cs="Times New Roman" w:hint="eastAsia"/>
        </w:rPr>
        <w:t>自项目</w:t>
      </w:r>
      <w:proofErr w:type="gramEnd"/>
      <w:r>
        <w:rPr>
          <w:rFonts w:ascii="Times New Roman" w:hAnsi="Times New Roman" w:cs="Times New Roman" w:hint="eastAsia"/>
        </w:rPr>
        <w:t>立项起就开始了其生命历程，历经设计、建造、使用、维护、拆毁至最终的材料处理为终止都可算作其生命周期范围。</w:t>
      </w:r>
      <w:r w:rsidR="0088502B">
        <w:rPr>
          <w:rFonts w:ascii="Times New Roman" w:hAnsi="Times New Roman" w:cs="Times New Roman" w:hint="eastAsia"/>
        </w:rPr>
        <w:t>但对于建筑碳排放核算来说，只有与建筑相关的实际耗能项目才会产生碳排放，而其他的过程比如建筑的勘探、设计过程虽然也会产生一定的能源消耗，但该部分的能耗占建筑生命周期的比例很小，而且此种活动很难获得活动量清单，存在难以统计的问题，因此目前多数研究并不将此种活动纳入建筑碳排放考察的范围。</w:t>
      </w:r>
      <w:r w:rsidR="00D842BE">
        <w:rPr>
          <w:rFonts w:ascii="Times New Roman" w:hAnsi="Times New Roman" w:cs="Times New Roman" w:hint="eastAsia"/>
        </w:rPr>
        <w:t>故对于建筑全生命周期碳排放评估来说，其生命周期的范围应定义为：由建材生产至建材回收处理。</w:t>
      </w:r>
    </w:p>
    <w:p w:rsidR="009A1ED7" w:rsidRPr="009A1ED7" w:rsidRDefault="009A1ED7" w:rsidP="009A1ED7">
      <w:pPr>
        <w:pStyle w:val="a5"/>
        <w:spacing w:line="240" w:lineRule="auto"/>
        <w:ind w:leftChars="0" w:left="570" w:right="210" w:firstLineChars="0" w:firstLine="0"/>
        <w:rPr>
          <w:rFonts w:ascii="Times New Roman" w:hAnsi="Times New Roman" w:cs="Times New Roman"/>
        </w:rPr>
      </w:pPr>
      <w:r>
        <w:rPr>
          <w:rFonts w:ascii="Times New Roman" w:hAnsi="Times New Roman" w:cs="Times New Roman" w:hint="eastAsia"/>
        </w:rPr>
        <w:t>[1</w:t>
      </w:r>
      <w:r w:rsidRPr="009A1ED7">
        <w:rPr>
          <w:rFonts w:ascii="Times New Roman" w:hAnsi="Times New Roman" w:cs="Times New Roman" w:hint="eastAsia"/>
        </w:rPr>
        <w:t>］ＴｅｃｈｎｏｌｏｇｙＮＩＯＳ．ＦｒｅｅＳｔａｎｄａｒｄＲｅｆｅｒｅｎｃｅＤａｔａｂａｓ巧［ＥＢ／０。．</w:t>
      </w:r>
    </w:p>
    <w:p w:rsidR="009A1ED7" w:rsidRDefault="009A1ED7" w:rsidP="009A1ED7">
      <w:pPr>
        <w:pStyle w:val="a5"/>
        <w:spacing w:line="240" w:lineRule="auto"/>
        <w:ind w:leftChars="0" w:left="570" w:right="210" w:firstLineChars="0" w:firstLine="0"/>
        <w:rPr>
          <w:rFonts w:ascii="Times New Roman" w:hAnsi="Times New Roman" w:cs="Times New Roman"/>
        </w:rPr>
      </w:pPr>
      <w:r w:rsidRPr="009A1ED7">
        <w:rPr>
          <w:rFonts w:ascii="Times New Roman" w:hAnsi="Times New Roman" w:cs="Times New Roman" w:hint="eastAsia"/>
        </w:rPr>
        <w:t>ｈｔｔｐ：／／ｗｗｗ－ｎｉｓｔ．ｇｏｖ／ｓｒｄ／ｏｎｌｉ打ｅｌｉｓｔ．ｃｆｉｎ．２０１４．</w:t>
      </w:r>
    </w:p>
    <w:p w:rsidR="009A1ED7" w:rsidRDefault="009A1ED7" w:rsidP="009A1ED7">
      <w:pPr>
        <w:pStyle w:val="a5"/>
        <w:spacing w:line="240" w:lineRule="auto"/>
        <w:ind w:leftChars="0" w:left="570" w:right="210" w:firstLineChars="0" w:firstLine="0"/>
        <w:rPr>
          <w:rFonts w:ascii="Times New Roman" w:hAnsi="Times New Roman" w:cs="Times New Roman"/>
        </w:rPr>
      </w:pPr>
      <w:r w:rsidRPr="009A1ED7">
        <w:rPr>
          <w:rFonts w:ascii="微软雅黑" w:eastAsia="微软雅黑" w:hAnsi="微软雅黑" w:hint="eastAsia"/>
          <w:color w:val="222222"/>
          <w:sz w:val="15"/>
          <w:szCs w:val="15"/>
        </w:rPr>
        <w:t xml:space="preserve">[2] Herrmann I </w:t>
      </w:r>
      <w:proofErr w:type="gramStart"/>
      <w:r w:rsidRPr="009A1ED7">
        <w:rPr>
          <w:rFonts w:ascii="微软雅黑" w:eastAsia="微软雅黑" w:hAnsi="微软雅黑" w:hint="eastAsia"/>
          <w:color w:val="222222"/>
          <w:sz w:val="15"/>
          <w:szCs w:val="15"/>
        </w:rPr>
        <w:t>T ,</w:t>
      </w:r>
      <w:proofErr w:type="gramEnd"/>
      <w:r w:rsidRPr="009A1ED7">
        <w:rPr>
          <w:rFonts w:ascii="微软雅黑" w:eastAsia="微软雅黑" w:hAnsi="微软雅黑" w:hint="eastAsia"/>
          <w:color w:val="222222"/>
          <w:sz w:val="15"/>
          <w:szCs w:val="15"/>
        </w:rPr>
        <w:t xml:space="preserve"> </w:t>
      </w:r>
      <w:proofErr w:type="spellStart"/>
      <w:r w:rsidRPr="009A1ED7">
        <w:rPr>
          <w:rFonts w:ascii="微软雅黑" w:eastAsia="微软雅黑" w:hAnsi="微软雅黑" w:hint="eastAsia"/>
          <w:color w:val="222222"/>
          <w:sz w:val="15"/>
          <w:szCs w:val="15"/>
        </w:rPr>
        <w:t>Moltesen</w:t>
      </w:r>
      <w:proofErr w:type="spellEnd"/>
      <w:r w:rsidRPr="009A1ED7">
        <w:rPr>
          <w:rFonts w:ascii="微软雅黑" w:eastAsia="微软雅黑" w:hAnsi="微软雅黑" w:hint="eastAsia"/>
          <w:color w:val="222222"/>
          <w:sz w:val="15"/>
          <w:szCs w:val="15"/>
        </w:rPr>
        <w:t xml:space="preserve"> A . Does it matter which Life Cycle Assessment (LCA) tool you choose? – a comparative assessment of </w:t>
      </w:r>
      <w:proofErr w:type="spellStart"/>
      <w:r w:rsidRPr="009A1ED7">
        <w:rPr>
          <w:rFonts w:ascii="微软雅黑" w:eastAsia="微软雅黑" w:hAnsi="微软雅黑" w:hint="eastAsia"/>
          <w:color w:val="222222"/>
          <w:sz w:val="15"/>
          <w:szCs w:val="15"/>
        </w:rPr>
        <w:t>SimaPro</w:t>
      </w:r>
      <w:proofErr w:type="spellEnd"/>
      <w:r w:rsidRPr="009A1ED7">
        <w:rPr>
          <w:rFonts w:ascii="微软雅黑" w:eastAsia="微软雅黑" w:hAnsi="微软雅黑" w:hint="eastAsia"/>
          <w:color w:val="222222"/>
          <w:sz w:val="15"/>
          <w:szCs w:val="15"/>
        </w:rPr>
        <w:t xml:space="preserve"> and </w:t>
      </w:r>
      <w:proofErr w:type="spellStart"/>
      <w:r w:rsidRPr="009A1ED7">
        <w:rPr>
          <w:rFonts w:ascii="微软雅黑" w:eastAsia="微软雅黑" w:hAnsi="微软雅黑" w:hint="eastAsia"/>
          <w:color w:val="222222"/>
          <w:sz w:val="15"/>
          <w:szCs w:val="15"/>
        </w:rPr>
        <w:t>GaBi</w:t>
      </w:r>
      <w:proofErr w:type="spellEnd"/>
      <w:r w:rsidRPr="009A1ED7">
        <w:rPr>
          <w:rFonts w:ascii="微软雅黑" w:eastAsia="微软雅黑" w:hAnsi="微软雅黑" w:hint="eastAsia"/>
          <w:color w:val="222222"/>
          <w:sz w:val="15"/>
          <w:szCs w:val="15"/>
        </w:rPr>
        <w:t>[J]. Journal of Cleaner Production, 2015, 86:163-169.</w:t>
      </w:r>
      <w:r w:rsidRPr="009A1ED7">
        <w:rPr>
          <w:rFonts w:ascii="Times New Roman" w:hAnsi="Times New Roman" w:cs="Times New Roman" w:hint="eastAsia"/>
        </w:rPr>
        <w:t></w:t>
      </w:r>
    </w:p>
    <w:p w:rsidR="00A8736B" w:rsidRPr="00A8736B" w:rsidRDefault="00A8736B" w:rsidP="009A1ED7">
      <w:pPr>
        <w:pStyle w:val="a5"/>
        <w:spacing w:line="240" w:lineRule="auto"/>
        <w:ind w:leftChars="0" w:left="570" w:right="210" w:firstLineChars="0" w:firstLine="0"/>
        <w:rPr>
          <w:rFonts w:asciiTheme="minorEastAsia" w:hAnsiTheme="minorEastAsia" w:cs="Times New Roman"/>
        </w:rPr>
      </w:pPr>
      <w:r w:rsidRPr="00A8736B">
        <w:rPr>
          <w:rFonts w:ascii="Times New Roman" w:eastAsia="微软雅黑" w:hAnsi="Times New Roman" w:cs="Times New Roman"/>
          <w:color w:val="222222"/>
          <w:sz w:val="15"/>
          <w:szCs w:val="15"/>
        </w:rPr>
        <w:t>Mao</w:t>
      </w:r>
      <w:r w:rsidRPr="00A8736B">
        <w:rPr>
          <w:rFonts w:asciiTheme="minorEastAsia" w:hAnsiTheme="minorEastAsia" w:cs="Times New Roman"/>
          <w:color w:val="222222"/>
          <w:szCs w:val="21"/>
        </w:rPr>
        <w:t>等人研究了</w:t>
      </w:r>
      <w:r>
        <w:rPr>
          <w:rFonts w:asciiTheme="minorEastAsia" w:hAnsiTheme="minorEastAsia" w:cs="Times New Roman"/>
          <w:color w:val="222222"/>
          <w:szCs w:val="21"/>
        </w:rPr>
        <w:t>现浇注建筑与半预制建筑在建造阶段的温室气体排放差异</w:t>
      </w:r>
      <w:r>
        <w:rPr>
          <w:rFonts w:asciiTheme="minorEastAsia" w:hAnsiTheme="minorEastAsia" w:cs="Times New Roman" w:hint="eastAsia"/>
          <w:color w:val="222222"/>
          <w:szCs w:val="21"/>
        </w:rPr>
        <w:t>，</w:t>
      </w:r>
      <w:r>
        <w:rPr>
          <w:rFonts w:asciiTheme="minorEastAsia" w:hAnsiTheme="minorEastAsia" w:cs="Times New Roman"/>
          <w:color w:val="222222"/>
          <w:szCs w:val="21"/>
        </w:rPr>
        <w:t>并对位于深圳的两栋分别采用现浇柱与半预制方式建造的建筑进行案例研究</w:t>
      </w:r>
      <w:r>
        <w:rPr>
          <w:rFonts w:asciiTheme="minorEastAsia" w:hAnsiTheme="minorEastAsia" w:cs="Times New Roman" w:hint="eastAsia"/>
          <w:color w:val="222222"/>
          <w:szCs w:val="21"/>
        </w:rPr>
        <w:t>，</w:t>
      </w:r>
      <w:r>
        <w:rPr>
          <w:rFonts w:asciiTheme="minorEastAsia" w:hAnsiTheme="minorEastAsia" w:cs="Times New Roman"/>
          <w:color w:val="222222"/>
          <w:szCs w:val="21"/>
        </w:rPr>
        <w:t>结果表明半预制方式建造的建筑单位面积碳排放量较传统现浇建筑低</w:t>
      </w:r>
      <w:r>
        <w:rPr>
          <w:rFonts w:asciiTheme="minorEastAsia" w:hAnsiTheme="minorEastAsia" w:cs="Times New Roman" w:hint="eastAsia"/>
          <w:color w:val="222222"/>
          <w:szCs w:val="21"/>
        </w:rPr>
        <w:t>3.2%，二者差异并不明显，</w:t>
      </w:r>
      <w:r w:rsidR="00440C42">
        <w:rPr>
          <w:rFonts w:asciiTheme="minorEastAsia" w:hAnsiTheme="minorEastAsia" w:cs="Times New Roman" w:hint="eastAsia"/>
          <w:color w:val="222222"/>
          <w:szCs w:val="21"/>
        </w:rPr>
        <w:t>其原因可归结为</w:t>
      </w:r>
      <w:r>
        <w:rPr>
          <w:rFonts w:asciiTheme="minorEastAsia" w:hAnsiTheme="minorEastAsia" w:cs="Times New Roman" w:hint="eastAsia"/>
          <w:color w:val="222222"/>
          <w:szCs w:val="21"/>
        </w:rPr>
        <w:t>案例中的装配式建筑</w:t>
      </w:r>
      <w:r w:rsidR="00DA3CEA">
        <w:rPr>
          <w:rFonts w:asciiTheme="minorEastAsia" w:hAnsiTheme="minorEastAsia" w:cs="Times New Roman" w:hint="eastAsia"/>
          <w:color w:val="222222"/>
          <w:szCs w:val="21"/>
        </w:rPr>
        <w:t>预制</w:t>
      </w:r>
      <w:r>
        <w:rPr>
          <w:rFonts w:asciiTheme="minorEastAsia" w:hAnsiTheme="minorEastAsia" w:cs="Times New Roman" w:hint="eastAsia"/>
          <w:color w:val="222222"/>
          <w:szCs w:val="21"/>
        </w:rPr>
        <w:t>率低，仅为10.5%且</w:t>
      </w:r>
      <w:r w:rsidR="002F25F1">
        <w:rPr>
          <w:rFonts w:asciiTheme="minorEastAsia" w:hAnsiTheme="minorEastAsia" w:cs="Times New Roman" w:hint="eastAsia"/>
          <w:color w:val="222222"/>
          <w:szCs w:val="21"/>
        </w:rPr>
        <w:t>建造年份较早，建筑部件预制技术尚不成熟导致的。</w:t>
      </w:r>
    </w:p>
    <w:p w:rsidR="008F47F1" w:rsidRDefault="008F47F1" w:rsidP="009A1ED7">
      <w:pPr>
        <w:pStyle w:val="a5"/>
        <w:spacing w:line="240" w:lineRule="auto"/>
        <w:ind w:leftChars="0" w:left="570" w:right="210" w:firstLineChars="0" w:firstLine="0"/>
        <w:rPr>
          <w:rFonts w:ascii="微软雅黑" w:eastAsia="微软雅黑" w:hAnsi="微软雅黑"/>
          <w:color w:val="222222"/>
          <w:sz w:val="15"/>
          <w:szCs w:val="15"/>
        </w:rPr>
      </w:pPr>
      <w:r>
        <w:rPr>
          <w:rFonts w:ascii="微软雅黑" w:eastAsia="微软雅黑" w:hAnsi="微软雅黑" w:hint="eastAsia"/>
          <w:color w:val="222222"/>
          <w:sz w:val="15"/>
          <w:szCs w:val="15"/>
        </w:rPr>
        <w:t>排放因子法由IPCC首先提出并大规模推广的生产活动碳排放计算方法，其亦是当前世界范围内应用最广的碳排放计算方法，其基本计算思路是根据生产活动中产生碳排放的活动清单，整理出具体活动的工程量以及</w:t>
      </w:r>
      <w:proofErr w:type="gramStart"/>
      <w:r>
        <w:rPr>
          <w:rFonts w:ascii="微软雅黑" w:eastAsia="微软雅黑" w:hAnsi="微软雅黑" w:hint="eastAsia"/>
          <w:color w:val="222222"/>
          <w:sz w:val="15"/>
          <w:szCs w:val="15"/>
        </w:rPr>
        <w:t>单位工程量碳排放</w:t>
      </w:r>
      <w:proofErr w:type="gramEnd"/>
      <w:r>
        <w:rPr>
          <w:rFonts w:ascii="微软雅黑" w:eastAsia="微软雅黑" w:hAnsi="微软雅黑" w:hint="eastAsia"/>
          <w:color w:val="222222"/>
          <w:sz w:val="15"/>
          <w:szCs w:val="15"/>
        </w:rPr>
        <w:t>因子，将二者相乘之后得到相关活动的碳排放预测值。</w:t>
      </w:r>
    </w:p>
    <w:p w:rsidR="005C3BA7" w:rsidRDefault="005C3BA7" w:rsidP="009A1ED7">
      <w:pPr>
        <w:pStyle w:val="a5"/>
        <w:spacing w:line="240" w:lineRule="auto"/>
        <w:ind w:leftChars="0" w:left="570" w:right="210" w:firstLineChars="0" w:firstLine="0"/>
      </w:pPr>
      <w:r>
        <w:t>碳排放因子一般通过能源的</w:t>
      </w:r>
      <w:proofErr w:type="gramStart"/>
      <w:r>
        <w:t>消耗量及碳排放量</w:t>
      </w:r>
      <w:proofErr w:type="gramEnd"/>
      <w:r>
        <w:t xml:space="preserve"> </w:t>
      </w:r>
      <w:r>
        <w:t>统计数据计算获得，准确的碳排放因子则根据试验</w:t>
      </w:r>
      <w:r>
        <w:t xml:space="preserve"> </w:t>
      </w:r>
      <w:r>
        <w:t>测定。由于不同国家和地区的能源结构和生产方式</w:t>
      </w:r>
      <w:r>
        <w:t xml:space="preserve"> </w:t>
      </w:r>
      <w:r>
        <w:t>均具有较大差异，对于基础排放因子数据的选择，本</w:t>
      </w:r>
      <w:r>
        <w:t xml:space="preserve"> </w:t>
      </w:r>
      <w:r>
        <w:t>研究遵循以下优先等级次序：</w:t>
      </w:r>
      <w:r>
        <w:t>1)</w:t>
      </w:r>
      <w:r>
        <w:t>国内成熟的数据</w:t>
      </w:r>
      <w:r>
        <w:t xml:space="preserve"> </w:t>
      </w:r>
      <w:r>
        <w:t>库；</w:t>
      </w:r>
      <w:r>
        <w:t>2)</w:t>
      </w:r>
      <w:r>
        <w:t>国内文献中现有的研究成果；</w:t>
      </w:r>
      <w:r>
        <w:t>3)</w:t>
      </w:r>
      <w:r>
        <w:t>国外数据库</w:t>
      </w:r>
      <w:r>
        <w:t xml:space="preserve"> </w:t>
      </w:r>
      <w:r>
        <w:t>及研究成果。</w:t>
      </w:r>
    </w:p>
    <w:p w:rsidR="002F25F1" w:rsidRDefault="002F25F1" w:rsidP="009A1ED7">
      <w:pPr>
        <w:pStyle w:val="a5"/>
        <w:spacing w:line="240" w:lineRule="auto"/>
        <w:ind w:leftChars="0" w:left="570" w:right="210" w:firstLineChars="0" w:firstLine="0"/>
        <w:rPr>
          <w:rFonts w:ascii="微软雅黑" w:eastAsia="微软雅黑" w:hAnsi="微软雅黑" w:hint="eastAsia"/>
          <w:color w:val="222222"/>
          <w:sz w:val="15"/>
          <w:szCs w:val="15"/>
          <w:shd w:val="clear" w:color="auto" w:fill="FBFBFB"/>
        </w:rPr>
      </w:pPr>
      <w:r>
        <w:rPr>
          <w:rFonts w:ascii="微软雅黑" w:eastAsia="微软雅黑" w:hAnsi="微软雅黑" w:hint="eastAsia"/>
          <w:color w:val="222222"/>
          <w:sz w:val="15"/>
          <w:szCs w:val="15"/>
          <w:shd w:val="clear" w:color="auto" w:fill="FBFBFB"/>
        </w:rPr>
        <w:t xml:space="preserve">[1] C </w:t>
      </w:r>
      <w:proofErr w:type="spellStart"/>
      <w:r>
        <w:rPr>
          <w:rFonts w:ascii="微软雅黑" w:eastAsia="微软雅黑" w:hAnsi="微软雅黑" w:hint="eastAsia"/>
          <w:color w:val="222222"/>
          <w:sz w:val="15"/>
          <w:szCs w:val="15"/>
          <w:shd w:val="clear" w:color="auto" w:fill="FBFBFB"/>
        </w:rPr>
        <w:t>C</w:t>
      </w:r>
      <w:proofErr w:type="spellEnd"/>
      <w:r>
        <w:rPr>
          <w:rFonts w:ascii="微软雅黑" w:eastAsia="微软雅黑" w:hAnsi="微软雅黑" w:hint="eastAsia"/>
          <w:color w:val="222222"/>
          <w:sz w:val="15"/>
          <w:szCs w:val="15"/>
          <w:shd w:val="clear" w:color="auto" w:fill="FBFBFB"/>
        </w:rPr>
        <w:t xml:space="preserve"> M A </w:t>
      </w:r>
      <w:proofErr w:type="gramStart"/>
      <w:r>
        <w:rPr>
          <w:rFonts w:ascii="微软雅黑" w:eastAsia="微软雅黑" w:hAnsi="微软雅黑" w:hint="eastAsia"/>
          <w:color w:val="222222"/>
          <w:sz w:val="15"/>
          <w:szCs w:val="15"/>
          <w:shd w:val="clear" w:color="auto" w:fill="FBFBFB"/>
        </w:rPr>
        <w:t>B ,</w:t>
      </w:r>
      <w:proofErr w:type="gramEnd"/>
      <w:r>
        <w:rPr>
          <w:rFonts w:ascii="微软雅黑" w:eastAsia="微软雅黑" w:hAnsi="微软雅黑" w:hint="eastAsia"/>
          <w:color w:val="222222"/>
          <w:sz w:val="15"/>
          <w:szCs w:val="15"/>
          <w:shd w:val="clear" w:color="auto" w:fill="FBFBFB"/>
        </w:rPr>
        <w:t xml:space="preserve"> B Q S , C L S A , et al. Comparative study of greenhouse gas emissions between off-site </w:t>
      </w:r>
      <w:r>
        <w:rPr>
          <w:rFonts w:ascii="微软雅黑" w:eastAsia="微软雅黑" w:hAnsi="微软雅黑" w:hint="eastAsia"/>
          <w:color w:val="222222"/>
          <w:sz w:val="15"/>
          <w:szCs w:val="15"/>
          <w:shd w:val="clear" w:color="auto" w:fill="FBFBFB"/>
        </w:rPr>
        <w:lastRenderedPageBreak/>
        <w:t xml:space="preserve">prefabrication and conventional construction methods: Two case studies of residential projects - </w:t>
      </w:r>
      <w:proofErr w:type="spellStart"/>
      <w:r>
        <w:rPr>
          <w:rFonts w:ascii="微软雅黑" w:eastAsia="微软雅黑" w:hAnsi="微软雅黑" w:hint="eastAsia"/>
          <w:color w:val="222222"/>
          <w:sz w:val="15"/>
          <w:szCs w:val="15"/>
          <w:shd w:val="clear" w:color="auto" w:fill="FBFBFB"/>
        </w:rPr>
        <w:t>ScienceDirect</w:t>
      </w:r>
      <w:proofErr w:type="spellEnd"/>
      <w:r>
        <w:rPr>
          <w:rFonts w:ascii="微软雅黑" w:eastAsia="微软雅黑" w:hAnsi="微软雅黑" w:hint="eastAsia"/>
          <w:color w:val="222222"/>
          <w:sz w:val="15"/>
          <w:szCs w:val="15"/>
          <w:shd w:val="clear" w:color="auto" w:fill="FBFBFB"/>
        </w:rPr>
        <w:t>[J]. Energy and Buildings, 2013, 66(5):165-176.</w:t>
      </w:r>
    </w:p>
    <w:p w:rsidR="00F96B18" w:rsidRDefault="00F96B18" w:rsidP="009A1ED7">
      <w:pPr>
        <w:pStyle w:val="a5"/>
        <w:spacing w:line="240" w:lineRule="auto"/>
        <w:ind w:leftChars="0" w:left="570" w:right="210" w:firstLineChars="0" w:firstLine="0"/>
        <w:rPr>
          <w:rFonts w:ascii="微软雅黑" w:eastAsia="微软雅黑" w:hAnsi="微软雅黑" w:hint="eastAsia"/>
          <w:color w:val="222222"/>
          <w:sz w:val="15"/>
          <w:szCs w:val="15"/>
          <w:shd w:val="clear" w:color="auto" w:fill="FBFBFB"/>
        </w:rPr>
      </w:pPr>
      <w:r>
        <w:rPr>
          <w:rFonts w:ascii="微软雅黑" w:eastAsia="微软雅黑" w:hAnsi="微软雅黑" w:hint="eastAsia"/>
          <w:color w:val="222222"/>
          <w:sz w:val="15"/>
          <w:szCs w:val="15"/>
          <w:shd w:val="clear" w:color="auto" w:fill="FBFBFB"/>
        </w:rPr>
        <w:t>[尽管作为人类历史上最古老的一种工业，建筑的制造与生产还</w:t>
      </w:r>
      <w:proofErr w:type="gramStart"/>
      <w:r>
        <w:rPr>
          <w:rFonts w:ascii="微软雅黑" w:eastAsia="微软雅黑" w:hAnsi="微软雅黑" w:hint="eastAsia"/>
          <w:color w:val="222222"/>
          <w:sz w:val="15"/>
          <w:szCs w:val="15"/>
          <w:shd w:val="clear" w:color="auto" w:fill="FBFBFB"/>
        </w:rPr>
        <w:t>沿用着</w:t>
      </w:r>
      <w:proofErr w:type="gramEnd"/>
      <w:r>
        <w:rPr>
          <w:rFonts w:ascii="微软雅黑" w:eastAsia="微软雅黑" w:hAnsi="微软雅黑" w:hint="eastAsia"/>
          <w:color w:val="222222"/>
          <w:sz w:val="15"/>
          <w:szCs w:val="15"/>
          <w:shd w:val="clear" w:color="auto" w:fill="FBFBFB"/>
        </w:rPr>
        <w:t>一种相当古老的手工建造方法</w:t>
      </w:r>
      <w:r w:rsidR="0055211C">
        <w:rPr>
          <w:rFonts w:ascii="微软雅黑" w:eastAsia="微软雅黑" w:hAnsi="微软雅黑" w:hint="eastAsia"/>
          <w:color w:val="222222"/>
          <w:sz w:val="15"/>
          <w:szCs w:val="15"/>
          <w:shd w:val="clear" w:color="auto" w:fill="FBFBFB"/>
        </w:rPr>
        <w:t>，即大量</w:t>
      </w:r>
      <w:r>
        <w:rPr>
          <w:rFonts w:ascii="微软雅黑" w:eastAsia="微软雅黑" w:hAnsi="微软雅黑" w:hint="eastAsia"/>
          <w:color w:val="222222"/>
          <w:sz w:val="15"/>
          <w:szCs w:val="15"/>
          <w:shd w:val="clear" w:color="auto" w:fill="FBFBFB"/>
        </w:rPr>
        <w:t>利用</w:t>
      </w:r>
      <w:r w:rsidR="0055211C">
        <w:rPr>
          <w:rFonts w:ascii="微软雅黑" w:eastAsia="微软雅黑" w:hAnsi="微软雅黑" w:hint="eastAsia"/>
          <w:color w:val="222222"/>
          <w:sz w:val="15"/>
          <w:szCs w:val="15"/>
          <w:shd w:val="clear" w:color="auto" w:fill="FBFBFB"/>
        </w:rPr>
        <w:t>人工在施工地点使用原材料进行堆砌，即使在最近的四十年内，也很少有革命性的生产方式被真正应用于大规模的建筑生产中，因此一种集约化、自动化程度更高的建筑生产方式应该受到人们重视</w:t>
      </w:r>
      <w:r>
        <w:rPr>
          <w:rFonts w:ascii="微软雅黑" w:eastAsia="微软雅黑" w:hAnsi="微软雅黑" w:hint="eastAsia"/>
          <w:color w:val="222222"/>
          <w:sz w:val="15"/>
          <w:szCs w:val="15"/>
          <w:shd w:val="clear" w:color="auto" w:fill="FBFBFB"/>
        </w:rPr>
        <w:t>]</w:t>
      </w:r>
    </w:p>
    <w:p w:rsidR="00440C42" w:rsidRDefault="00097955" w:rsidP="009A1ED7">
      <w:pPr>
        <w:pStyle w:val="a5"/>
        <w:spacing w:line="240" w:lineRule="auto"/>
        <w:ind w:leftChars="0" w:left="570" w:right="210" w:firstLineChars="0" w:firstLine="0"/>
        <w:rPr>
          <w:rFonts w:asciiTheme="minorEastAsia" w:hAnsiTheme="minorEastAsia" w:hint="eastAsia"/>
          <w:color w:val="222222"/>
          <w:szCs w:val="21"/>
        </w:rPr>
      </w:pPr>
      <w:r w:rsidRPr="00097955">
        <w:rPr>
          <w:rFonts w:asciiTheme="minorEastAsia" w:hAnsiTheme="minorEastAsia" w:hint="eastAsia"/>
          <w:color w:val="222222"/>
          <w:szCs w:val="21"/>
        </w:rPr>
        <w:t>装配式建筑是一种新型建筑工业化生产方式，</w:t>
      </w:r>
      <w:r>
        <w:rPr>
          <w:rFonts w:asciiTheme="minorEastAsia" w:hAnsiTheme="minorEastAsia" w:hint="eastAsia"/>
          <w:color w:val="222222"/>
          <w:szCs w:val="21"/>
        </w:rPr>
        <w:t>其利用“搭积木”的建造思路，将特定工厂生产的建筑预制件运送至现场，进行现场组装，最终形成完整的建筑。相较于传统的现浇式建筑，预制建筑的建筑构件由于统一在工厂内生产，可以实现更高效的材料利用与污染控制，并且现场施工时只需要进行构件安装，而无需再进行建筑部件的二次生产，因此省去了大量的施工机械台班用量与工人工作时间，有效降低了建筑在施工建造阶段的耗能</w:t>
      </w:r>
      <w:r w:rsidR="006625F1">
        <w:rPr>
          <w:rFonts w:asciiTheme="minorEastAsia" w:hAnsiTheme="minorEastAsia" w:hint="eastAsia"/>
          <w:color w:val="222222"/>
          <w:szCs w:val="21"/>
        </w:rPr>
        <w:t>，并显著提升建筑的建造效率</w:t>
      </w:r>
      <w:r>
        <w:rPr>
          <w:rFonts w:asciiTheme="minorEastAsia" w:hAnsiTheme="minorEastAsia" w:hint="eastAsia"/>
          <w:color w:val="222222"/>
          <w:szCs w:val="21"/>
        </w:rPr>
        <w:t>。</w:t>
      </w:r>
      <w:r w:rsidR="005366B5">
        <w:rPr>
          <w:rFonts w:asciiTheme="minorEastAsia" w:hAnsiTheme="minorEastAsia" w:hint="eastAsia"/>
          <w:color w:val="222222"/>
          <w:szCs w:val="21"/>
        </w:rPr>
        <w:t>相较于现浇式建筑，装配式建筑的建造可分为三个阶段：生产制造阶段、运输阶段、现场安装阶段。其中生产制造阶段是装配式建筑所独有</w:t>
      </w:r>
      <w:r w:rsidR="00DA654A">
        <w:rPr>
          <w:rFonts w:asciiTheme="minorEastAsia" w:hAnsiTheme="minorEastAsia" w:hint="eastAsia"/>
          <w:color w:val="222222"/>
          <w:szCs w:val="21"/>
        </w:rPr>
        <w:t>，该阶段的碳排放包括原材料的生产以及生产线上机器运行</w:t>
      </w:r>
      <w:r w:rsidR="005366B5">
        <w:rPr>
          <w:rFonts w:asciiTheme="minorEastAsia" w:hAnsiTheme="minorEastAsia" w:hint="eastAsia"/>
          <w:color w:val="222222"/>
          <w:szCs w:val="21"/>
        </w:rPr>
        <w:t>。</w:t>
      </w:r>
      <w:r w:rsidR="00DA654A">
        <w:rPr>
          <w:rFonts w:asciiTheme="minorEastAsia" w:hAnsiTheme="minorEastAsia" w:hint="eastAsia"/>
          <w:color w:val="222222"/>
          <w:szCs w:val="21"/>
        </w:rPr>
        <w:t>这一阶段的碳排放量计算可依照下式：</w:t>
      </w:r>
    </w:p>
    <w:p w:rsidR="00DA654A" w:rsidRDefault="00DA654A" w:rsidP="009A1ED7">
      <w:pPr>
        <w:pStyle w:val="a5"/>
        <w:spacing w:line="240" w:lineRule="auto"/>
        <w:ind w:leftChars="0" w:left="570" w:right="210" w:firstLineChars="0" w:firstLine="0"/>
        <w:rPr>
          <w:rFonts w:asciiTheme="minorEastAsia" w:hAnsiTheme="minorEastAsia" w:hint="eastAsia"/>
          <w:color w:val="222222"/>
          <w:szCs w:val="21"/>
        </w:rPr>
      </w:pPr>
      <m:oMathPara>
        <m:oMath>
          <m:sSub>
            <m:sSubPr>
              <m:ctrlPr>
                <w:rPr>
                  <w:rFonts w:ascii="Cambria Math" w:hAnsi="Cambria Math"/>
                  <w:color w:val="222222"/>
                  <w:szCs w:val="21"/>
                </w:rPr>
              </m:ctrlPr>
            </m:sSubPr>
            <m:e>
              <m:r>
                <m:rPr>
                  <m:sty m:val="p"/>
                </m:rPr>
                <w:rPr>
                  <w:rFonts w:ascii="Cambria Math" w:hAnsi="Cambria Math" w:hint="eastAsia"/>
                  <w:color w:val="222222"/>
                  <w:szCs w:val="21"/>
                </w:rPr>
                <m:t>Q</m:t>
              </m:r>
            </m:e>
            <m:sub>
              <m:r>
                <m:rPr>
                  <m:sty m:val="p"/>
                </m:rPr>
                <w:rPr>
                  <w:rFonts w:ascii="Cambria Math" w:hAnsi="Cambria Math"/>
                  <w:color w:val="222222"/>
                  <w:szCs w:val="21"/>
                </w:rPr>
                <m:t>p</m:t>
              </m:r>
            </m:sub>
          </m:sSub>
          <m:r>
            <m:rPr>
              <m:sty m:val="p"/>
            </m:rPr>
            <w:rPr>
              <w:rFonts w:ascii="Cambria Math" w:hAnsi="Cambria Math" w:hint="eastAsia"/>
              <w:color w:val="222222"/>
              <w:szCs w:val="21"/>
            </w:rPr>
            <m:t>=</m:t>
          </m:r>
          <m:nary>
            <m:naryPr>
              <m:chr m:val="∑"/>
              <m:limLoc m:val="undOvr"/>
              <m:ctrlPr>
                <w:rPr>
                  <w:rFonts w:ascii="Cambria Math" w:hAnsi="Cambria Math"/>
                  <w:color w:val="222222"/>
                  <w:szCs w:val="21"/>
                </w:rPr>
              </m:ctrlPr>
            </m:naryPr>
            <m:sub>
              <m:r>
                <m:rPr>
                  <m:sty m:val="p"/>
                </m:rPr>
                <w:rPr>
                  <w:rFonts w:ascii="Cambria Math" w:hAnsi="Cambria Math"/>
                  <w:color w:val="222222"/>
                  <w:szCs w:val="21"/>
                </w:rPr>
                <m:t>i</m:t>
              </m:r>
              <m:r>
                <m:rPr>
                  <m:sty m:val="p"/>
                </m:rPr>
                <w:rPr>
                  <w:rFonts w:ascii="Cambria Math" w:hAnsi="Cambria Math" w:hint="eastAsia"/>
                  <w:color w:val="222222"/>
                  <w:szCs w:val="21"/>
                </w:rPr>
                <m:t>=</m:t>
              </m:r>
              <m:r>
                <m:rPr>
                  <m:sty m:val="p"/>
                </m:rPr>
                <w:rPr>
                  <w:rFonts w:ascii="Cambria Math" w:hAnsi="Cambria Math"/>
                  <w:color w:val="222222"/>
                  <w:szCs w:val="21"/>
                </w:rPr>
                <m:t>1</m:t>
              </m:r>
            </m:sub>
            <m:sup>
              <m:r>
                <m:rPr>
                  <m:sty m:val="p"/>
                </m:rPr>
                <w:rPr>
                  <w:rFonts w:ascii="Cambria Math" w:hAnsi="Cambria Math"/>
                  <w:color w:val="222222"/>
                  <w:szCs w:val="21"/>
                </w:rPr>
                <m:t>n</m:t>
              </m:r>
            </m:sup>
            <m:e>
              <m:r>
                <m:rPr>
                  <m:sty m:val="p"/>
                </m:rPr>
                <w:rPr>
                  <w:rFonts w:ascii="Cambria Math" w:hAnsi="Cambria Math"/>
                  <w:color w:val="222222"/>
                  <w:szCs w:val="21"/>
                </w:rPr>
                <m:t>(</m:t>
              </m:r>
              <m:sSub>
                <m:sSubPr>
                  <m:ctrlPr>
                    <w:rPr>
                      <w:rFonts w:ascii="Cambria Math" w:hAnsi="Cambria Math"/>
                      <w:color w:val="222222"/>
                      <w:szCs w:val="21"/>
                    </w:rPr>
                  </m:ctrlPr>
                </m:sSubPr>
                <m:e>
                  <m:r>
                    <m:rPr>
                      <m:sty m:val="p"/>
                    </m:rPr>
                    <w:rPr>
                      <w:rFonts w:ascii="Cambria Math" w:hAnsi="Cambria Math"/>
                      <w:color w:val="222222"/>
                      <w:szCs w:val="21"/>
                    </w:rPr>
                    <m:t>F</m:t>
                  </m:r>
                </m:e>
                <m:sub>
                  <m:eqArr>
                    <m:eqArrPr>
                      <m:ctrlPr>
                        <w:rPr>
                          <w:rFonts w:ascii="Cambria Math" w:hAnsi="Cambria Math"/>
                          <w:color w:val="222222"/>
                          <w:szCs w:val="21"/>
                        </w:rPr>
                      </m:ctrlPr>
                    </m:eqArrPr>
                    <m:e>
                      <m:r>
                        <m:rPr>
                          <m:sty m:val="p"/>
                        </m:rPr>
                        <w:rPr>
                          <w:rFonts w:ascii="Cambria Math" w:hAnsi="Cambria Math"/>
                          <w:color w:val="222222"/>
                          <w:szCs w:val="21"/>
                        </w:rPr>
                        <m:t>di</m:t>
                      </m:r>
                    </m:e>
                  </m:eqArr>
                </m:sub>
              </m:sSub>
              <m:r>
                <m:rPr>
                  <m:sty m:val="p"/>
                </m:rPr>
                <w:rPr>
                  <w:rFonts w:ascii="Cambria Math" w:hAnsi="Cambria Math"/>
                  <w:color w:val="222222"/>
                  <w:szCs w:val="21"/>
                </w:rPr>
                <m:t>×</m:t>
              </m:r>
              <m:sSub>
                <m:sSubPr>
                  <m:ctrlPr>
                    <w:rPr>
                      <w:rFonts w:ascii="Cambria Math" w:hAnsi="Cambria Math"/>
                      <w:color w:val="222222"/>
                      <w:szCs w:val="21"/>
                    </w:rPr>
                  </m:ctrlPr>
                </m:sSubPr>
                <m:e>
                  <m:r>
                    <m:rPr>
                      <m:sty m:val="p"/>
                    </m:rPr>
                    <w:rPr>
                      <w:rFonts w:ascii="Cambria Math" w:hAnsi="Cambria Math"/>
                      <w:color w:val="222222"/>
                      <w:szCs w:val="21"/>
                    </w:rPr>
                    <m:t>E</m:t>
                  </m:r>
                </m:e>
                <m:sub>
                  <m:r>
                    <m:rPr>
                      <m:sty m:val="p"/>
                    </m:rPr>
                    <w:rPr>
                      <w:rFonts w:ascii="Cambria Math" w:hAnsi="Cambria Math"/>
                      <w:color w:val="222222"/>
                      <w:szCs w:val="21"/>
                    </w:rPr>
                    <m:t>d</m:t>
                  </m:r>
                </m:sub>
              </m:sSub>
              <m:r>
                <m:rPr>
                  <m:sty m:val="p"/>
                </m:rPr>
                <w:rPr>
                  <w:rFonts w:ascii="Cambria Math" w:hAnsi="Cambria Math"/>
                  <w:color w:val="222222"/>
                  <w:szCs w:val="21"/>
                </w:rPr>
                <m:t>+</m:t>
              </m:r>
              <m:sSub>
                <m:sSubPr>
                  <m:ctrlPr>
                    <w:rPr>
                      <w:rFonts w:ascii="Cambria Math" w:hAnsi="Cambria Math"/>
                      <w:color w:val="222222"/>
                      <w:szCs w:val="21"/>
                    </w:rPr>
                  </m:ctrlPr>
                </m:sSubPr>
                <m:e>
                  <m:r>
                    <m:rPr>
                      <m:sty m:val="p"/>
                    </m:rPr>
                    <w:rPr>
                      <w:rFonts w:ascii="Cambria Math" w:hAnsi="Cambria Math"/>
                      <w:color w:val="222222"/>
                      <w:szCs w:val="21"/>
                    </w:rPr>
                    <m:t>F</m:t>
                  </m:r>
                </m:e>
                <m:sub>
                  <m:eqArr>
                    <m:eqArrPr>
                      <m:ctrlPr>
                        <w:rPr>
                          <w:rFonts w:ascii="Cambria Math" w:hAnsi="Cambria Math"/>
                          <w:color w:val="222222"/>
                          <w:szCs w:val="21"/>
                        </w:rPr>
                      </m:ctrlPr>
                    </m:eqArrPr>
                    <m:e>
                      <m:r>
                        <m:rPr>
                          <m:sty m:val="p"/>
                        </m:rPr>
                        <w:rPr>
                          <w:rFonts w:ascii="Cambria Math" w:hAnsi="Cambria Math"/>
                          <w:color w:val="222222"/>
                          <w:szCs w:val="21"/>
                        </w:rPr>
                        <m:t>pi</m:t>
                      </m:r>
                    </m:e>
                  </m:eqArr>
                </m:sub>
              </m:sSub>
              <m:r>
                <m:rPr>
                  <m:sty m:val="p"/>
                </m:rPr>
                <w:rPr>
                  <w:rFonts w:ascii="Cambria Math" w:hAnsi="Cambria Math"/>
                  <w:color w:val="222222"/>
                  <w:szCs w:val="21"/>
                </w:rPr>
                <m:t>×</m:t>
              </m:r>
              <m:sSub>
                <m:sSubPr>
                  <m:ctrlPr>
                    <w:rPr>
                      <w:rFonts w:ascii="Cambria Math" w:hAnsi="Cambria Math"/>
                      <w:color w:val="222222"/>
                      <w:szCs w:val="21"/>
                    </w:rPr>
                  </m:ctrlPr>
                </m:sSubPr>
                <m:e>
                  <m:r>
                    <m:rPr>
                      <m:sty m:val="p"/>
                    </m:rPr>
                    <w:rPr>
                      <w:rFonts w:ascii="Cambria Math" w:hAnsi="Cambria Math"/>
                      <w:color w:val="222222"/>
                      <w:szCs w:val="21"/>
                    </w:rPr>
                    <m:t>E</m:t>
                  </m:r>
                </m:e>
                <m:sub>
                  <m:r>
                    <m:rPr>
                      <m:sty m:val="p"/>
                    </m:rPr>
                    <w:rPr>
                      <w:rFonts w:ascii="Cambria Math" w:hAnsi="Cambria Math"/>
                      <w:color w:val="222222"/>
                      <w:szCs w:val="21"/>
                    </w:rPr>
                    <m:t>p</m:t>
                  </m:r>
                </m:sub>
              </m:sSub>
              <m:r>
                <m:rPr>
                  <m:sty m:val="p"/>
                </m:rPr>
                <w:rPr>
                  <w:rFonts w:ascii="Cambria Math" w:hAnsi="Cambria Math"/>
                  <w:color w:val="222222"/>
                  <w:szCs w:val="21"/>
                </w:rPr>
                <m:t>+</m:t>
              </m:r>
              <m:sSub>
                <m:sSubPr>
                  <m:ctrlPr>
                    <w:rPr>
                      <w:rFonts w:ascii="Cambria Math" w:hAnsi="Cambria Math"/>
                      <w:color w:val="222222"/>
                      <w:szCs w:val="21"/>
                    </w:rPr>
                  </m:ctrlPr>
                </m:sSubPr>
                <m:e>
                  <m:r>
                    <m:rPr>
                      <m:sty m:val="p"/>
                    </m:rPr>
                    <w:rPr>
                      <w:rFonts w:ascii="Cambria Math" w:hAnsi="Cambria Math"/>
                      <w:color w:val="222222"/>
                      <w:szCs w:val="21"/>
                    </w:rPr>
                    <m:t>F</m:t>
                  </m:r>
                </m:e>
                <m:sub>
                  <m:eqArr>
                    <m:eqArrPr>
                      <m:ctrlPr>
                        <w:rPr>
                          <w:rFonts w:ascii="Cambria Math" w:hAnsi="Cambria Math"/>
                          <w:color w:val="222222"/>
                          <w:szCs w:val="21"/>
                        </w:rPr>
                      </m:ctrlPr>
                    </m:eqArrPr>
                    <m:e>
                      <m:r>
                        <m:rPr>
                          <m:sty m:val="p"/>
                        </m:rPr>
                        <w:rPr>
                          <w:rFonts w:ascii="Cambria Math" w:hAnsi="Cambria Math"/>
                          <w:color w:val="222222"/>
                          <w:szCs w:val="21"/>
                        </w:rPr>
                        <m:t>ei</m:t>
                      </m:r>
                    </m:e>
                  </m:eqArr>
                </m:sub>
              </m:sSub>
              <m:r>
                <m:rPr>
                  <m:sty m:val="p"/>
                </m:rPr>
                <w:rPr>
                  <w:rFonts w:ascii="Cambria Math" w:hAnsi="Cambria Math"/>
                  <w:color w:val="222222"/>
                  <w:szCs w:val="21"/>
                </w:rPr>
                <m:t>×</m:t>
              </m:r>
              <m:sSub>
                <m:sSubPr>
                  <m:ctrlPr>
                    <w:rPr>
                      <w:rFonts w:ascii="Cambria Math" w:hAnsi="Cambria Math"/>
                      <w:color w:val="222222"/>
                      <w:szCs w:val="21"/>
                    </w:rPr>
                  </m:ctrlPr>
                </m:sSubPr>
                <m:e>
                  <m:r>
                    <m:rPr>
                      <m:sty m:val="p"/>
                    </m:rPr>
                    <w:rPr>
                      <w:rFonts w:ascii="Cambria Math" w:hAnsi="Cambria Math"/>
                      <w:color w:val="222222"/>
                      <w:szCs w:val="21"/>
                    </w:rPr>
                    <m:t>E</m:t>
                  </m:r>
                </m:e>
                <m:sub>
                  <m:r>
                    <m:rPr>
                      <m:sty m:val="p"/>
                    </m:rPr>
                    <w:rPr>
                      <w:rFonts w:ascii="Cambria Math" w:hAnsi="Cambria Math"/>
                      <w:color w:val="222222"/>
                      <w:szCs w:val="21"/>
                    </w:rPr>
                    <m:t>e</m:t>
                  </m:r>
                </m:sub>
              </m:sSub>
              <m:r>
                <m:rPr>
                  <m:sty m:val="p"/>
                </m:rPr>
                <w:rPr>
                  <w:rFonts w:ascii="Cambria Math" w:hAnsi="Cambria Math"/>
                  <w:color w:val="222222"/>
                  <w:szCs w:val="21"/>
                </w:rPr>
                <m:t>)</m:t>
              </m:r>
            </m:e>
          </m:nary>
        </m:oMath>
      </m:oMathPara>
    </w:p>
    <w:p w:rsidR="00DA654A" w:rsidRPr="00DA654A" w:rsidRDefault="00DA654A" w:rsidP="009A1ED7">
      <w:pPr>
        <w:pStyle w:val="a5"/>
        <w:spacing w:line="240" w:lineRule="auto"/>
        <w:ind w:leftChars="0" w:left="570" w:right="210" w:firstLineChars="0" w:firstLine="0"/>
        <w:rPr>
          <w:rFonts w:asciiTheme="minorEastAsia" w:hAnsiTheme="minorEastAsia"/>
          <w:color w:val="222222"/>
          <w:szCs w:val="21"/>
        </w:rPr>
      </w:pPr>
      <w:r>
        <w:rPr>
          <w:rFonts w:asciiTheme="minorEastAsia" w:hAnsiTheme="minorEastAsia"/>
          <w:color w:val="222222"/>
          <w:szCs w:val="21"/>
        </w:rPr>
        <w:t>其中</w:t>
      </w:r>
      <m:oMath>
        <m:sSub>
          <m:sSubPr>
            <m:ctrlPr>
              <w:rPr>
                <w:rFonts w:ascii="Cambria Math" w:hAnsi="Cambria Math"/>
                <w:color w:val="222222"/>
                <w:szCs w:val="21"/>
              </w:rPr>
            </m:ctrlPr>
          </m:sSubPr>
          <m:e>
            <m:r>
              <m:rPr>
                <m:sty m:val="p"/>
              </m:rPr>
              <w:rPr>
                <w:rFonts w:ascii="Cambria Math" w:hAnsi="Cambria Math" w:hint="eastAsia"/>
                <w:color w:val="222222"/>
                <w:szCs w:val="21"/>
              </w:rPr>
              <m:t>Q</m:t>
            </m:r>
          </m:e>
          <m:sub>
            <m:r>
              <m:rPr>
                <m:sty m:val="p"/>
              </m:rPr>
              <w:rPr>
                <w:rFonts w:ascii="Cambria Math" w:hAnsi="Cambria Math"/>
                <w:color w:val="222222"/>
                <w:szCs w:val="21"/>
              </w:rPr>
              <m:t>p</m:t>
            </m:r>
          </m:sub>
        </m:sSub>
      </m:oMath>
      <w:r>
        <w:rPr>
          <w:rFonts w:asciiTheme="minorEastAsia" w:hAnsiTheme="minorEastAsia"/>
          <w:color w:val="222222"/>
          <w:szCs w:val="21"/>
        </w:rPr>
        <w:t>为装配式建筑在构件生产制造阶段的碳排放量</w:t>
      </w:r>
      <w:r>
        <w:rPr>
          <w:rFonts w:asciiTheme="minorEastAsia" w:hAnsiTheme="minorEastAsia" w:hint="eastAsia"/>
          <w:color w:val="222222"/>
          <w:szCs w:val="21"/>
        </w:rPr>
        <w:t>；</w:t>
      </w:r>
      <m:oMath>
        <m:r>
          <m:rPr>
            <m:sty m:val="p"/>
          </m:rPr>
          <w:rPr>
            <w:rFonts w:ascii="Cambria Math" w:hAnsi="Cambria Math"/>
            <w:color w:val="222222"/>
            <w:szCs w:val="21"/>
          </w:rPr>
          <m:t>n</m:t>
        </m:r>
      </m:oMath>
      <w:r>
        <w:rPr>
          <w:rFonts w:asciiTheme="minorEastAsia" w:hAnsiTheme="minorEastAsia" w:hint="eastAsia"/>
          <w:color w:val="222222"/>
          <w:szCs w:val="21"/>
        </w:rPr>
        <w:t>为构件的类型</w:t>
      </w:r>
      <w:r w:rsidR="006C605A">
        <w:rPr>
          <w:rFonts w:asciiTheme="minorEastAsia" w:hAnsiTheme="minorEastAsia" w:hint="eastAsia"/>
          <w:color w:val="222222"/>
          <w:szCs w:val="21"/>
        </w:rPr>
        <w:t>；</w:t>
      </w:r>
      <m:oMath>
        <m:sSub>
          <m:sSubPr>
            <m:ctrlPr>
              <w:rPr>
                <w:rFonts w:ascii="Cambria Math" w:hAnsi="Cambria Math"/>
                <w:color w:val="222222"/>
                <w:szCs w:val="21"/>
              </w:rPr>
            </m:ctrlPr>
          </m:sSubPr>
          <m:e>
            <m:r>
              <m:rPr>
                <m:sty m:val="p"/>
              </m:rPr>
              <w:rPr>
                <w:rFonts w:ascii="Cambria Math" w:hAnsi="Cambria Math"/>
                <w:color w:val="222222"/>
                <w:szCs w:val="21"/>
              </w:rPr>
              <m:t>F</m:t>
            </m:r>
          </m:e>
          <m:sub>
            <m:eqArr>
              <m:eqArrPr>
                <m:ctrlPr>
                  <w:rPr>
                    <w:rFonts w:ascii="Cambria Math" w:hAnsi="Cambria Math"/>
                    <w:color w:val="222222"/>
                    <w:szCs w:val="21"/>
                  </w:rPr>
                </m:ctrlPr>
              </m:eqArrPr>
              <m:e>
                <m:r>
                  <m:rPr>
                    <m:sty m:val="p"/>
                  </m:rPr>
                  <w:rPr>
                    <w:rFonts w:ascii="Cambria Math" w:hAnsi="Cambria Math"/>
                    <w:color w:val="222222"/>
                    <w:szCs w:val="21"/>
                  </w:rPr>
                  <m:t>di</m:t>
                </m:r>
              </m:e>
            </m:eqArr>
          </m:sub>
        </m:sSub>
      </m:oMath>
      <w:r w:rsidR="006C605A">
        <w:rPr>
          <w:rFonts w:asciiTheme="minorEastAsia" w:hAnsiTheme="minorEastAsia" w:hint="eastAsia"/>
          <w:color w:val="222222"/>
          <w:szCs w:val="21"/>
        </w:rPr>
        <w:t>、</w:t>
      </w:r>
      <m:oMath>
        <m:sSub>
          <m:sSubPr>
            <m:ctrlPr>
              <w:rPr>
                <w:rFonts w:ascii="Cambria Math" w:hAnsi="Cambria Math"/>
                <w:color w:val="222222"/>
                <w:szCs w:val="21"/>
              </w:rPr>
            </m:ctrlPr>
          </m:sSubPr>
          <m:e>
            <m:r>
              <m:rPr>
                <m:sty m:val="p"/>
              </m:rPr>
              <w:rPr>
                <w:rFonts w:ascii="Cambria Math" w:hAnsi="Cambria Math"/>
                <w:color w:val="222222"/>
                <w:szCs w:val="21"/>
              </w:rPr>
              <m:t>F</m:t>
            </m:r>
          </m:e>
          <m:sub>
            <m:eqArr>
              <m:eqArrPr>
                <m:ctrlPr>
                  <w:rPr>
                    <w:rFonts w:ascii="Cambria Math" w:hAnsi="Cambria Math"/>
                    <w:color w:val="222222"/>
                    <w:szCs w:val="21"/>
                  </w:rPr>
                </m:ctrlPr>
              </m:eqArrPr>
              <m:e>
                <m:r>
                  <m:rPr>
                    <m:sty m:val="p"/>
                  </m:rPr>
                  <w:rPr>
                    <w:rFonts w:ascii="Cambria Math" w:hAnsi="Cambria Math"/>
                    <w:color w:val="222222"/>
                    <w:szCs w:val="21"/>
                  </w:rPr>
                  <m:t>pi</m:t>
                </m:r>
              </m:e>
            </m:eqArr>
          </m:sub>
        </m:sSub>
      </m:oMath>
      <w:r w:rsidR="006C605A">
        <w:rPr>
          <w:rFonts w:asciiTheme="minorEastAsia" w:hAnsiTheme="minorEastAsia" w:hint="eastAsia"/>
          <w:color w:val="222222"/>
          <w:szCs w:val="21"/>
        </w:rPr>
        <w:t>、</w:t>
      </w:r>
      <m:oMath>
        <m:sSub>
          <m:sSubPr>
            <m:ctrlPr>
              <w:rPr>
                <w:rFonts w:ascii="Cambria Math" w:hAnsi="Cambria Math"/>
                <w:color w:val="222222"/>
                <w:szCs w:val="21"/>
              </w:rPr>
            </m:ctrlPr>
          </m:sSubPr>
          <m:e>
            <m:r>
              <m:rPr>
                <m:sty m:val="p"/>
              </m:rPr>
              <w:rPr>
                <w:rFonts w:ascii="Cambria Math" w:hAnsi="Cambria Math"/>
                <w:color w:val="222222"/>
                <w:szCs w:val="21"/>
              </w:rPr>
              <m:t>F</m:t>
            </m:r>
          </m:e>
          <m:sub>
            <m:eqArr>
              <m:eqArrPr>
                <m:ctrlPr>
                  <w:rPr>
                    <w:rFonts w:ascii="Cambria Math" w:hAnsi="Cambria Math"/>
                    <w:color w:val="222222"/>
                    <w:szCs w:val="21"/>
                  </w:rPr>
                </m:ctrlPr>
              </m:eqArrPr>
              <m:e>
                <m:r>
                  <m:rPr>
                    <m:sty m:val="p"/>
                  </m:rPr>
                  <w:rPr>
                    <w:rFonts w:ascii="Cambria Math" w:hAnsi="Cambria Math"/>
                    <w:color w:val="222222"/>
                    <w:szCs w:val="21"/>
                  </w:rPr>
                  <m:t>ei</m:t>
                </m:r>
              </m:e>
            </m:eqArr>
          </m:sub>
        </m:sSub>
      </m:oMath>
      <w:r w:rsidR="006C605A">
        <w:rPr>
          <w:rFonts w:asciiTheme="minorEastAsia" w:hAnsiTheme="minorEastAsia"/>
          <w:color w:val="222222"/>
          <w:szCs w:val="21"/>
        </w:rPr>
        <w:t>分别为生产第</w:t>
      </w:r>
      <m:oMath>
        <m:r>
          <m:rPr>
            <m:sty m:val="p"/>
          </m:rPr>
          <w:rPr>
            <w:rFonts w:ascii="Cambria Math" w:hAnsi="Cambria Math"/>
            <w:color w:val="222222"/>
            <w:szCs w:val="21"/>
          </w:rPr>
          <m:t>i</m:t>
        </m:r>
      </m:oMath>
      <w:r w:rsidR="006C605A">
        <w:rPr>
          <w:rFonts w:asciiTheme="minorEastAsia" w:hAnsiTheme="minorEastAsia"/>
          <w:color w:val="222222"/>
          <w:szCs w:val="21"/>
        </w:rPr>
        <w:t>种构件所消耗的柴油</w:t>
      </w:r>
      <w:r w:rsidR="006C605A">
        <w:rPr>
          <w:rFonts w:asciiTheme="minorEastAsia" w:hAnsiTheme="minorEastAsia" w:hint="eastAsia"/>
          <w:color w:val="222222"/>
          <w:szCs w:val="21"/>
        </w:rPr>
        <w:t>、</w:t>
      </w:r>
      <w:r w:rsidR="006C605A">
        <w:rPr>
          <w:rFonts w:asciiTheme="minorEastAsia" w:hAnsiTheme="minorEastAsia"/>
          <w:color w:val="222222"/>
          <w:szCs w:val="21"/>
        </w:rPr>
        <w:t>汽油以及电能</w:t>
      </w:r>
      <w:r w:rsidR="006C605A">
        <w:rPr>
          <w:rFonts w:asciiTheme="minorEastAsia" w:hAnsiTheme="minorEastAsia" w:hint="eastAsia"/>
          <w:color w:val="222222"/>
          <w:szCs w:val="21"/>
        </w:rPr>
        <w:t>；</w:t>
      </w:r>
      <m:oMath>
        <m:sSub>
          <m:sSubPr>
            <m:ctrlPr>
              <w:rPr>
                <w:rFonts w:ascii="Cambria Math" w:hAnsi="Cambria Math"/>
                <w:color w:val="222222"/>
                <w:szCs w:val="21"/>
              </w:rPr>
            </m:ctrlPr>
          </m:sSubPr>
          <m:e>
            <m:r>
              <m:rPr>
                <m:sty m:val="p"/>
              </m:rPr>
              <w:rPr>
                <w:rFonts w:ascii="Cambria Math" w:hAnsi="Cambria Math"/>
                <w:color w:val="222222"/>
                <w:szCs w:val="21"/>
              </w:rPr>
              <m:t>E</m:t>
            </m:r>
          </m:e>
          <m:sub>
            <m:r>
              <m:rPr>
                <m:sty m:val="p"/>
              </m:rPr>
              <w:rPr>
                <w:rFonts w:ascii="Cambria Math" w:hAnsi="Cambria Math"/>
                <w:color w:val="222222"/>
                <w:szCs w:val="21"/>
              </w:rPr>
              <m:t>d</m:t>
            </m:r>
          </m:sub>
        </m:sSub>
      </m:oMath>
      <w:r w:rsidR="006C605A">
        <w:rPr>
          <w:rFonts w:asciiTheme="minorEastAsia" w:hAnsiTheme="minorEastAsia" w:hint="eastAsia"/>
          <w:color w:val="222222"/>
          <w:szCs w:val="21"/>
        </w:rPr>
        <w:t>、</w:t>
      </w:r>
      <m:oMath>
        <m:sSub>
          <m:sSubPr>
            <m:ctrlPr>
              <w:rPr>
                <w:rFonts w:ascii="Cambria Math" w:hAnsi="Cambria Math"/>
                <w:color w:val="222222"/>
                <w:szCs w:val="21"/>
              </w:rPr>
            </m:ctrlPr>
          </m:sSubPr>
          <m:e>
            <m:r>
              <m:rPr>
                <m:sty m:val="p"/>
              </m:rPr>
              <w:rPr>
                <w:rFonts w:ascii="Cambria Math" w:hAnsi="Cambria Math"/>
                <w:color w:val="222222"/>
                <w:szCs w:val="21"/>
              </w:rPr>
              <m:t>E</m:t>
            </m:r>
          </m:e>
          <m:sub>
            <m:r>
              <m:rPr>
                <m:sty m:val="p"/>
              </m:rPr>
              <w:rPr>
                <w:rFonts w:ascii="Cambria Math" w:hAnsi="Cambria Math"/>
                <w:color w:val="222222"/>
                <w:szCs w:val="21"/>
              </w:rPr>
              <m:t>p</m:t>
            </m:r>
          </m:sub>
        </m:sSub>
      </m:oMath>
      <w:r w:rsidR="006C605A">
        <w:rPr>
          <w:rFonts w:asciiTheme="minorEastAsia" w:hAnsiTheme="minorEastAsia" w:hint="eastAsia"/>
          <w:color w:val="222222"/>
          <w:szCs w:val="21"/>
        </w:rPr>
        <w:t>、</w:t>
      </w:r>
      <m:oMath>
        <m:sSub>
          <m:sSubPr>
            <m:ctrlPr>
              <w:rPr>
                <w:rFonts w:ascii="Cambria Math" w:hAnsi="Cambria Math"/>
                <w:color w:val="222222"/>
                <w:szCs w:val="21"/>
              </w:rPr>
            </m:ctrlPr>
          </m:sSubPr>
          <m:e>
            <m:r>
              <m:rPr>
                <m:sty m:val="p"/>
              </m:rPr>
              <w:rPr>
                <w:rFonts w:ascii="Cambria Math" w:hAnsi="Cambria Math"/>
                <w:color w:val="222222"/>
                <w:szCs w:val="21"/>
              </w:rPr>
              <m:t>E</m:t>
            </m:r>
          </m:e>
          <m:sub>
            <m:r>
              <m:rPr>
                <m:sty m:val="p"/>
              </m:rPr>
              <w:rPr>
                <w:rFonts w:ascii="Cambria Math" w:hAnsi="Cambria Math"/>
                <w:color w:val="222222"/>
                <w:szCs w:val="21"/>
              </w:rPr>
              <m:t>e</m:t>
            </m:r>
          </m:sub>
        </m:sSub>
      </m:oMath>
      <w:r w:rsidR="006C605A">
        <w:rPr>
          <w:rFonts w:asciiTheme="minorEastAsia" w:hAnsiTheme="minorEastAsia"/>
          <w:color w:val="222222"/>
          <w:szCs w:val="21"/>
        </w:rPr>
        <w:t>分别为柴油</w:t>
      </w:r>
      <w:r w:rsidR="006C605A">
        <w:rPr>
          <w:rFonts w:asciiTheme="minorEastAsia" w:hAnsiTheme="minorEastAsia" w:hint="eastAsia"/>
          <w:color w:val="222222"/>
          <w:szCs w:val="21"/>
        </w:rPr>
        <w:t>、</w:t>
      </w:r>
      <w:r w:rsidR="006C605A">
        <w:rPr>
          <w:rFonts w:asciiTheme="minorEastAsia" w:hAnsiTheme="minorEastAsia"/>
          <w:color w:val="222222"/>
          <w:szCs w:val="21"/>
        </w:rPr>
        <w:t>汽油</w:t>
      </w:r>
      <w:r w:rsidR="006C605A">
        <w:rPr>
          <w:rFonts w:asciiTheme="minorEastAsia" w:hAnsiTheme="minorEastAsia" w:hint="eastAsia"/>
          <w:color w:val="222222"/>
          <w:szCs w:val="21"/>
        </w:rPr>
        <w:t>、</w:t>
      </w:r>
      <w:r w:rsidR="006C605A">
        <w:rPr>
          <w:rFonts w:asciiTheme="minorEastAsia" w:hAnsiTheme="minorEastAsia"/>
          <w:color w:val="222222"/>
          <w:szCs w:val="21"/>
        </w:rPr>
        <w:t>电能的碳排放因子</w:t>
      </w:r>
      <w:r w:rsidR="006C605A">
        <w:rPr>
          <w:rFonts w:asciiTheme="minorEastAsia" w:hAnsiTheme="minorEastAsia" w:hint="eastAsia"/>
          <w:color w:val="222222"/>
          <w:szCs w:val="21"/>
        </w:rPr>
        <w:t>。</w:t>
      </w:r>
    </w:p>
    <w:p w:rsidR="00F96B18" w:rsidRPr="00DA654A" w:rsidRDefault="00F96B18" w:rsidP="009A1ED7">
      <w:pPr>
        <w:pStyle w:val="a5"/>
        <w:spacing w:line="240" w:lineRule="auto"/>
        <w:ind w:leftChars="0" w:left="570" w:right="210" w:firstLineChars="0" w:firstLine="0"/>
        <w:rPr>
          <w:rFonts w:asciiTheme="minorEastAsia" w:hAnsiTheme="minorEastAsia" w:hint="eastAsia"/>
          <w:color w:val="222222"/>
          <w:szCs w:val="21"/>
        </w:rPr>
      </w:pPr>
      <w:r>
        <w:rPr>
          <w:rFonts w:asciiTheme="minorEastAsia" w:hAnsiTheme="minorEastAsia" w:hint="eastAsia"/>
          <w:color w:val="222222"/>
          <w:szCs w:val="21"/>
        </w:rPr>
        <w:t>据文献调研结果</w:t>
      </w:r>
      <w:r w:rsidR="0055211C">
        <w:rPr>
          <w:rFonts w:asciiTheme="minorEastAsia" w:hAnsiTheme="minorEastAsia" w:hint="eastAsia"/>
          <w:color w:val="222222"/>
          <w:szCs w:val="21"/>
        </w:rPr>
        <w:t>，装配式建筑主要分为三种类型：1） 半装配式建筑；2）综合装配式建筑；3）整体建造式建筑；[1]半装配式建筑即实现</w:t>
      </w:r>
      <w:r w:rsidR="006625F1">
        <w:rPr>
          <w:rFonts w:asciiTheme="minorEastAsia" w:hAnsiTheme="minorEastAsia" w:hint="eastAsia"/>
          <w:color w:val="222222"/>
          <w:szCs w:val="21"/>
        </w:rPr>
        <w:t>部分建筑构件的工厂化生产并在现场组装而其余部分则在现场施工生产；综合装配式建筑实现了全部建筑构件的工厂化生产，并且建筑整体在现场装配完成；</w:t>
      </w:r>
      <w:r w:rsidR="00174E70">
        <w:rPr>
          <w:rFonts w:asciiTheme="minorEastAsia" w:hAnsiTheme="minorEastAsia" w:hint="eastAsia"/>
          <w:color w:val="222222"/>
          <w:szCs w:val="21"/>
        </w:rPr>
        <w:t>整体建造式建筑则实现建筑整体的工厂内生产，最后整体运输至现场。</w:t>
      </w:r>
      <w:r w:rsidR="00274E26">
        <w:rPr>
          <w:rFonts w:asciiTheme="minorEastAsia" w:hAnsiTheme="minorEastAsia" w:hint="eastAsia"/>
          <w:color w:val="222222"/>
          <w:szCs w:val="21"/>
        </w:rPr>
        <w:t>然而考虑到实际应用过程中的结构、强度以及可操作性等问题，目前的装配式建筑基本为半装配式建筑</w:t>
      </w:r>
      <w:r w:rsidR="00DA3CEA">
        <w:rPr>
          <w:rFonts w:asciiTheme="minorEastAsia" w:hAnsiTheme="minorEastAsia" w:hint="eastAsia"/>
          <w:color w:val="222222"/>
          <w:szCs w:val="21"/>
        </w:rPr>
        <w:t>。为了量化建筑整体使用装配式构件的情况，引入预制率，其计算方法为[]：</w:t>
      </w:r>
    </w:p>
    <w:p w:rsidR="00DA3CEA" w:rsidRDefault="00DA3CEA" w:rsidP="009A1ED7">
      <w:pPr>
        <w:pStyle w:val="a5"/>
        <w:spacing w:line="240" w:lineRule="auto"/>
        <w:ind w:leftChars="0" w:left="570" w:right="210" w:firstLineChars="0" w:firstLine="0"/>
        <w:rPr>
          <w:rFonts w:asciiTheme="minorEastAsia" w:hAnsiTheme="minorEastAsia" w:cs="Times New Roman" w:hint="eastAsia"/>
          <w:szCs w:val="21"/>
        </w:rPr>
      </w:pPr>
      <m:oMathPara>
        <m:oMath>
          <m:r>
            <m:rPr>
              <m:sty m:val="p"/>
            </m:rPr>
            <w:rPr>
              <w:rFonts w:ascii="Cambria Math" w:hAnsi="Cambria Math" w:cs="Times New Roman" w:hint="eastAsia"/>
              <w:szCs w:val="21"/>
            </w:rPr>
            <m:t>P=</m:t>
          </m:r>
          <m:f>
            <m:fPr>
              <m:ctrlPr>
                <w:rPr>
                  <w:rFonts w:ascii="Cambria Math" w:hAnsi="Cambria Math" w:cs="Times New Roman"/>
                  <w:szCs w:val="21"/>
                </w:rPr>
              </m:ctrlPr>
            </m:fPr>
            <m:num>
              <m:sSub>
                <m:sSubPr>
                  <m:ctrlPr>
                    <w:rPr>
                      <w:rFonts w:ascii="Cambria Math" w:hAnsi="Cambria Math" w:cs="Times New Roman"/>
                      <w:szCs w:val="21"/>
                    </w:rPr>
                  </m:ctrlPr>
                </m:sSubPr>
                <m:e>
                  <m:r>
                    <w:rPr>
                      <w:rFonts w:ascii="Cambria Math" w:hAnsi="Cambria Math" w:cs="Times New Roman"/>
                      <w:szCs w:val="21"/>
                    </w:rPr>
                    <m:t>V</m:t>
                  </m:r>
                </m:e>
                <m:sub>
                  <m:r>
                    <m:rPr>
                      <m:sty m:val="p"/>
                    </m:rPr>
                    <w:rPr>
                      <w:rFonts w:ascii="Cambria Math" w:hAnsi="Cambria Math" w:cs="Times New Roman"/>
                      <w:szCs w:val="21"/>
                    </w:rPr>
                    <m:t>1</m:t>
                  </m:r>
                </m:sub>
              </m:sSub>
            </m:num>
            <m:den>
              <m:sSub>
                <m:sSubPr>
                  <m:ctrlPr>
                    <w:rPr>
                      <w:rFonts w:ascii="Cambria Math" w:hAnsi="Cambria Math" w:cs="Times New Roman"/>
                      <w:szCs w:val="21"/>
                    </w:rPr>
                  </m:ctrlPr>
                </m:sSubPr>
                <m:e>
                  <m:r>
                    <w:rPr>
                      <w:rFonts w:ascii="Cambria Math" w:hAnsi="Cambria Math" w:cs="Times New Roman"/>
                      <w:szCs w:val="21"/>
                    </w:rPr>
                    <m:t>V</m:t>
                  </m:r>
                </m:e>
                <m:sub>
                  <m:r>
                    <m:rPr>
                      <m:sty m:val="p"/>
                    </m:rPr>
                    <w:rPr>
                      <w:rFonts w:ascii="Cambria Math" w:hAnsi="Cambria Math" w:cs="Times New Roman"/>
                      <w:szCs w:val="21"/>
                    </w:rPr>
                    <m:t>1</m:t>
                  </m:r>
                </m:sub>
              </m:sSub>
              <m:r>
                <m:rPr>
                  <m:sty m:val="p"/>
                </m:rPr>
                <w:rPr>
                  <w:rFonts w:ascii="Cambria Math" w:hAnsi="Cambria Math" w:cs="Times New Roman" w:hint="eastAsia"/>
                  <w:szCs w:val="21"/>
                </w:rPr>
                <m:t>+</m:t>
              </m:r>
              <m:sSub>
                <m:sSubPr>
                  <m:ctrlPr>
                    <w:rPr>
                      <w:rFonts w:ascii="Cambria Math" w:hAnsi="Cambria Math" w:cs="Times New Roman"/>
                      <w:szCs w:val="21"/>
                    </w:rPr>
                  </m:ctrlPr>
                </m:sSubPr>
                <m:e>
                  <m:r>
                    <w:rPr>
                      <w:rFonts w:ascii="Cambria Math" w:hAnsi="Cambria Math" w:cs="Times New Roman" w:hint="eastAsia"/>
                      <w:szCs w:val="21"/>
                    </w:rPr>
                    <m:t>V</m:t>
                  </m:r>
                </m:e>
                <m:sub>
                  <m:r>
                    <m:rPr>
                      <m:sty m:val="p"/>
                    </m:rPr>
                    <w:rPr>
                      <w:rFonts w:ascii="Cambria Math" w:hAnsi="Cambria Math" w:cs="Times New Roman"/>
                      <w:szCs w:val="21"/>
                    </w:rPr>
                    <m:t>2</m:t>
                  </m:r>
                </m:sub>
              </m:sSub>
            </m:den>
          </m:f>
        </m:oMath>
      </m:oMathPara>
      <w:r>
        <w:rPr>
          <w:rFonts w:asciiTheme="minorEastAsia" w:hAnsiTheme="minorEastAsia" w:cs="Times New Roman" w:hint="eastAsia"/>
          <w:szCs w:val="21"/>
        </w:rPr>
        <w:br/>
      </w:r>
      <w:r>
        <w:rPr>
          <w:rFonts w:asciiTheme="minorEastAsia" w:hAnsiTheme="minorEastAsia" w:cs="Times New Roman" w:hint="eastAsia"/>
          <w:szCs w:val="21"/>
        </w:rPr>
        <w:t>其中，P为单体建筑预制率；</w:t>
      </w:r>
      <m:oMath>
        <m:sSub>
          <m:sSubPr>
            <m:ctrlPr>
              <w:rPr>
                <w:rFonts w:ascii="Cambria Math" w:hAnsi="Cambria Math" w:cs="Times New Roman"/>
                <w:szCs w:val="21"/>
              </w:rPr>
            </m:ctrlPr>
          </m:sSubPr>
          <m:e>
            <m:r>
              <w:rPr>
                <w:rFonts w:ascii="Cambria Math" w:hAnsi="Cambria Math" w:cs="Times New Roman"/>
                <w:szCs w:val="21"/>
              </w:rPr>
              <m:t>V</m:t>
            </m:r>
          </m:e>
          <m:sub>
            <m:r>
              <m:rPr>
                <m:sty m:val="p"/>
              </m:rPr>
              <w:rPr>
                <w:rFonts w:ascii="Cambria Math" w:hAnsi="Cambria Math" w:cs="Times New Roman"/>
                <w:szCs w:val="21"/>
              </w:rPr>
              <m:t>1</m:t>
            </m:r>
          </m:sub>
        </m:sSub>
      </m:oMath>
      <w:r>
        <w:rPr>
          <w:rFonts w:asciiTheme="minorEastAsia" w:hAnsiTheme="minorEastAsia" w:cs="Times New Roman"/>
          <w:szCs w:val="21"/>
        </w:rPr>
        <w:t>为建筑标高±</w:t>
      </w:r>
      <w:r>
        <w:rPr>
          <w:rFonts w:asciiTheme="minorEastAsia" w:hAnsiTheme="minorEastAsia" w:cs="Times New Roman" w:hint="eastAsia"/>
          <w:szCs w:val="21"/>
        </w:rPr>
        <w:t>0.000以上部分结构构件采用预制件的体积；</w:t>
      </w:r>
      <m:oMath>
        <m:sSub>
          <m:sSubPr>
            <m:ctrlPr>
              <w:rPr>
                <w:rFonts w:ascii="Cambria Math" w:hAnsi="Cambria Math" w:cs="Times New Roman"/>
                <w:szCs w:val="21"/>
              </w:rPr>
            </m:ctrlPr>
          </m:sSubPr>
          <m:e>
            <m:r>
              <w:rPr>
                <w:rFonts w:ascii="Cambria Math" w:hAnsi="Cambria Math" w:cs="Times New Roman" w:hint="eastAsia"/>
                <w:szCs w:val="21"/>
              </w:rPr>
              <m:t>V</m:t>
            </m:r>
          </m:e>
          <m:sub>
            <m:r>
              <m:rPr>
                <m:sty m:val="p"/>
              </m:rPr>
              <w:rPr>
                <w:rFonts w:ascii="Cambria Math" w:hAnsi="Cambria Math" w:cs="Times New Roman"/>
                <w:szCs w:val="21"/>
              </w:rPr>
              <m:t>2</m:t>
            </m:r>
          </m:sub>
        </m:sSub>
      </m:oMath>
      <w:r>
        <w:rPr>
          <w:rFonts w:asciiTheme="minorEastAsia" w:hAnsiTheme="minorEastAsia" w:cs="Times New Roman"/>
          <w:szCs w:val="21"/>
        </w:rPr>
        <w:t>为建筑标高±</w:t>
      </w:r>
      <w:r>
        <w:rPr>
          <w:rFonts w:asciiTheme="minorEastAsia" w:hAnsiTheme="minorEastAsia" w:cs="Times New Roman" w:hint="eastAsia"/>
          <w:szCs w:val="21"/>
        </w:rPr>
        <w:t>0.000以上部分结构构件采取现浇混凝土形式构造的体积。</w:t>
      </w:r>
    </w:p>
    <w:p w:rsidR="00C64BE5" w:rsidRPr="00C64BE5" w:rsidRDefault="00C64BE5" w:rsidP="009A1ED7">
      <w:pPr>
        <w:pStyle w:val="a5"/>
        <w:spacing w:line="240" w:lineRule="auto"/>
        <w:ind w:leftChars="0" w:left="570" w:right="210" w:firstLineChars="0" w:firstLine="0"/>
        <w:rPr>
          <w:rFonts w:asciiTheme="minorEastAsia" w:hAnsiTheme="minorEastAsia" w:cs="Times New Roman" w:hint="eastAsia"/>
          <w:szCs w:val="21"/>
        </w:rPr>
      </w:pPr>
      <w:r>
        <w:rPr>
          <w:rFonts w:asciiTheme="minorEastAsia" w:hAnsiTheme="minorEastAsia" w:cs="Times New Roman" w:hint="eastAsia"/>
          <w:szCs w:val="21"/>
        </w:rPr>
        <w:t>在对市政综合体进行考察时分别采取30%的预制率与50%的预制率，探究其建造阶段的碳排放情况。</w:t>
      </w:r>
      <w:r w:rsidR="00B91EB7">
        <w:rPr>
          <w:rFonts w:asciiTheme="minorEastAsia" w:hAnsiTheme="minorEastAsia" w:cs="Times New Roman" w:hint="eastAsia"/>
          <w:szCs w:val="21"/>
        </w:rPr>
        <w:t>装配式构件仅涉及基础以上的混凝土钢筋结构以及砌体结构。由于该市政综合体尚处于规划阶段，无法获得详细的建筑构件消耗量，故根据文献资料提供的装配式建筑相较于现浇式建筑的</w:t>
      </w:r>
      <w:proofErr w:type="gramStart"/>
      <w:r w:rsidR="00B91EB7">
        <w:rPr>
          <w:rFonts w:asciiTheme="minorEastAsia" w:hAnsiTheme="minorEastAsia" w:cs="Times New Roman" w:hint="eastAsia"/>
          <w:szCs w:val="21"/>
        </w:rPr>
        <w:t>减碳量</w:t>
      </w:r>
      <w:proofErr w:type="gramEnd"/>
      <w:r w:rsidR="00B91EB7">
        <w:rPr>
          <w:rFonts w:asciiTheme="minorEastAsia" w:hAnsiTheme="minorEastAsia" w:cs="Times New Roman" w:hint="eastAsia"/>
          <w:szCs w:val="21"/>
        </w:rPr>
        <w:t>对市政综合体采用装配式建筑后的</w:t>
      </w:r>
      <w:proofErr w:type="gramStart"/>
      <w:r w:rsidR="00B91EB7">
        <w:rPr>
          <w:rFonts w:asciiTheme="minorEastAsia" w:hAnsiTheme="minorEastAsia" w:cs="Times New Roman" w:hint="eastAsia"/>
          <w:szCs w:val="21"/>
        </w:rPr>
        <w:t>减碳量</w:t>
      </w:r>
      <w:proofErr w:type="gramEnd"/>
      <w:r w:rsidR="00B91EB7">
        <w:rPr>
          <w:rFonts w:asciiTheme="minorEastAsia" w:hAnsiTheme="minorEastAsia" w:cs="Times New Roman" w:hint="eastAsia"/>
          <w:szCs w:val="21"/>
        </w:rPr>
        <w:t>进行估计。</w:t>
      </w:r>
    </w:p>
    <w:p w:rsidR="00DA3CEA" w:rsidRPr="00DA3CEA" w:rsidRDefault="00DA3CEA" w:rsidP="009A1ED7">
      <w:pPr>
        <w:pStyle w:val="a5"/>
        <w:spacing w:line="240" w:lineRule="auto"/>
        <w:ind w:leftChars="0" w:left="570" w:right="210" w:firstLineChars="0" w:firstLine="0"/>
        <w:rPr>
          <w:rFonts w:asciiTheme="minorEastAsia" w:hAnsiTheme="minorEastAsia" w:cs="Times New Roman"/>
          <w:szCs w:val="21"/>
        </w:rPr>
      </w:pPr>
      <w:r>
        <w:rPr>
          <w:rFonts w:ascii="微软雅黑" w:eastAsia="微软雅黑" w:hAnsi="微软雅黑" w:hint="eastAsia"/>
          <w:color w:val="333333"/>
          <w:sz w:val="15"/>
          <w:szCs w:val="15"/>
          <w:shd w:val="clear" w:color="auto" w:fill="FFFFFF"/>
        </w:rPr>
        <w:t>朱宋煜,王勇. 装配整体式剪力墙结构预制率计算探讨[J]. 建筑技术,2016,47(z1):</w:t>
      </w:r>
      <w:proofErr w:type="gramStart"/>
      <w:r>
        <w:rPr>
          <w:rFonts w:ascii="微软雅黑" w:eastAsia="微软雅黑" w:hAnsi="微软雅黑" w:hint="eastAsia"/>
          <w:color w:val="333333"/>
          <w:sz w:val="15"/>
          <w:szCs w:val="15"/>
          <w:shd w:val="clear" w:color="auto" w:fill="FFFFFF"/>
        </w:rPr>
        <w:t>104-106. DOI:10.3969/j.issn.1000-4726.2016.z1.036.</w:t>
      </w:r>
      <w:proofErr w:type="gramEnd"/>
    </w:p>
    <w:sectPr w:rsidR="00DA3CEA" w:rsidRPr="00DA3CEA" w:rsidSect="00B64A7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300E" w:rsidRDefault="0031300E" w:rsidP="00003458">
      <w:pPr>
        <w:spacing w:line="240" w:lineRule="auto"/>
        <w:ind w:left="210" w:right="210"/>
      </w:pPr>
      <w:r>
        <w:separator/>
      </w:r>
    </w:p>
  </w:endnote>
  <w:endnote w:type="continuationSeparator" w:id="0">
    <w:p w:rsidR="0031300E" w:rsidRDefault="0031300E" w:rsidP="00003458">
      <w:pPr>
        <w:spacing w:line="240" w:lineRule="auto"/>
        <w:ind w:left="210" w:right="21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458" w:rsidRDefault="00003458" w:rsidP="00003458">
    <w:pPr>
      <w:pStyle w:val="a4"/>
      <w:ind w:left="210" w:right="21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458" w:rsidRDefault="00003458" w:rsidP="00003458">
    <w:pPr>
      <w:pStyle w:val="a4"/>
      <w:ind w:left="210" w:right="21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458" w:rsidRDefault="00003458" w:rsidP="00003458">
    <w:pPr>
      <w:pStyle w:val="a4"/>
      <w:ind w:left="210" w:right="21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300E" w:rsidRDefault="0031300E" w:rsidP="00003458">
      <w:pPr>
        <w:spacing w:line="240" w:lineRule="auto"/>
        <w:ind w:left="210" w:right="210"/>
      </w:pPr>
      <w:r>
        <w:separator/>
      </w:r>
    </w:p>
  </w:footnote>
  <w:footnote w:type="continuationSeparator" w:id="0">
    <w:p w:rsidR="0031300E" w:rsidRDefault="0031300E" w:rsidP="00003458">
      <w:pPr>
        <w:spacing w:line="240" w:lineRule="auto"/>
        <w:ind w:left="210" w:right="21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458" w:rsidRDefault="00003458" w:rsidP="00003458">
    <w:pPr>
      <w:pStyle w:val="a3"/>
      <w:ind w:left="210" w:right="21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458" w:rsidRDefault="00003458" w:rsidP="00003458">
    <w:pPr>
      <w:pStyle w:val="a3"/>
      <w:ind w:left="210" w:right="21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458" w:rsidRDefault="00003458" w:rsidP="00003458">
    <w:pPr>
      <w:pStyle w:val="a3"/>
      <w:ind w:left="210" w:right="21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F0345"/>
    <w:multiLevelType w:val="hybridMultilevel"/>
    <w:tmpl w:val="E952B6F2"/>
    <w:lvl w:ilvl="0" w:tplc="BA1437F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03458"/>
    <w:rsid w:val="000026C3"/>
    <w:rsid w:val="00003458"/>
    <w:rsid w:val="00007687"/>
    <w:rsid w:val="00021178"/>
    <w:rsid w:val="00031107"/>
    <w:rsid w:val="00036F5D"/>
    <w:rsid w:val="00067B58"/>
    <w:rsid w:val="00076499"/>
    <w:rsid w:val="00080D4B"/>
    <w:rsid w:val="000827E0"/>
    <w:rsid w:val="00082FA9"/>
    <w:rsid w:val="0008364D"/>
    <w:rsid w:val="00095681"/>
    <w:rsid w:val="00097955"/>
    <w:rsid w:val="000A49B1"/>
    <w:rsid w:val="000B64A9"/>
    <w:rsid w:val="000D0B12"/>
    <w:rsid w:val="000E307B"/>
    <w:rsid w:val="000E41BE"/>
    <w:rsid w:val="000E4CDE"/>
    <w:rsid w:val="000F0F6C"/>
    <w:rsid w:val="000F56B2"/>
    <w:rsid w:val="000F5964"/>
    <w:rsid w:val="0010016E"/>
    <w:rsid w:val="00101178"/>
    <w:rsid w:val="00110677"/>
    <w:rsid w:val="0011476B"/>
    <w:rsid w:val="00115171"/>
    <w:rsid w:val="00121012"/>
    <w:rsid w:val="00126920"/>
    <w:rsid w:val="00133A25"/>
    <w:rsid w:val="0013498B"/>
    <w:rsid w:val="00174E70"/>
    <w:rsid w:val="00183747"/>
    <w:rsid w:val="00195295"/>
    <w:rsid w:val="001A1F00"/>
    <w:rsid w:val="001C0C8B"/>
    <w:rsid w:val="001C2509"/>
    <w:rsid w:val="001C3D96"/>
    <w:rsid w:val="001C42AA"/>
    <w:rsid w:val="001C4DF5"/>
    <w:rsid w:val="001F790D"/>
    <w:rsid w:val="00210B1A"/>
    <w:rsid w:val="00217AAC"/>
    <w:rsid w:val="0022014C"/>
    <w:rsid w:val="0022526E"/>
    <w:rsid w:val="002609D0"/>
    <w:rsid w:val="0026661B"/>
    <w:rsid w:val="00266B6D"/>
    <w:rsid w:val="00271A32"/>
    <w:rsid w:val="00274E26"/>
    <w:rsid w:val="00283BD3"/>
    <w:rsid w:val="00291519"/>
    <w:rsid w:val="00292918"/>
    <w:rsid w:val="002A0FC4"/>
    <w:rsid w:val="002A75F5"/>
    <w:rsid w:val="002B6DD1"/>
    <w:rsid w:val="002E22CF"/>
    <w:rsid w:val="002E6FB8"/>
    <w:rsid w:val="002F25F1"/>
    <w:rsid w:val="002F5EB8"/>
    <w:rsid w:val="00301628"/>
    <w:rsid w:val="00301997"/>
    <w:rsid w:val="00304634"/>
    <w:rsid w:val="00305B3E"/>
    <w:rsid w:val="0031300E"/>
    <w:rsid w:val="00313FF3"/>
    <w:rsid w:val="003276CA"/>
    <w:rsid w:val="00343C2C"/>
    <w:rsid w:val="00350913"/>
    <w:rsid w:val="003703C8"/>
    <w:rsid w:val="0037082E"/>
    <w:rsid w:val="003A105B"/>
    <w:rsid w:val="003A2280"/>
    <w:rsid w:val="003B3AA0"/>
    <w:rsid w:val="003B4011"/>
    <w:rsid w:val="003C5C44"/>
    <w:rsid w:val="003D5DFF"/>
    <w:rsid w:val="003E121A"/>
    <w:rsid w:val="003F1A8B"/>
    <w:rsid w:val="004177E5"/>
    <w:rsid w:val="0042562F"/>
    <w:rsid w:val="00440C42"/>
    <w:rsid w:val="00450469"/>
    <w:rsid w:val="00462EE5"/>
    <w:rsid w:val="004743C3"/>
    <w:rsid w:val="00476B99"/>
    <w:rsid w:val="00477878"/>
    <w:rsid w:val="00487C37"/>
    <w:rsid w:val="004A4E54"/>
    <w:rsid w:val="004C185E"/>
    <w:rsid w:val="004E3D5D"/>
    <w:rsid w:val="004E545A"/>
    <w:rsid w:val="004F12F6"/>
    <w:rsid w:val="004F2D6A"/>
    <w:rsid w:val="00511644"/>
    <w:rsid w:val="00523B81"/>
    <w:rsid w:val="0053638D"/>
    <w:rsid w:val="005366B5"/>
    <w:rsid w:val="00541095"/>
    <w:rsid w:val="0054110E"/>
    <w:rsid w:val="005414D4"/>
    <w:rsid w:val="00543ECA"/>
    <w:rsid w:val="0055211C"/>
    <w:rsid w:val="005604C9"/>
    <w:rsid w:val="0056059D"/>
    <w:rsid w:val="005700CA"/>
    <w:rsid w:val="005747EB"/>
    <w:rsid w:val="005753BB"/>
    <w:rsid w:val="005A73AD"/>
    <w:rsid w:val="005B3000"/>
    <w:rsid w:val="005C0DFC"/>
    <w:rsid w:val="005C3BA7"/>
    <w:rsid w:val="005D05FC"/>
    <w:rsid w:val="005D241D"/>
    <w:rsid w:val="005F1375"/>
    <w:rsid w:val="00601386"/>
    <w:rsid w:val="00611B48"/>
    <w:rsid w:val="00622AAF"/>
    <w:rsid w:val="00630C31"/>
    <w:rsid w:val="0063378C"/>
    <w:rsid w:val="006606DC"/>
    <w:rsid w:val="006625F1"/>
    <w:rsid w:val="00674FAF"/>
    <w:rsid w:val="00676AE3"/>
    <w:rsid w:val="006A4C65"/>
    <w:rsid w:val="006A6668"/>
    <w:rsid w:val="006C5DC2"/>
    <w:rsid w:val="006C605A"/>
    <w:rsid w:val="006F7A52"/>
    <w:rsid w:val="00701BCB"/>
    <w:rsid w:val="007133E9"/>
    <w:rsid w:val="0071760A"/>
    <w:rsid w:val="0076380D"/>
    <w:rsid w:val="00763E8F"/>
    <w:rsid w:val="00780DD4"/>
    <w:rsid w:val="00790E75"/>
    <w:rsid w:val="00792972"/>
    <w:rsid w:val="00794CD5"/>
    <w:rsid w:val="007A068A"/>
    <w:rsid w:val="007A2A4C"/>
    <w:rsid w:val="007C2122"/>
    <w:rsid w:val="007E7C3F"/>
    <w:rsid w:val="008107C8"/>
    <w:rsid w:val="008161C6"/>
    <w:rsid w:val="008172A8"/>
    <w:rsid w:val="00834D3C"/>
    <w:rsid w:val="00840E4B"/>
    <w:rsid w:val="00855806"/>
    <w:rsid w:val="00863DEA"/>
    <w:rsid w:val="00876C1A"/>
    <w:rsid w:val="0088502B"/>
    <w:rsid w:val="008A182B"/>
    <w:rsid w:val="008B0E0F"/>
    <w:rsid w:val="008B6C1A"/>
    <w:rsid w:val="008D37B1"/>
    <w:rsid w:val="008E1691"/>
    <w:rsid w:val="008E2413"/>
    <w:rsid w:val="008E3F04"/>
    <w:rsid w:val="008F1EE5"/>
    <w:rsid w:val="008F408E"/>
    <w:rsid w:val="008F47F1"/>
    <w:rsid w:val="009055B8"/>
    <w:rsid w:val="00905F54"/>
    <w:rsid w:val="00910B50"/>
    <w:rsid w:val="00914017"/>
    <w:rsid w:val="0092605C"/>
    <w:rsid w:val="0092646D"/>
    <w:rsid w:val="00965885"/>
    <w:rsid w:val="00974D94"/>
    <w:rsid w:val="00987B13"/>
    <w:rsid w:val="009A0939"/>
    <w:rsid w:val="009A1ED7"/>
    <w:rsid w:val="009A7035"/>
    <w:rsid w:val="009D3B1A"/>
    <w:rsid w:val="00A12A6D"/>
    <w:rsid w:val="00A23566"/>
    <w:rsid w:val="00A34EC3"/>
    <w:rsid w:val="00A56736"/>
    <w:rsid w:val="00A60708"/>
    <w:rsid w:val="00A8736B"/>
    <w:rsid w:val="00A87C1A"/>
    <w:rsid w:val="00AE307F"/>
    <w:rsid w:val="00AE5FD7"/>
    <w:rsid w:val="00B016F5"/>
    <w:rsid w:val="00B02557"/>
    <w:rsid w:val="00B24688"/>
    <w:rsid w:val="00B37AF5"/>
    <w:rsid w:val="00B441C5"/>
    <w:rsid w:val="00B64A73"/>
    <w:rsid w:val="00B711E3"/>
    <w:rsid w:val="00B75EEB"/>
    <w:rsid w:val="00B8063E"/>
    <w:rsid w:val="00B8141D"/>
    <w:rsid w:val="00B81CE3"/>
    <w:rsid w:val="00B91EB7"/>
    <w:rsid w:val="00B93980"/>
    <w:rsid w:val="00BB01B3"/>
    <w:rsid w:val="00BD4AE4"/>
    <w:rsid w:val="00BE4584"/>
    <w:rsid w:val="00BF3627"/>
    <w:rsid w:val="00BF76E5"/>
    <w:rsid w:val="00C01E0C"/>
    <w:rsid w:val="00C07A73"/>
    <w:rsid w:val="00C14935"/>
    <w:rsid w:val="00C2450A"/>
    <w:rsid w:val="00C31635"/>
    <w:rsid w:val="00C43788"/>
    <w:rsid w:val="00C6162E"/>
    <w:rsid w:val="00C64BE5"/>
    <w:rsid w:val="00C70AF0"/>
    <w:rsid w:val="00C70B13"/>
    <w:rsid w:val="00C93542"/>
    <w:rsid w:val="00CA7302"/>
    <w:rsid w:val="00CB45B3"/>
    <w:rsid w:val="00CD4D22"/>
    <w:rsid w:val="00CF6F72"/>
    <w:rsid w:val="00D35D93"/>
    <w:rsid w:val="00D4538E"/>
    <w:rsid w:val="00D7621F"/>
    <w:rsid w:val="00D77AF0"/>
    <w:rsid w:val="00D842BE"/>
    <w:rsid w:val="00D9600A"/>
    <w:rsid w:val="00DA1F44"/>
    <w:rsid w:val="00DA3CEA"/>
    <w:rsid w:val="00DA654A"/>
    <w:rsid w:val="00DB3D87"/>
    <w:rsid w:val="00DD0E2C"/>
    <w:rsid w:val="00DE42FA"/>
    <w:rsid w:val="00E00C15"/>
    <w:rsid w:val="00E0180D"/>
    <w:rsid w:val="00E03A69"/>
    <w:rsid w:val="00E1576A"/>
    <w:rsid w:val="00E173B1"/>
    <w:rsid w:val="00E30476"/>
    <w:rsid w:val="00E347F8"/>
    <w:rsid w:val="00E47730"/>
    <w:rsid w:val="00E513B5"/>
    <w:rsid w:val="00E55E63"/>
    <w:rsid w:val="00E61321"/>
    <w:rsid w:val="00E74CD2"/>
    <w:rsid w:val="00EA3D24"/>
    <w:rsid w:val="00EC29FA"/>
    <w:rsid w:val="00ED6EE6"/>
    <w:rsid w:val="00F07BD8"/>
    <w:rsid w:val="00F31AC4"/>
    <w:rsid w:val="00F42414"/>
    <w:rsid w:val="00F67FBA"/>
    <w:rsid w:val="00F71AA8"/>
    <w:rsid w:val="00F77A37"/>
    <w:rsid w:val="00F804E6"/>
    <w:rsid w:val="00F96B18"/>
    <w:rsid w:val="00FA084D"/>
    <w:rsid w:val="00FB4C70"/>
    <w:rsid w:val="00FB63DC"/>
    <w:rsid w:val="00FC3D12"/>
    <w:rsid w:val="00FD297C"/>
    <w:rsid w:val="00FF7C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415" w:lineRule="auto"/>
        <w:ind w:leftChars="100" w:left="100" w:rightChars="100" w:right="1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A73"/>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0345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semiHidden/>
    <w:rsid w:val="00003458"/>
    <w:rPr>
      <w:sz w:val="18"/>
      <w:szCs w:val="18"/>
    </w:rPr>
  </w:style>
  <w:style w:type="paragraph" w:styleId="a4">
    <w:name w:val="footer"/>
    <w:basedOn w:val="a"/>
    <w:link w:val="Char0"/>
    <w:uiPriority w:val="99"/>
    <w:semiHidden/>
    <w:unhideWhenUsed/>
    <w:rsid w:val="00003458"/>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semiHidden/>
    <w:rsid w:val="00003458"/>
    <w:rPr>
      <w:sz w:val="18"/>
      <w:szCs w:val="18"/>
    </w:rPr>
  </w:style>
  <w:style w:type="paragraph" w:styleId="a5">
    <w:name w:val="List Paragraph"/>
    <w:basedOn w:val="a"/>
    <w:uiPriority w:val="34"/>
    <w:qFormat/>
    <w:rsid w:val="003A105B"/>
    <w:pPr>
      <w:ind w:firstLineChars="200" w:firstLine="420"/>
    </w:pPr>
  </w:style>
  <w:style w:type="character" w:styleId="a6">
    <w:name w:val="Placeholder Text"/>
    <w:basedOn w:val="a0"/>
    <w:uiPriority w:val="99"/>
    <w:semiHidden/>
    <w:rsid w:val="00DA3CEA"/>
    <w:rPr>
      <w:color w:val="808080"/>
    </w:rPr>
  </w:style>
  <w:style w:type="paragraph" w:styleId="a7">
    <w:name w:val="Balloon Text"/>
    <w:basedOn w:val="a"/>
    <w:link w:val="Char1"/>
    <w:uiPriority w:val="99"/>
    <w:semiHidden/>
    <w:unhideWhenUsed/>
    <w:rsid w:val="00DA3CEA"/>
    <w:pPr>
      <w:spacing w:line="240" w:lineRule="auto"/>
    </w:pPr>
    <w:rPr>
      <w:sz w:val="18"/>
      <w:szCs w:val="18"/>
    </w:rPr>
  </w:style>
  <w:style w:type="character" w:customStyle="1" w:styleId="Char1">
    <w:name w:val="批注框文本 Char"/>
    <w:basedOn w:val="a0"/>
    <w:link w:val="a7"/>
    <w:uiPriority w:val="99"/>
    <w:semiHidden/>
    <w:rsid w:val="00DA3CEA"/>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746</TotalTime>
  <Pages>1</Pages>
  <Words>713</Words>
  <Characters>4068</Characters>
  <Application>Microsoft Office Word</Application>
  <DocSecurity>0</DocSecurity>
  <Lines>33</Lines>
  <Paragraphs>9</Paragraphs>
  <ScaleCrop>false</ScaleCrop>
  <Company/>
  <LinksUpToDate>false</LinksUpToDate>
  <CharactersWithSpaces>4772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2022-04-20T08:15:00Z</dcterms:created>
  <dcterms:modified xsi:type="dcterms:W3CDTF">2022-04-22T10:31:00Z</dcterms:modified>
</cp:coreProperties>
</file>