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Minutes for Meeting 4 (7-Mar)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Upcoming Deadlines: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Buddy check (10-March)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Meaningful MR (10-March)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>TASK DIVISIONS: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Deadline: NEXT TUESDAY (14-March).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User story 1: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Task 1: Make fxml scene for startup of application.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Task 2: Change server url in server utils (url dynamics).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User story 2: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Button takes back to scene above (change server).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User story 3: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User story 4: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Already in progress (board overview).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Task 1: scene for a board, implement switching for user story 1 scene.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Task 2: request to server to retrieve board things + display the lisits.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User story 5: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Send request to server to make a list (add list continuation), and displaying new list.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User story 6: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Same as above.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User story 7: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Task 1: List editing scene javafx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Task 2: Send http request for changing title, endpoint for title change.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User story 8: Ideally done after board overview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Task 1: List deletion scene (delete button).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Task 2: http request to server, endpoint for deleting list.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tbl>
      <w:tblPr>
        <w:tblW w:w="100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33"/>
        <w:gridCol w:w="3333"/>
        <w:gridCol w:w="3334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WHAT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WHO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WEIGHT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USER STORY 1 TASK 1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ALEXIA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USER STORY 1 TASK 2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UROS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USER STORY 2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UROS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USER STORY 4 TASK 1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ILYAS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USER STORY 4 TASK 2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RAZVAN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USER STORY 5 &amp; 6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JOB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USER STORY 7 TASK 1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PRISHA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USER STORY 7 TASK 2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UROS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USER STORY 8 TASK 1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ILYAS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USER STORY 8 TASK 1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ALEXIA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Multiple clients: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Our method/interpretation of multi-client accessing should be appropriate.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Ask town square for more details.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Non-functional requirements: Try to have all (must have all rudimentary ones), however we must do all basic requirements.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Code feedback (from TA): expected soon.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MR reviews from peers: follow current pattern of leaving comments of feedback under MRs. Should be done in due time and constructive.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Informal meeting on Thursday afternoon/evening.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Feedback: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Look at </w:t>
      </w:r>
      <w:r>
        <w:rPr>
          <w:rStyle w:val="Hyperlink.0"/>
          <w:outline w:val="0"/>
          <w:color w:val="e4ae0a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rtl w:val="0"/>
          <w14:textFill>
            <w14:solidFill>
              <w14:srgbClr w14:val="E4AF0A"/>
            </w14:solidFill>
          </w14:textFill>
        </w:rPr>
        <w:instrText xml:space="preserve"> HYPERLINK "https://se.ewi.tudelft.nl/oopp/grading/process"</w:instrText>
      </w:r>
      <w:r>
        <w:rPr>
          <w:rStyle w:val="Hyperlink.0"/>
          <w:outline w:val="0"/>
          <w:color w:val="e4ae0a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rtl w:val="0"/>
          <w:lang w:val="en-US"/>
          <w14:textFill>
            <w14:solidFill>
              <w14:srgbClr w14:val="E4AF0A"/>
            </w14:solidFill>
          </w14:textFill>
        </w:rPr>
        <w:t>https://se.ewi.tudelft.nl/oopp/grading/process</w:t>
      </w:r>
      <w:r>
        <w:rPr>
          <w:outline w:val="0"/>
          <w:color w:val="e4ae0a"/>
          <w:rtl w:val="0"/>
          <w14:textFill>
            <w14:solidFill>
              <w14:srgbClr w14:val="E4AF0A"/>
            </w14:solidFill>
          </w14:textFill>
        </w:rPr>
        <w:fldChar w:fldCharType="end" w:fldLock="0"/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to know more about planning.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60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