
<file path=[Content_Types].xml><?xml version="1.0" encoding="utf-8"?>
<Types xmlns="http://schemas.openxmlformats.org/package/2006/content-types">
  <Default Extension="png" ContentType="image/png"/>
  <Default Extension="jpeg" ContentType="image/jpeg"/>
  <Default Extension="bmp" ContentType="image/bmp"/>
  <Default Extension="rels" ContentType="application/vnd.openxmlformats-package.relationships+xml"/>
  <Default Extension="xml" ContentType="application/xml"/>
  <Default Extension="emf" ContentType="image/x-emf"/>
  <Default Extension="wmf" ContentType="image/x-wmf"/>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Ind w:w="0" w:type="dxa"/>
        <w:tblW w:w="5000" w:type="pct"/>
        <w:tblBorders>
          <w:top w:val="nil"/>
          <w:left w:val="nil"/>
          <w:bottom w:val="nil"/>
          <w:right w:val="nil"/>
          <w:insideV w:val="nil"/>
          <w:insideH w:val="nil"/>
        </w:tblBorders>
      </w:tblPr>
      <w:tblGrid>
        <w:gridCol w:w="10716"/>
      </w:tblGrid>
      <w:tr>
        <w:trPr>
          <w:trHeight w:val="3031" w:hRule="exact"/>
        </w:trPr>
        <w:tblPrEx>
          <w:tblBorders>
            <w:top w:val="nil"/>
            <w:left w:val="nil"/>
            <w:bottom w:val="nil"/>
            <w:right w:val="nil"/>
            <w:insideV w:val="nil"/>
            <w:insideH w:val="nil"/>
          </w:tblBorders>
        </w:tblPrEx>
        <w:tc>
          <w:tcPr>
            <w:tcW w:w="10716" w:type="dxa"/>
            <w:tcMar>
              <w:top w:w="60" w:type="dxa"/>
              <w:left w:w="80" w:type="dxa"/>
              <w:bottom w:w="60" w:type="dxa"/>
              <w:right w:w="80" w:type="dxa"/>
            </w:tcMar>
            <w:tcBorders>
              <w:top w:val="nil"/>
              <w:left w:val="nil"/>
              <w:bottom w:val="nil"/>
              <w:right w:val="nil"/>
            </w:tcBorders>
          </w:tcPr>
          <w:p>
            <w:pPr>
              <w:pStyle w:val="5"/>
            </w:pPr>
            <w:r>
              <w:rPr>
                <w:position w:val="-61"/>
              </w:rPr>
              <w:drawing>
                <wp:inline distT="0" distB="0" distL="0" distR="0">
                  <wp:extent cx="3810000" cy="90487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2">
                            <a:extLst>
                              <a:ext uri="{28A0092B-C50C-407E-A947-70E740481C1C}">
                                <a14:useLocalDpi xmlns:a14="http://schemas.microsoft.com/office/drawing/2010/main" val="0"/>
                              </a:ext>
                            </a:extLst>
                          </a:blip>
                          <a:srcRect/>
                          <a:stretch>
                            <a:fillRect/>
                          </a:stretch>
                        </pic:blipFill>
                        <pic:spPr bwMode="auto">
                          <a:xfrm>
                            <a:off x="0" y="0"/>
                            <a:ext cx="3810000" cy="904875"/>
                          </a:xfrm>
                          <a:prstGeom prst="rect">
                            <a:avLst/>
                          </a:prstGeom>
                          <a:noFill/>
                          <a:ln>
                            <a:noFill/>
                          </a:ln>
                        </pic:spPr>
                      </pic:pic>
                    </a:graphicData>
                  </a:graphic>
                </wp:inline>
              </w:drawing>
            </w:r>
          </w:p>
        </w:tc>
      </w:tr>
      <w:tr>
        <w:trPr>
          <w:trHeight w:val="8335"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48"/>
              </w:rPr>
              <w:t xml:space="preserve">"ГОСТ Р 53277-2009. Техника пожарная. Оборудование по обслуживанию пожарных рукавов. Общие технические требования. Методы испытаний"</w:t>
              <w:br/>
              <w:t xml:space="preserve">(утв. Приказом Ростехрегулирования от 18.02.2009 N 49-ст)</w:t>
            </w:r>
          </w:p>
        </w:tc>
      </w:tr>
      <w:tr>
        <w:trPr>
          <w:trHeight w:val="3031" w:hRule="exact"/>
        </w:trPr>
        <w:tblPrEx>
          <w:tblBorders>
            <w:top w:val="nil"/>
            <w:left w:val="nil"/>
            <w:bottom w:val="nil"/>
            <w:right w:val="nil"/>
            <w:insideV w:val="nil"/>
            <w:insideH w:val="nil"/>
          </w:tblBorders>
        </w:tblPrEx>
        <w:tc>
          <w:tcPr>
            <w:tcW w:w="10716" w:type="dxa"/>
            <w:vAlign w:val="center"/>
            <w:tcMar>
              <w:top w:w="60" w:type="dxa"/>
              <w:left w:w="80" w:type="dxa"/>
              <w:bottom w:w="60" w:type="dxa"/>
              <w:right w:w="80" w:type="dxa"/>
            </w:tcMar>
            <w:tcBorders>
              <w:top w:val="nil"/>
              <w:left w:val="nil"/>
              <w:bottom w:val="nil"/>
              <w:right w:val="nil"/>
            </w:tcBorders>
          </w:tcPr>
          <w:p>
            <w:pPr>
              <w:pStyle w:val="5"/>
              <w:jc w:val="center"/>
            </w:pPr>
            <w:r>
              <w:rPr>
                <w:sz w:val="28"/>
              </w:rPr>
              <w:t xml:space="preserve">Документ предоставлен </w:t>
            </w:r>
            <w:hyperlink w:history="0" r:id="rId3" w:tooltip="Ссылка на КонсультантПлюс">
              <w:r>
                <w:rPr>
                  <w:sz w:val="28"/>
                  <w:color w:val="0000ff"/>
                  <w:b w:val="on"/>
                </w:rPr>
                <w:t xml:space="preserve">КонсультантПлюс</w:t>
                <w:br/>
                <w:br/>
              </w:r>
            </w:hyperlink>
            <w:hyperlink w:history="0" r:id="rId4" w:tooltip="Ссылка на КонсультантПлюс">
              <w:r>
                <w:rPr>
                  <w:sz w:val="28"/>
                  <w:color w:val="0000ff"/>
                  <w:b w:val="on"/>
                </w:rPr>
                <w:t xml:space="preserve">www.consultant.ru</w:t>
              </w:r>
            </w:hyperlink>
            <w:r>
              <w:rPr>
                <w:sz w:val="28"/>
              </w:rPr>
              <w:br/>
              <w:br/>
              <w:t xml:space="preserve">Дата сохранения: 23.08.2024</w:t>
            </w:r>
            <w:r>
              <w:rPr>
                <w:sz w:val="28"/>
              </w:rPr>
              <w:br/>
              <w:t xml:space="preserve"> </w:t>
            </w:r>
          </w:p>
        </w:tc>
      </w:tr>
    </w:tbl>
    <w:p>
      <w:pPr>
        <w:sectPr>
          <w:pgSz w:w="11906" w:h="16838"/>
          <w:pgMar w:top="841" w:right="595" w:bottom="841" w:left="595" w:header="0" w:footer="0" w:gutter="0"/>
          <w:titlePg/>
        </w:sectPr>
      </w:pPr>
    </w:p>
    <w:p>
      <w:pPr>
        <w:pStyle w:val="0"/>
        <w:outlineLvl w:val="0"/>
        <w:jc w:val="both"/>
      </w:pPr>
      <w:r>
        <w:rPr>
          <w:sz w:val="20"/>
        </w:rPr>
      </w:r>
    </w:p>
    <w:p>
      <w:pPr>
        <w:pStyle w:val="0"/>
        <w:outlineLvl w:val="0"/>
        <w:jc w:val="right"/>
      </w:pPr>
      <w:r>
        <w:rPr>
          <w:sz w:val="20"/>
        </w:rPr>
        <w:t xml:space="preserve">Утвержден и введен в действие</w:t>
      </w:r>
    </w:p>
    <w:p>
      <w:pPr>
        <w:pStyle w:val="0"/>
        <w:jc w:val="right"/>
      </w:pPr>
      <w:hyperlink w:history="0" r:id="rId7" w:tooltip="Приказ Ростехрегулирования от 18.02.2009 N 49-ст &quot;Об утверждении национального стандарта&quot; {КонсультантПлюс}">
        <w:r>
          <w:rPr>
            <w:sz w:val="20"/>
            <w:color w:val="0000ff"/>
          </w:rPr>
          <w:t xml:space="preserve">Приказом</w:t>
        </w:r>
      </w:hyperlink>
      <w:r>
        <w:rPr>
          <w:sz w:val="20"/>
        </w:rPr>
        <w:t xml:space="preserve"> Ростехрегулирования</w:t>
      </w:r>
    </w:p>
    <w:p>
      <w:pPr>
        <w:pStyle w:val="0"/>
        <w:jc w:val="right"/>
      </w:pPr>
      <w:r>
        <w:rPr>
          <w:sz w:val="20"/>
        </w:rPr>
        <w:t xml:space="preserve">от 18 февраля 2009 г. N 49-ст</w:t>
      </w:r>
    </w:p>
    <w:p>
      <w:pPr>
        <w:pStyle w:val="0"/>
      </w:pPr>
      <w:r>
        <w:rPr>
          <w:sz w:val="20"/>
        </w:rPr>
      </w:r>
    </w:p>
    <w:p>
      <w:pPr>
        <w:pStyle w:val="2"/>
        <w:jc w:val="center"/>
      </w:pPr>
      <w:r>
        <w:rPr>
          <w:sz w:val="20"/>
        </w:rPr>
        <w:t xml:space="preserve">НАЦИОНАЛЬНЫЙ СТАНДАРТ РОССИЙСКОЙ ФЕДЕРАЦИИ</w:t>
      </w:r>
    </w:p>
    <w:p>
      <w:pPr>
        <w:pStyle w:val="2"/>
        <w:jc w:val="center"/>
      </w:pPr>
      <w:r>
        <w:rPr>
          <w:sz w:val="20"/>
        </w:rPr>
      </w:r>
    </w:p>
    <w:p>
      <w:pPr>
        <w:pStyle w:val="2"/>
        <w:jc w:val="center"/>
      </w:pPr>
      <w:r>
        <w:rPr>
          <w:sz w:val="20"/>
        </w:rPr>
        <w:t xml:space="preserve">ТЕХНИКА ПОЖАРНАЯ</w:t>
      </w:r>
    </w:p>
    <w:p>
      <w:pPr>
        <w:pStyle w:val="2"/>
        <w:jc w:val="center"/>
      </w:pPr>
      <w:r>
        <w:rPr>
          <w:sz w:val="20"/>
        </w:rPr>
      </w:r>
    </w:p>
    <w:p>
      <w:pPr>
        <w:pStyle w:val="2"/>
        <w:jc w:val="center"/>
      </w:pPr>
      <w:r>
        <w:rPr>
          <w:sz w:val="20"/>
        </w:rPr>
        <w:t xml:space="preserve">ОБОРУДОВАНИЕ ПО ОБСЛУЖИВАНИЮ ПОЖАРНЫХ РУКАВОВ</w:t>
      </w:r>
    </w:p>
    <w:p>
      <w:pPr>
        <w:pStyle w:val="2"/>
        <w:jc w:val="center"/>
      </w:pPr>
      <w:r>
        <w:rPr>
          <w:sz w:val="20"/>
        </w:rPr>
      </w:r>
    </w:p>
    <w:p>
      <w:pPr>
        <w:pStyle w:val="2"/>
        <w:jc w:val="center"/>
      </w:pPr>
      <w:r>
        <w:rPr>
          <w:sz w:val="20"/>
        </w:rPr>
        <w:t xml:space="preserve">ОБЩИЕ ТЕХНИЧЕСКИЕ ТРЕБОВАНИЯ. МЕТОДЫ ИСПЫТАНИЙ</w:t>
      </w:r>
    </w:p>
    <w:p>
      <w:pPr>
        <w:pStyle w:val="2"/>
        <w:jc w:val="center"/>
      </w:pPr>
      <w:r>
        <w:rPr>
          <w:sz w:val="20"/>
        </w:rPr>
      </w:r>
    </w:p>
    <w:p>
      <w:pPr>
        <w:pStyle w:val="2"/>
        <w:jc w:val="center"/>
      </w:pPr>
      <w:r>
        <w:rPr>
          <w:sz w:val="20"/>
        </w:rPr>
        <w:t xml:space="preserve">Fire equipment.</w:t>
      </w:r>
    </w:p>
    <w:p>
      <w:pPr>
        <w:pStyle w:val="2"/>
        <w:jc w:val="center"/>
      </w:pPr>
      <w:r>
        <w:rPr>
          <w:sz w:val="20"/>
        </w:rPr>
        <w:t xml:space="preserve">Equipment for maintenance of fire hoses.</w:t>
      </w:r>
    </w:p>
    <w:p>
      <w:pPr>
        <w:pStyle w:val="2"/>
        <w:jc w:val="center"/>
      </w:pPr>
      <w:r>
        <w:rPr>
          <w:sz w:val="20"/>
        </w:rPr>
        <w:t xml:space="preserve">General technical requirements. Methods of testing</w:t>
      </w:r>
    </w:p>
    <w:p>
      <w:pPr>
        <w:pStyle w:val="2"/>
        <w:jc w:val="center"/>
      </w:pPr>
      <w:r>
        <w:rPr>
          <w:sz w:val="20"/>
        </w:rPr>
      </w:r>
    </w:p>
    <w:p>
      <w:pPr>
        <w:pStyle w:val="2"/>
        <w:jc w:val="center"/>
      </w:pPr>
      <w:r>
        <w:rPr>
          <w:sz w:val="20"/>
        </w:rPr>
        <w:t xml:space="preserve">ГОСТ Р 53277-2009</w:t>
      </w:r>
    </w:p>
    <w:p>
      <w:pPr>
        <w:pStyle w:val="0"/>
        <w:jc w:val="center"/>
      </w:pPr>
      <w:r>
        <w:rPr>
          <w:sz w:val="20"/>
        </w:rPr>
      </w:r>
    </w:p>
    <w:p>
      <w:pPr>
        <w:pStyle w:val="0"/>
        <w:jc w:val="right"/>
      </w:pPr>
      <w:r>
        <w:rPr>
          <w:sz w:val="20"/>
        </w:rPr>
        <w:t xml:space="preserve">ОКС </w:t>
      </w:r>
      <w:hyperlink w:history="0" r:id="rId8" w:tooltip="&quot;ОК 001-2021 (ИСО МКС). Общероссийский классификатор стандартов&quot; (утв. приказом Росстандарта от 19.11.2021 N 1506-ст) (ред. от 15.08.2023) {КонсультантПлюс}">
        <w:r>
          <w:rPr>
            <w:sz w:val="20"/>
            <w:color w:val="0000ff"/>
          </w:rPr>
          <w:t xml:space="preserve">13.220.01</w:t>
        </w:r>
      </w:hyperlink>
    </w:p>
    <w:p>
      <w:pPr>
        <w:pStyle w:val="0"/>
        <w:jc w:val="right"/>
      </w:pPr>
      <w:r>
        <w:rPr>
          <w:sz w:val="20"/>
        </w:rPr>
      </w:r>
    </w:p>
    <w:p>
      <w:pPr>
        <w:pStyle w:val="0"/>
        <w:jc w:val="right"/>
      </w:pPr>
      <w:r>
        <w:rPr>
          <w:sz w:val="20"/>
        </w:rPr>
        <w:t xml:space="preserve">ОКП </w:t>
      </w:r>
      <w:hyperlink w:history="0" r:id="rId9" w:tooltip="&quot;ОК 005-93. Общероссийский классификатор продукции&quot; (утв. Постановлением Госстандарта России от 30.12.1993 N 301) (ред. от 22.10.2014, с изм. от 29.09.2016) (дата введения 01.07.1994) (коды 01 0000 - 51 7800) {КонсультантПлюс}">
        <w:r>
          <w:rPr>
            <w:sz w:val="20"/>
            <w:color w:val="0000ff"/>
          </w:rPr>
          <w:t xml:space="preserve">48 5480</w:t>
        </w:r>
      </w:hyperlink>
    </w:p>
    <w:p>
      <w:pPr>
        <w:pStyle w:val="0"/>
        <w:jc w:val="right"/>
      </w:pPr>
      <w:r>
        <w:rPr>
          <w:sz w:val="20"/>
        </w:rPr>
      </w:r>
    </w:p>
    <w:p>
      <w:pPr>
        <w:pStyle w:val="0"/>
        <w:jc w:val="right"/>
      </w:pPr>
      <w:r>
        <w:rPr>
          <w:sz w:val="20"/>
        </w:rPr>
        <w:t xml:space="preserve">Дата введения</w:t>
      </w:r>
    </w:p>
    <w:p>
      <w:pPr>
        <w:pStyle w:val="0"/>
        <w:jc w:val="right"/>
      </w:pPr>
      <w:r>
        <w:rPr>
          <w:sz w:val="20"/>
        </w:rPr>
        <w:t xml:space="preserve">1 января 2010 года</w:t>
      </w:r>
    </w:p>
    <w:p>
      <w:pPr>
        <w:pStyle w:val="0"/>
        <w:jc w:val="right"/>
      </w:pPr>
      <w:r>
        <w:rPr>
          <w:sz w:val="20"/>
        </w:rPr>
        <w:t xml:space="preserve">с правом досрочного применения</w:t>
      </w:r>
    </w:p>
    <w:p>
      <w:pPr>
        <w:pStyle w:val="0"/>
        <w:ind w:firstLine="540"/>
        <w:jc w:val="both"/>
      </w:pPr>
      <w:r>
        <w:rPr>
          <w:sz w:val="20"/>
        </w:rPr>
      </w:r>
    </w:p>
    <w:p>
      <w:pPr>
        <w:pStyle w:val="0"/>
        <w:outlineLvl w:val="1"/>
        <w:jc w:val="center"/>
      </w:pPr>
      <w:r>
        <w:rPr>
          <w:sz w:val="20"/>
        </w:rPr>
        <w:t xml:space="preserve">Предисловие</w:t>
      </w:r>
    </w:p>
    <w:p>
      <w:pPr>
        <w:pStyle w:val="0"/>
        <w:ind w:firstLine="540"/>
        <w:jc w:val="both"/>
      </w:pPr>
      <w:r>
        <w:rPr>
          <w:sz w:val="20"/>
        </w:rPr>
      </w:r>
    </w:p>
    <w:p>
      <w:pPr>
        <w:pStyle w:val="0"/>
        <w:ind w:firstLine="540"/>
        <w:jc w:val="both"/>
      </w:pPr>
      <w:r>
        <w:rPr>
          <w:sz w:val="20"/>
        </w:rPr>
        <w:t xml:space="preserve">Цели и принципы стандартизации в Российской Федерации установлены Федеральным </w:t>
      </w:r>
      <w:hyperlink w:history="0" r:id="rId10" w:tooltip="Федеральный закон от 27.12.2002 N 184-ФЗ (ред. от 02.07.2021) &quot;О техническом регулировании&quot; (с изм. и доп., вступ. в силу с 23.12.2021) {КонсультантПлюс}">
        <w:r>
          <w:rPr>
            <w:sz w:val="20"/>
            <w:color w:val="0000ff"/>
          </w:rPr>
          <w:t xml:space="preserve">законом</w:t>
        </w:r>
      </w:hyperlink>
      <w:r>
        <w:rPr>
          <w:sz w:val="20"/>
        </w:rPr>
        <w:t xml:space="preserve"> от 27 декабря 2002 г. N 184-ФЗ "О техническом регулировании", а правила применения национальных стандартов Российской Федерации - </w:t>
      </w:r>
      <w:hyperlink w:history="0" r:id="rId11" w:tooltip="&quot;ГОСТ Р 1.0-2004. Национальный стандарт Российской Федерации. Стандартизация в Российской Федерации. Основные положения&quot; (утв. Приказом Ростехрегулирования от 30.12.2004 N 152-ст) {КонсультантПлюс}">
        <w:r>
          <w:rPr>
            <w:sz w:val="20"/>
            <w:color w:val="0000ff"/>
          </w:rPr>
          <w:t xml:space="preserve">ГОСТ Р 1.0-2004</w:t>
        </w:r>
      </w:hyperlink>
      <w:r>
        <w:rPr>
          <w:sz w:val="20"/>
        </w:rPr>
        <w:t xml:space="preserve"> "Стандартизация в Российской Федерации. Основные положения".</w:t>
      </w:r>
    </w:p>
    <w:p>
      <w:pPr>
        <w:pStyle w:val="0"/>
        <w:ind w:firstLine="540"/>
        <w:jc w:val="both"/>
      </w:pPr>
      <w:r>
        <w:rPr>
          <w:sz w:val="20"/>
        </w:rPr>
      </w:r>
    </w:p>
    <w:p>
      <w:pPr>
        <w:pStyle w:val="0"/>
        <w:outlineLvl w:val="1"/>
        <w:jc w:val="center"/>
      </w:pPr>
      <w:r>
        <w:rPr>
          <w:sz w:val="20"/>
        </w:rPr>
        <w:t xml:space="preserve">Сведения о стандарте</w:t>
      </w:r>
    </w:p>
    <w:p>
      <w:pPr>
        <w:pStyle w:val="0"/>
        <w:ind w:firstLine="540"/>
        <w:jc w:val="both"/>
      </w:pPr>
      <w:r>
        <w:rPr>
          <w:sz w:val="20"/>
        </w:rPr>
      </w:r>
    </w:p>
    <w:p>
      <w:pPr>
        <w:pStyle w:val="0"/>
        <w:ind w:firstLine="540"/>
        <w:jc w:val="both"/>
      </w:pPr>
      <w:r>
        <w:rPr>
          <w:sz w:val="20"/>
        </w:rPr>
        <w:t xml:space="preserve">1. Разработан ФГУ ВНИИПО МЧС России.</w:t>
      </w:r>
    </w:p>
    <w:p>
      <w:pPr>
        <w:pStyle w:val="0"/>
        <w:spacing w:before="200" w:line-rule="auto"/>
        <w:ind w:firstLine="540"/>
        <w:jc w:val="both"/>
      </w:pPr>
      <w:r>
        <w:rPr>
          <w:sz w:val="20"/>
        </w:rPr>
        <w:t xml:space="preserve">2. Внесен Техническим комитетом по стандартизации ТК 274 "Пожарная безопасность".</w:t>
      </w:r>
    </w:p>
    <w:p>
      <w:pPr>
        <w:pStyle w:val="0"/>
        <w:spacing w:before="200" w:line-rule="auto"/>
        <w:ind w:firstLine="540"/>
        <w:jc w:val="both"/>
      </w:pPr>
      <w:r>
        <w:rPr>
          <w:sz w:val="20"/>
        </w:rPr>
        <w:t xml:space="preserve">3. Утвержден и введен в действие </w:t>
      </w:r>
      <w:hyperlink w:history="0" r:id="rId12" w:tooltip="Приказ Ростехрегулирования от 18.02.2009 N 49-ст &quot;Об утверждении национального стандарта&quot; {КонсультантПлюс}">
        <w:r>
          <w:rPr>
            <w:sz w:val="20"/>
            <w:color w:val="0000ff"/>
          </w:rPr>
          <w:t xml:space="preserve">Приказом</w:t>
        </w:r>
      </w:hyperlink>
      <w:r>
        <w:rPr>
          <w:sz w:val="20"/>
        </w:rPr>
        <w:t xml:space="preserve"> Федерального агентства по техническому регулированию и метрологии от 18 февраля 2009 г. N 49-ст.</w:t>
      </w:r>
    </w:p>
    <w:p>
      <w:pPr>
        <w:pStyle w:val="0"/>
        <w:spacing w:before="200" w:line-rule="auto"/>
        <w:ind w:firstLine="540"/>
        <w:jc w:val="both"/>
      </w:pPr>
      <w:r>
        <w:rPr>
          <w:sz w:val="20"/>
        </w:rPr>
        <w:t xml:space="preserve">4. Введен впервые.</w:t>
      </w:r>
    </w:p>
    <w:p>
      <w:pPr>
        <w:pStyle w:val="0"/>
        <w:ind w:firstLine="540"/>
        <w:jc w:val="both"/>
      </w:pPr>
      <w:r>
        <w:rPr>
          <w:sz w:val="20"/>
        </w:rPr>
      </w:r>
    </w:p>
    <w:p>
      <w:pPr>
        <w:pStyle w:val="0"/>
        <w:ind w:firstLine="540"/>
        <w:jc w:val="both"/>
      </w:pPr>
      <w:r>
        <w:rPr>
          <w:sz w:val="20"/>
        </w:rPr>
        <w:t xml:space="preserve">Информация об изменениях к настоящему стандарту публикуется в ежегодно издаваемом информационном указателе "Национальные стандарты", а текст изменений и поправок - в ежемесячно издаваемых информационных указателях "Национальные стандарты". В случае пересмотра (замены) или отмены настоящего стандарта соответствующее уведомление будет опубликовано в ежемесячно издаваемом информационном указателе "Национальные стандарты". Соответствующая информация, уведомление и тексты размещаются также в информационной системе общего пользования - на официальном сайте Федерального агентства по техническому регулированию и метрологии в сети Интернет.</w:t>
      </w:r>
    </w:p>
    <w:p>
      <w:pPr>
        <w:pStyle w:val="0"/>
        <w:ind w:firstLine="540"/>
        <w:jc w:val="both"/>
      </w:pPr>
      <w:r>
        <w:rPr>
          <w:sz w:val="20"/>
        </w:rPr>
      </w:r>
    </w:p>
    <w:p>
      <w:pPr>
        <w:pStyle w:val="0"/>
        <w:outlineLvl w:val="1"/>
        <w:jc w:val="center"/>
      </w:pPr>
      <w:r>
        <w:rPr>
          <w:sz w:val="20"/>
        </w:rPr>
        <w:t xml:space="preserve">1. Область применения</w:t>
      </w:r>
    </w:p>
    <w:p>
      <w:pPr>
        <w:pStyle w:val="0"/>
        <w:ind w:firstLine="540"/>
        <w:jc w:val="both"/>
      </w:pPr>
      <w:r>
        <w:rPr>
          <w:sz w:val="20"/>
        </w:rPr>
      </w:r>
    </w:p>
    <w:p>
      <w:pPr>
        <w:pStyle w:val="0"/>
        <w:ind w:firstLine="540"/>
        <w:jc w:val="both"/>
      </w:pPr>
      <w:r>
        <w:rPr>
          <w:sz w:val="20"/>
        </w:rPr>
        <w:t xml:space="preserve">Настоящий стандарт распространяется на оборудование, предназначенное для технического обслуживания напорных, всасывающих и напорно-всасывающих пожарных рукавов.</w:t>
      </w:r>
    </w:p>
    <w:p>
      <w:pPr>
        <w:pStyle w:val="0"/>
        <w:ind w:firstLine="540"/>
        <w:jc w:val="both"/>
      </w:pPr>
      <w:r>
        <w:rPr>
          <w:sz w:val="20"/>
        </w:rPr>
      </w:r>
    </w:p>
    <w:p>
      <w:pPr>
        <w:pStyle w:val="0"/>
        <w:outlineLvl w:val="1"/>
        <w:jc w:val="center"/>
      </w:pPr>
      <w:r>
        <w:rPr>
          <w:sz w:val="20"/>
        </w:rPr>
        <w:t xml:space="preserve">2. Нормативные ссылки</w:t>
      </w:r>
    </w:p>
    <w:p>
      <w:pPr>
        <w:pStyle w:val="0"/>
        <w:ind w:firstLine="540"/>
        <w:jc w:val="both"/>
      </w:pPr>
      <w:r>
        <w:rPr>
          <w:sz w:val="20"/>
        </w:rPr>
      </w:r>
    </w:p>
    <w:p>
      <w:pPr>
        <w:pStyle w:val="0"/>
        <w:ind w:firstLine="540"/>
        <w:jc w:val="both"/>
      </w:pPr>
      <w:r>
        <w:rPr>
          <w:sz w:val="20"/>
        </w:rPr>
        <w:t xml:space="preserve">В настоящем стандарте использованы нормативные ссылки на следующие стандарты:</w:t>
      </w:r>
    </w:p>
    <w:p>
      <w:pPr>
        <w:pStyle w:val="0"/>
        <w:spacing w:before="200" w:line-rule="auto"/>
        <w:ind w:firstLine="540"/>
        <w:jc w:val="both"/>
      </w:pPr>
      <w:hyperlink w:history="0" r:id="rId13" w:tooltip="&quot;ГОСТ Р 1.0-2004. Национальный стандарт Российской Федерации. Стандартизация в Российской Федерации. Основные положения&quot; (утв. Приказом Ростехрегулирования от 30.12.2004 N 152-ст) {КонсультантПлюс}">
        <w:r>
          <w:rPr>
            <w:sz w:val="20"/>
            <w:color w:val="0000ff"/>
          </w:rPr>
          <w:t xml:space="preserve">ГОСТ Р 1.0-2004</w:t>
        </w:r>
      </w:hyperlink>
      <w:r>
        <w:rPr>
          <w:sz w:val="20"/>
        </w:rPr>
        <w:t xml:space="preserve">. Стандартизация в Российской Федерации. Основные положения</w:t>
      </w:r>
    </w:p>
    <w:p>
      <w:pPr>
        <w:pStyle w:val="0"/>
        <w:spacing w:before="200" w:line-rule="auto"/>
        <w:ind w:firstLine="540"/>
        <w:jc w:val="both"/>
      </w:pPr>
      <w:hyperlink w:history="0" r:id="rId14" w:tooltip="&quot;ГОСТ Р 15.201-2000.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quot; (принят и введен в действие Постановлением Госстандарта РФ от 17.10.2000 N 263-ст) ------------ Утратил силу или отменен {КонсультантПлюс}">
        <w:r>
          <w:rPr>
            <w:sz w:val="20"/>
            <w:color w:val="0000ff"/>
          </w:rPr>
          <w:t xml:space="preserve">ГОСТ Р 15.201-2000</w:t>
        </w:r>
      </w:hyperlink>
      <w:r>
        <w:rPr>
          <w:sz w:val="20"/>
        </w:rPr>
        <w:t xml:space="preserve">.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w:t>
      </w:r>
    </w:p>
    <w:p>
      <w:pPr>
        <w:pStyle w:val="0"/>
        <w:spacing w:before="200" w:line-rule="auto"/>
        <w:ind w:firstLine="540"/>
        <w:jc w:val="both"/>
      </w:pPr>
      <w:hyperlink w:history="0" r:id="rId15" w:tooltip="&quot;ГОСТ Р 52720-2007. Арматура трубопроводная. Термины и определения&quot; (принят Приказом Ростехрегулирования от 11.04.2007 N 61-ст) ------------ Утратил силу или отменен {КонсультантПлюс}">
        <w:r>
          <w:rPr>
            <w:sz w:val="20"/>
            <w:color w:val="0000ff"/>
          </w:rPr>
          <w:t xml:space="preserve">ГОСТ Р 52720-2007</w:t>
        </w:r>
      </w:hyperlink>
      <w:r>
        <w:rPr>
          <w:sz w:val="20"/>
        </w:rPr>
        <w:t xml:space="preserve">. Арматура трубопроводная. Термины и определения</w:t>
      </w:r>
    </w:p>
    <w:p>
      <w:pPr>
        <w:pStyle w:val="0"/>
        <w:spacing w:before="200" w:line-rule="auto"/>
        <w:ind w:firstLine="540"/>
        <w:jc w:val="both"/>
      </w:pPr>
      <w:hyperlink w:history="0" r:id="rId16" w:tooltip="&quot;ГОСТ 2.601-2006. Единая система конструкторской документации. Эксплуатационные документы&quot; (введен в действие Приказом Ростехрегулирования от 22.06.2006 N 118-ст) ------------ Утратил силу или отменен {КонсультантПлюс}">
        <w:r>
          <w:rPr>
            <w:sz w:val="20"/>
            <w:color w:val="0000ff"/>
          </w:rPr>
          <w:t xml:space="preserve">ГОСТ 2.601-2006</w:t>
        </w:r>
      </w:hyperlink>
      <w:r>
        <w:rPr>
          <w:sz w:val="20"/>
        </w:rPr>
        <w:t xml:space="preserve">. Единая система конструкторской документации. Эксплуатационные документы</w:t>
      </w:r>
    </w:p>
    <w:p>
      <w:pPr>
        <w:pStyle w:val="0"/>
        <w:spacing w:before="200" w:line-rule="auto"/>
        <w:ind w:firstLine="540"/>
        <w:jc w:val="both"/>
      </w:pPr>
      <w:hyperlink w:history="0" r:id="rId17" w:tooltip="&quot;ГОСТ 12.1.003-83. Система стандартов безопасности труда. Шум. Общие требования безопасности&quot; (утв. Постановлением Госстандарта СССР от 06.06.1983 N 2473) (ред. от 01.12.1988) {КонсультантПлюс}">
        <w:r>
          <w:rPr>
            <w:sz w:val="20"/>
            <w:color w:val="0000ff"/>
          </w:rPr>
          <w:t xml:space="preserve">ГОСТ 12.1.003-83</w:t>
        </w:r>
      </w:hyperlink>
      <w:r>
        <w:rPr>
          <w:sz w:val="20"/>
        </w:rPr>
        <w:t xml:space="preserve">. Система стандартов безопасности труда. Шум. Общие требования безопасности</w:t>
      </w:r>
    </w:p>
    <w:p>
      <w:pPr>
        <w:pStyle w:val="0"/>
        <w:spacing w:before="200" w:line-rule="auto"/>
        <w:ind w:firstLine="540"/>
        <w:jc w:val="both"/>
      </w:pPr>
      <w:hyperlink w:history="0" r:id="rId18" w:tooltip="&quot;ГОСТ 12.2.003-91. Система стандартов безопасности труда. Оборудование производственное. Общие требования безопасности&quot; (утв. Постановлением Госстандарта СССР от 06.06.1991 N 807) {КонсультантПлюс}">
        <w:r>
          <w:rPr>
            <w:sz w:val="20"/>
            <w:color w:val="0000ff"/>
          </w:rPr>
          <w:t xml:space="preserve">ГОСТ 12.2.003-91</w:t>
        </w:r>
      </w:hyperlink>
      <w:r>
        <w:rPr>
          <w:sz w:val="20"/>
        </w:rPr>
        <w:t xml:space="preserve">. Система стандартов безопасности труда. Оборудование производственное. Общие требования безопасности</w:t>
      </w:r>
    </w:p>
    <w:p>
      <w:pPr>
        <w:pStyle w:val="0"/>
        <w:spacing w:before="200" w:line-rule="auto"/>
        <w:ind w:firstLine="540"/>
        <w:jc w:val="both"/>
      </w:pPr>
      <w:hyperlink w:history="0" r:id="rId19" w:tooltip="&quot;ГОСТ 12.2.007.0-75. Межгосударственный стандарт. Система стандартов безопасности труда. Изделия электротехнические. Общие требования безопасности&quot; (введен в действие Постановлением Госстандарта СССР от 10.09.1975 N 2368) (ред. от 01.06.1988) {КонсультантПлюс}">
        <w:r>
          <w:rPr>
            <w:sz w:val="20"/>
            <w:color w:val="0000ff"/>
          </w:rPr>
          <w:t xml:space="preserve">ГОСТ 12.2.007.0-75</w:t>
        </w:r>
      </w:hyperlink>
      <w:r>
        <w:rPr>
          <w:sz w:val="20"/>
        </w:rPr>
        <w:t xml:space="preserve">. Система стандартов безопасности труда. Изделия электротехнические. Общие требования безопасности</w:t>
      </w:r>
    </w:p>
    <w:p>
      <w:pPr>
        <w:pStyle w:val="0"/>
        <w:spacing w:before="200" w:line-rule="auto"/>
        <w:ind w:firstLine="540"/>
        <w:jc w:val="both"/>
      </w:pPr>
      <w:hyperlink w:history="0" r:id="rId20" w:tooltip="&quot;ГОСТ 12.2.047-86 (СТ СЭВ 5236-85). Государственный стандарт Союза ССР. Система стандартов безопасности труда. Пожарная техника. Термины и определения&quot; (утв. и введен в действие Постановлением Госстандарта СССР от 30.06.1986 N 1982) {КонсультантПлюс}">
        <w:r>
          <w:rPr>
            <w:sz w:val="20"/>
            <w:color w:val="0000ff"/>
          </w:rPr>
          <w:t xml:space="preserve">ГОСТ 12.2.047-86</w:t>
        </w:r>
      </w:hyperlink>
      <w:r>
        <w:rPr>
          <w:sz w:val="20"/>
        </w:rPr>
        <w:t xml:space="preserve">. Система стандартов безопасности труда. Пожарная техника. Термины и определения</w:t>
      </w:r>
    </w:p>
    <w:p>
      <w:pPr>
        <w:pStyle w:val="0"/>
        <w:spacing w:before="200" w:line-rule="auto"/>
        <w:ind w:firstLine="540"/>
        <w:jc w:val="both"/>
      </w:pPr>
      <w:hyperlink w:history="0" r:id="rId21" w:tooltip="&quot;ГОСТ 15.309-98. Межгосударственный стандарт. Система разработки и постановки продукции на производство. Испытания и приемка выпускаемой продукции. Основные положения&quot; (введен в действие Постановлением Госстандарта России от 11.06.1999 N 189) {КонсультантПлюс}">
        <w:r>
          <w:rPr>
            <w:sz w:val="20"/>
            <w:color w:val="0000ff"/>
          </w:rPr>
          <w:t xml:space="preserve">ГОСТ 15.309-98</w:t>
        </w:r>
      </w:hyperlink>
      <w:r>
        <w:rPr>
          <w:sz w:val="20"/>
        </w:rPr>
        <w:t xml:space="preserve">. Система разработки и постановки продукции на производство. Испытания и приемка выпускаемой продукции. Основные положения</w:t>
      </w:r>
    </w:p>
    <w:p>
      <w:pPr>
        <w:pStyle w:val="0"/>
        <w:spacing w:before="200" w:line-rule="auto"/>
        <w:ind w:firstLine="540"/>
        <w:jc w:val="both"/>
      </w:pPr>
      <w:hyperlink w:history="0" r:id="rId22" w:tooltip="&quot;ГОСТ 27.002-89. Надежность в технике. Основные понятия. Термины и определения&quot; (утв. Постановлением Госстандарта СССР от 15.11.1989 N 3375) ------------ Утратил силу или отменен {КонсультантПлюс}">
        <w:r>
          <w:rPr>
            <w:sz w:val="20"/>
            <w:color w:val="0000ff"/>
          </w:rPr>
          <w:t xml:space="preserve">ГОСТ 27.002-89</w:t>
        </w:r>
      </w:hyperlink>
      <w:r>
        <w:rPr>
          <w:sz w:val="20"/>
        </w:rPr>
        <w:t xml:space="preserve">. Надежность в технике. Основные понятия. Термины и определения</w:t>
      </w:r>
    </w:p>
    <w:p>
      <w:pPr>
        <w:pStyle w:val="0"/>
        <w:spacing w:before="200" w:line-rule="auto"/>
        <w:ind w:firstLine="540"/>
        <w:jc w:val="both"/>
      </w:pPr>
      <w:hyperlink w:history="0" r:id="rId23" w:tooltip="&quot;ГОСТ 166-89 (ИСО 3599-76). Штангенциркули. Технические условия&quot; (утв. Постановлением Госстандарта СССР от 30.10.1989 N 3253) (ред. от 01.10.1992) {КонсультантПлюс}">
        <w:r>
          <w:rPr>
            <w:sz w:val="20"/>
            <w:color w:val="0000ff"/>
          </w:rPr>
          <w:t xml:space="preserve">ГОСТ 166-89</w:t>
        </w:r>
      </w:hyperlink>
      <w:r>
        <w:rPr>
          <w:sz w:val="20"/>
        </w:rPr>
        <w:t xml:space="preserve"> (ИСО 3599-76). Штангенциркули. Технические условия</w:t>
      </w:r>
    </w:p>
    <w:p>
      <w:pPr>
        <w:pStyle w:val="0"/>
        <w:spacing w:before="200" w:line-rule="auto"/>
        <w:ind w:firstLine="540"/>
        <w:jc w:val="both"/>
      </w:pPr>
      <w:hyperlink w:history="0" r:id="rId24" w:tooltip="&quot;ГОСТ 356-80 (СТ СЭВ 253-76). Государственный стандарт Союза ССР. Арматура и детали трубопроводов. Давления номинальные, пробные и рабочие. Ряды&quot; (утв. и введен в действие Постановлением Госстандарта СССР от 29.01.1980 N 444) (ред. от 30.11.2010) {КонсультантПлюс}">
        <w:r>
          <w:rPr>
            <w:sz w:val="20"/>
            <w:color w:val="0000ff"/>
          </w:rPr>
          <w:t xml:space="preserve">ГОСТ 356-80</w:t>
        </w:r>
      </w:hyperlink>
      <w:r>
        <w:rPr>
          <w:sz w:val="20"/>
        </w:rPr>
        <w:t xml:space="preserve">. Арматура трубопроводная. Давления условные, пробные и рабочие. Ряды</w:t>
      </w:r>
    </w:p>
    <w:p>
      <w:pPr>
        <w:pStyle w:val="0"/>
        <w:spacing w:before="200" w:line-rule="auto"/>
        <w:ind w:firstLine="540"/>
        <w:jc w:val="both"/>
      </w:pPr>
      <w:hyperlink w:history="0" r:id="rId25"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утв. Постановлением Госстандарта СССР от 29.12.1969 N 1394) (ред. от 27.11.2012) {КонсультантПлюс}">
        <w:r>
          <w:rPr>
            <w:sz w:val="20"/>
            <w:color w:val="0000ff"/>
          </w:rPr>
          <w:t xml:space="preserve">ГОСТ 15150-69*</w:t>
        </w:r>
      </w:hyperlink>
      <w:r>
        <w:rPr>
          <w:sz w:val="20"/>
        </w:rPr>
        <w:t xml:space="preserve">.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pPr>
        <w:pStyle w:val="0"/>
        <w:spacing w:before="200" w:line-rule="auto"/>
        <w:ind w:firstLine="540"/>
        <w:jc w:val="both"/>
      </w:pPr>
      <w:hyperlink w:history="0" r:id="rId26" w:tooltip="&quot;ГОСТ 28338-89. Государственный стандарт Союза ССР. Соединения трубопроводов и арматура. Номинальные диаметры. Ряды&quot; (утв. Постановлением Госстандарта СССР от 21.11.1989 N 3415) (ред. от 30.11.2010) {КонсультантПлюс}">
        <w:r>
          <w:rPr>
            <w:sz w:val="20"/>
            <w:color w:val="0000ff"/>
          </w:rPr>
          <w:t xml:space="preserve">ГОСТ 28338-89</w:t>
        </w:r>
      </w:hyperlink>
      <w:r>
        <w:rPr>
          <w:sz w:val="20"/>
        </w:rPr>
        <w:t xml:space="preserve">. Соединения трубопроводов и арматура. Проходы условные (размеры номинальные). Ряды</w:t>
      </w:r>
    </w:p>
    <w:p>
      <w:pPr>
        <w:pStyle w:val="0"/>
        <w:spacing w:before="200" w:line-rule="auto"/>
        <w:ind w:firstLine="540"/>
        <w:jc w:val="both"/>
      </w:pPr>
      <w:hyperlink w:history="0" r:id="rId27" w:tooltip="&quot;ГОСТ 29329-92. Весы для статического взвешивания. Общие технические требования&quot; (утв. Постановлением Госстандарта РФ от 27.03.1992 N 294) ------------ Утратил силу или отменен {КонсультантПлюс}">
        <w:r>
          <w:rPr>
            <w:sz w:val="20"/>
            <w:color w:val="0000ff"/>
          </w:rPr>
          <w:t xml:space="preserve">ГОСТ 29329-92</w:t>
        </w:r>
      </w:hyperlink>
      <w:r>
        <w:rPr>
          <w:sz w:val="20"/>
        </w:rPr>
        <w:t xml:space="preserve">. Весы для статического взвешивания. Общие технические требования.</w:t>
      </w:r>
    </w:p>
    <w:p>
      <w:pPr>
        <w:pStyle w:val="0"/>
        <w:spacing w:before="200" w:line-rule="auto"/>
        <w:ind w:firstLine="540"/>
        <w:jc w:val="both"/>
      </w:pPr>
      <w:r>
        <w:rPr>
          <w:sz w:val="20"/>
        </w:rPr>
        <w:t xml:space="preserve">Примечание. При пользовании настоящим стандартом целесообразно проверить действие ссылочных стандартов в информационной системе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Если ссылочный стандарт заменен (изменен), то при пользовании настоящим стандартом следует руководствоваться заменяющим (измененным) стандартом. Если ссылочный стандарт отменен без замены, то положение, в котором дана ссылка на него, применяется в части, не затрагивающей эту ссылку.</w:t>
      </w:r>
    </w:p>
    <w:p>
      <w:pPr>
        <w:pStyle w:val="0"/>
        <w:ind w:firstLine="540"/>
        <w:jc w:val="both"/>
      </w:pPr>
      <w:r>
        <w:rPr>
          <w:sz w:val="20"/>
        </w:rPr>
      </w:r>
    </w:p>
    <w:p>
      <w:pPr>
        <w:pStyle w:val="0"/>
        <w:outlineLvl w:val="1"/>
        <w:jc w:val="center"/>
      </w:pPr>
      <w:r>
        <w:rPr>
          <w:sz w:val="20"/>
        </w:rPr>
        <w:t xml:space="preserve">3. Термины и определения</w:t>
      </w:r>
    </w:p>
    <w:p>
      <w:pPr>
        <w:pStyle w:val="0"/>
        <w:ind w:firstLine="540"/>
        <w:jc w:val="both"/>
      </w:pPr>
      <w:r>
        <w:rPr>
          <w:sz w:val="20"/>
        </w:rPr>
      </w:r>
    </w:p>
    <w:p>
      <w:pPr>
        <w:pStyle w:val="0"/>
        <w:ind w:firstLine="540"/>
        <w:jc w:val="both"/>
      </w:pPr>
      <w:r>
        <w:rPr>
          <w:sz w:val="20"/>
        </w:rPr>
        <w:t xml:space="preserve">В настоящем стандарте использованы следующие термины с соответствующими определениями и обозначениями:</w:t>
      </w:r>
    </w:p>
    <w:p>
      <w:pPr>
        <w:pStyle w:val="0"/>
        <w:spacing w:before="200" w:line-rule="auto"/>
        <w:ind w:firstLine="540"/>
        <w:jc w:val="both"/>
      </w:pPr>
      <w:r>
        <w:rPr>
          <w:sz w:val="20"/>
        </w:rPr>
        <w:t xml:space="preserve">3.1. Пожарное оборудование: оборудование, входящее в состав коммуникаций пожаротушения, а также средства технического обслуживания этого оборудования.</w:t>
      </w:r>
    </w:p>
    <w:p>
      <w:pPr>
        <w:pStyle w:val="0"/>
        <w:spacing w:before="200" w:line-rule="auto"/>
        <w:ind w:firstLine="540"/>
        <w:jc w:val="both"/>
      </w:pPr>
      <w:r>
        <w:rPr>
          <w:sz w:val="20"/>
        </w:rPr>
        <w:t xml:space="preserve">3.2. Пожарный рукав: гибкий трубопровод для транспортирования огнетушащих веществ и оборудованный при эксплуатации в боевом расчете пожарной машины, а также в составе пожарного крана, рукавными пожарными соединительными головками.</w:t>
      </w:r>
    </w:p>
    <w:p>
      <w:pPr>
        <w:pStyle w:val="0"/>
        <w:spacing w:before="200" w:line-rule="auto"/>
        <w:ind w:firstLine="540"/>
        <w:jc w:val="both"/>
      </w:pPr>
      <w:r>
        <w:rPr>
          <w:sz w:val="20"/>
        </w:rPr>
        <w:t xml:space="preserve">3.3. Напорный пожарный рукав: пожарный рукав, предназначенный для транспортирования огнетушащих веществ под избыточным давлением.</w:t>
      </w:r>
    </w:p>
    <w:p>
      <w:pPr>
        <w:pStyle w:val="0"/>
        <w:spacing w:before="200" w:line-rule="auto"/>
        <w:ind w:firstLine="540"/>
        <w:jc w:val="both"/>
      </w:pPr>
      <w:r>
        <w:rPr>
          <w:sz w:val="20"/>
        </w:rPr>
        <w:t xml:space="preserve">3.4. Всасывающий пожарный рукав: пожарный рукав жесткой конструкции, предназначенный для забора воды из водоисточника с помощью пожарного насоса и транспортирования ее для пожаротушения.</w:t>
      </w:r>
    </w:p>
    <w:p>
      <w:pPr>
        <w:pStyle w:val="0"/>
        <w:spacing w:before="200" w:line-rule="auto"/>
        <w:ind w:firstLine="540"/>
        <w:jc w:val="both"/>
      </w:pPr>
      <w:r>
        <w:rPr>
          <w:sz w:val="20"/>
        </w:rPr>
        <w:t xml:space="preserve">3.5. Напорно-всасывающий пожарный рукав: пожарный рукав жесткой конструкции, предназначенный для забора воды из водоисточника с помощью пожарного насоса или из системы противопожарного водоснабжения и транспортирования ее для пожаротушения.</w:t>
      </w:r>
    </w:p>
    <w:p>
      <w:pPr>
        <w:pStyle w:val="0"/>
        <w:spacing w:before="200" w:line-rule="auto"/>
        <w:ind w:firstLine="540"/>
        <w:jc w:val="both"/>
      </w:pPr>
      <w:r>
        <w:rPr>
          <w:sz w:val="20"/>
        </w:rPr>
        <w:t xml:space="preserve">3.6. Рукавная пожарная соединительная головка: пожарная соединительная головка с ниппелем для крепления пожарного рукава.</w:t>
      </w:r>
    </w:p>
    <w:p>
      <w:pPr>
        <w:pStyle w:val="0"/>
        <w:spacing w:before="200" w:line-rule="auto"/>
        <w:ind w:firstLine="540"/>
        <w:jc w:val="both"/>
      </w:pPr>
      <w:r>
        <w:rPr>
          <w:sz w:val="20"/>
        </w:rPr>
        <w:t xml:space="preserve">3.7. Условный проход (номинальный диаметр); DN: параметр, применяемый для трубопроводных систем в качестве характеристики присоединяемых частей, соединений трубопроводов, фитингов и арматуры. Условный проход не имеет единицы измерения и приблизительно равен внутреннему диаметру присоединяемого трубопровода, выраженному в миллиметрах.</w:t>
      </w:r>
    </w:p>
    <w:p>
      <w:pPr>
        <w:pStyle w:val="0"/>
        <w:spacing w:before="200" w:line-rule="auto"/>
        <w:ind w:firstLine="540"/>
        <w:jc w:val="both"/>
      </w:pPr>
      <w:r>
        <w:rPr>
          <w:sz w:val="20"/>
        </w:rPr>
        <w:t xml:space="preserve">3.8. Рабочее давление (номинальное давление); PN: наибольшее избыточное рабочее давление, при котором обеспечивается заданный срок службы (ресурс) корпусных деталей арматуры, имеющих определенные размеры, обоснованные расчетом на прочность при выбранных материалах и характеристиках прочности их при температуре рабочей среды 293 К (20 °C).</w:t>
      </w:r>
    </w:p>
    <w:p>
      <w:pPr>
        <w:pStyle w:val="0"/>
        <w:spacing w:before="200" w:line-rule="auto"/>
        <w:ind w:firstLine="540"/>
        <w:jc w:val="both"/>
      </w:pPr>
      <w:r>
        <w:rPr>
          <w:sz w:val="20"/>
        </w:rPr>
        <w:t xml:space="preserve">3.9. Работоспособное состояние (работоспособность): состояние пожарного оборудования, при котором значения всех параметров, характеризующих способность выполнять заданные функции, соответствуют требованиям нормативно-технической и (или) конструкторской документации (КД).</w:t>
      </w:r>
    </w:p>
    <w:p>
      <w:pPr>
        <w:pStyle w:val="0"/>
        <w:ind w:firstLine="540"/>
        <w:jc w:val="both"/>
      </w:pPr>
      <w:r>
        <w:rPr>
          <w:sz w:val="20"/>
        </w:rPr>
      </w:r>
    </w:p>
    <w:p>
      <w:pPr>
        <w:pStyle w:val="0"/>
        <w:outlineLvl w:val="1"/>
        <w:jc w:val="center"/>
      </w:pPr>
      <w:r>
        <w:rPr>
          <w:sz w:val="20"/>
        </w:rPr>
        <w:t xml:space="preserve">4. Классификация оборудования</w:t>
      </w:r>
    </w:p>
    <w:p>
      <w:pPr>
        <w:pStyle w:val="0"/>
        <w:ind w:firstLine="540"/>
        <w:jc w:val="both"/>
      </w:pPr>
      <w:r>
        <w:rPr>
          <w:sz w:val="20"/>
        </w:rPr>
      </w:r>
    </w:p>
    <w:bookmarkStart w:id="79" w:name="P79"/>
    <w:bookmarkEnd w:id="79"/>
    <w:p>
      <w:pPr>
        <w:pStyle w:val="0"/>
        <w:ind w:firstLine="540"/>
        <w:jc w:val="both"/>
      </w:pPr>
      <w:r>
        <w:rPr>
          <w:sz w:val="20"/>
        </w:rPr>
        <w:t xml:space="preserve">4.1. Оборудование подразделяется по функциональному назначению и включает в себя установки, машины, агрегаты, обеспечивающие выполнение:</w:t>
      </w:r>
    </w:p>
    <w:p>
      <w:pPr>
        <w:pStyle w:val="0"/>
        <w:spacing w:before="200" w:line-rule="auto"/>
        <w:ind w:firstLine="540"/>
        <w:jc w:val="both"/>
      </w:pPr>
      <w:r>
        <w:rPr>
          <w:sz w:val="20"/>
        </w:rPr>
        <w:t xml:space="preserve">- мойки и чистки пожарных рукавов;</w:t>
      </w:r>
    </w:p>
    <w:p>
      <w:pPr>
        <w:pStyle w:val="0"/>
        <w:spacing w:before="200" w:line-rule="auto"/>
        <w:ind w:firstLine="540"/>
        <w:jc w:val="both"/>
      </w:pPr>
      <w:r>
        <w:rPr>
          <w:sz w:val="20"/>
        </w:rPr>
        <w:t xml:space="preserve">- испытания пожарных рукавов на герметичность избыточным гидравлическим давлением;</w:t>
      </w:r>
    </w:p>
    <w:p>
      <w:pPr>
        <w:pStyle w:val="0"/>
        <w:spacing w:before="200" w:line-rule="auto"/>
        <w:ind w:firstLine="540"/>
        <w:jc w:val="both"/>
      </w:pPr>
      <w:r>
        <w:rPr>
          <w:sz w:val="20"/>
        </w:rPr>
        <w:t xml:space="preserve">- испытания всасывающих и напорно-всасывающих пожарных рукавов вакуумметрическим давлением;</w:t>
      </w:r>
    </w:p>
    <w:p>
      <w:pPr>
        <w:pStyle w:val="0"/>
        <w:spacing w:before="200" w:line-rule="auto"/>
        <w:ind w:firstLine="540"/>
        <w:jc w:val="both"/>
      </w:pPr>
      <w:r>
        <w:rPr>
          <w:sz w:val="20"/>
        </w:rPr>
        <w:t xml:space="preserve">- сушки пожарных рукавов;</w:t>
      </w:r>
    </w:p>
    <w:p>
      <w:pPr>
        <w:pStyle w:val="0"/>
        <w:spacing w:before="200" w:line-rule="auto"/>
        <w:ind w:firstLine="540"/>
        <w:jc w:val="both"/>
      </w:pPr>
      <w:r>
        <w:rPr>
          <w:sz w:val="20"/>
        </w:rPr>
        <w:t xml:space="preserve">- талькирования пожарных рукавов;</w:t>
      </w:r>
    </w:p>
    <w:p>
      <w:pPr>
        <w:pStyle w:val="0"/>
        <w:spacing w:before="200" w:line-rule="auto"/>
        <w:ind w:firstLine="540"/>
        <w:jc w:val="both"/>
      </w:pPr>
      <w:r>
        <w:rPr>
          <w:sz w:val="20"/>
        </w:rPr>
        <w:t xml:space="preserve">- скатки напорных пожарных рукавов;</w:t>
      </w:r>
    </w:p>
    <w:p>
      <w:pPr>
        <w:pStyle w:val="0"/>
        <w:spacing w:before="200" w:line-rule="auto"/>
        <w:ind w:firstLine="540"/>
        <w:jc w:val="both"/>
      </w:pPr>
      <w:r>
        <w:rPr>
          <w:sz w:val="20"/>
        </w:rPr>
        <w:t xml:space="preserve">- перекатки напорных пожарных рукавов на новое ребро;</w:t>
      </w:r>
    </w:p>
    <w:p>
      <w:pPr>
        <w:pStyle w:val="0"/>
        <w:spacing w:before="200" w:line-rule="auto"/>
        <w:ind w:firstLine="540"/>
        <w:jc w:val="both"/>
      </w:pPr>
      <w:r>
        <w:rPr>
          <w:sz w:val="20"/>
        </w:rPr>
        <w:t xml:space="preserve">- крепления пожарных рукавов с рукавными пожарными соединительными головками.</w:t>
      </w:r>
    </w:p>
    <w:p>
      <w:pPr>
        <w:pStyle w:val="0"/>
        <w:spacing w:before="200" w:line-rule="auto"/>
        <w:ind w:firstLine="540"/>
        <w:jc w:val="both"/>
      </w:pPr>
      <w:r>
        <w:rPr>
          <w:sz w:val="20"/>
        </w:rPr>
        <w:t xml:space="preserve">4.2. Оборудование может быть предназначено для выполнения как одного вида работ, так и быть универсальным, обеспечивающим выполнение нескольких видов работ, указанных в </w:t>
      </w:r>
      <w:hyperlink w:history="0" w:anchor="P79" w:tooltip="4.1. Оборудование подразделяется по функциональному назначению и включает в себя установки, машины, агрегаты, обеспечивающие выполнение:">
        <w:r>
          <w:rPr>
            <w:sz w:val="20"/>
            <w:color w:val="0000ff"/>
          </w:rPr>
          <w:t xml:space="preserve">4.1</w:t>
        </w:r>
      </w:hyperlink>
      <w:r>
        <w:rPr>
          <w:sz w:val="20"/>
        </w:rPr>
        <w:t xml:space="preserve">.</w:t>
      </w:r>
    </w:p>
    <w:p>
      <w:pPr>
        <w:pStyle w:val="0"/>
        <w:ind w:firstLine="540"/>
        <w:jc w:val="both"/>
      </w:pPr>
      <w:r>
        <w:rPr>
          <w:sz w:val="20"/>
        </w:rPr>
      </w:r>
    </w:p>
    <w:p>
      <w:pPr>
        <w:pStyle w:val="0"/>
        <w:outlineLvl w:val="1"/>
        <w:jc w:val="center"/>
      </w:pPr>
      <w:r>
        <w:rPr>
          <w:sz w:val="20"/>
        </w:rPr>
        <w:t xml:space="preserve">5. Общие технические требования</w:t>
      </w:r>
    </w:p>
    <w:p>
      <w:pPr>
        <w:pStyle w:val="0"/>
        <w:ind w:firstLine="540"/>
        <w:jc w:val="both"/>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пунктов 5.1, 5.2 обеспечивает соблюдение требований Федерального </w:t>
            </w:r>
            <w:hyperlink w:history="0" r:id="rId28"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29"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пунктов 5.1 - 5.9.3 обеспечивает соблюдение требований Федерального </w:t>
            </w:r>
            <w:hyperlink w:history="0" r:id="rId30"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31" w:tooltip="Приказ Ростехрегулирования от 30.04.2009 N 1573 (ред. от 30.07.2013) &quot;Об утверждении Перечня национальных стандартов и сводов,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Ростехрегулирования от 30.04.2009 N 1573).</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94" w:name="P94"/>
    <w:bookmarkEnd w:id="94"/>
    <w:p>
      <w:pPr>
        <w:pStyle w:val="0"/>
        <w:spacing w:before="260" w:line-rule="auto"/>
        <w:ind w:firstLine="540"/>
        <w:jc w:val="both"/>
      </w:pPr>
      <w:r>
        <w:rPr>
          <w:sz w:val="20"/>
        </w:rPr>
        <w:t xml:space="preserve">5.1. Оборудование должно быть оснащено электроприводом.</w:t>
      </w:r>
    </w:p>
    <w:p>
      <w:pPr>
        <w:pStyle w:val="0"/>
        <w:spacing w:before="200" w:line-rule="auto"/>
        <w:ind w:firstLine="540"/>
        <w:jc w:val="both"/>
      </w:pPr>
      <w:r>
        <w:rPr>
          <w:sz w:val="20"/>
        </w:rPr>
        <w:t xml:space="preserve">Допускается оборудование для испытания пожарных рукавов на герметичность избыточным гидравлическим давлением, для скатки и перекатки (на новое ребро) напорных пожарных рукавов и для крепления пожарных рукавов с рукавными пожарными соединительными головками изготовлять без электропривода.</w:t>
      </w:r>
    </w:p>
    <w:p>
      <w:pPr>
        <w:pStyle w:val="0"/>
        <w:spacing w:before="200" w:line-rule="auto"/>
        <w:ind w:firstLine="540"/>
        <w:jc w:val="both"/>
      </w:pPr>
      <w:r>
        <w:rPr>
          <w:sz w:val="20"/>
        </w:rPr>
        <w:t xml:space="preserve">5.2. Основные показатели оборудования по обслуживанию пожарных рукавов должны соответствовать значениям, приведенным в таблице 1.</w:t>
      </w:r>
    </w:p>
    <w:p>
      <w:pPr>
        <w:pStyle w:val="0"/>
        <w:ind w:firstLine="540"/>
        <w:jc w:val="both"/>
      </w:pPr>
      <w:r>
        <w:rPr>
          <w:sz w:val="20"/>
        </w:rPr>
      </w:r>
    </w:p>
    <w:bookmarkStart w:id="98" w:name="P98"/>
    <w:bookmarkEnd w:id="98"/>
    <w:p>
      <w:pPr>
        <w:pStyle w:val="0"/>
        <w:jc w:val="right"/>
      </w:pPr>
      <w:r>
        <w:rPr>
          <w:sz w:val="20"/>
        </w:rPr>
        <w:t xml:space="preserve">Таблица 1</w:t>
      </w:r>
    </w:p>
    <w:p>
      <w:pPr>
        <w:pStyle w:val="0"/>
        <w:ind w:firstLine="540"/>
        <w:jc w:val="both"/>
      </w:pPr>
      <w:r>
        <w:rPr>
          <w:sz w:val="20"/>
        </w:rPr>
      </w:r>
    </w:p>
    <w:tbl>
      <w:tblPr>
        <w:tblInd w:w="0" w:type="dxa"/>
        <w:tblLayout w:type="fixed"/>
        <w:tblBorders>
          <w:top w:val="single" w:sz="8"/>
          <w:left w:val="single" w:sz="8"/>
          <w:bottom w:val="single" w:sz="8"/>
          <w:right w:val="single" w:sz="8"/>
          <w:insideV w:val="single" w:sz="8"/>
          <w:insideH w:val="single" w:sz="8"/>
        </w:tblBorders>
        <w:tblCellMar>
          <w:top w:w="75" w:type="dxa"/>
          <w:left w:w="40" w:type="dxa"/>
          <w:bottom w:w="75" w:type="dxa"/>
          <w:right w:w="40" w:type="dxa"/>
        </w:tblCellMar>
      </w:tblPr>
      <w:tblGrid>
        <w:gridCol w:w="6318"/>
        <w:gridCol w:w="2340"/>
      </w:tblGrid>
      <w:tr>
        <w:trPr>
          <w:trHeight w:val="240" w:hRule="atLeast"/>
        </w:trPr>
        <w:tc>
          <w:tcPr>
            <w:tcW w:w="6435" w:type="dxa"/>
          </w:tcPr>
          <w:p>
            <w:pPr>
              <w:pStyle w:val="1"/>
              <w:jc w:val="both"/>
            </w:pPr>
            <w:r>
              <w:rPr>
                <w:sz w:val="20"/>
              </w:rPr>
              <w:t xml:space="preserve">               Наименование показателя               </w:t>
            </w:r>
          </w:p>
        </w:tc>
        <w:tc>
          <w:tcPr>
            <w:tcW w:w="2457" w:type="dxa"/>
          </w:tcPr>
          <w:p>
            <w:pPr>
              <w:pStyle w:val="1"/>
              <w:jc w:val="both"/>
            </w:pPr>
            <w:r>
              <w:rPr>
                <w:sz w:val="20"/>
              </w:rPr>
              <w:t xml:space="preserve">       Норма       </w:t>
            </w:r>
          </w:p>
        </w:tc>
      </w:tr>
      <w:tr>
        <w:trPr>
          <w:trHeight w:val="240" w:hRule="atLeast"/>
        </w:trPr>
        <w:tc>
          <w:tcPr>
            <w:tcW w:w="6435" w:type="dxa"/>
            <w:tcBorders>
              <w:top w:val="nil"/>
            </w:tcBorders>
          </w:tcPr>
          <w:p>
            <w:pPr>
              <w:pStyle w:val="1"/>
              <w:jc w:val="both"/>
            </w:pPr>
            <w:r>
              <w:rPr>
                <w:sz w:val="20"/>
              </w:rPr>
              <w:t xml:space="preserve"> Условный проход пожарного рукава или условные       </w:t>
            </w:r>
          </w:p>
          <w:p>
            <w:pPr>
              <w:pStyle w:val="1"/>
              <w:jc w:val="both"/>
            </w:pPr>
            <w:r>
              <w:rPr>
                <w:sz w:val="20"/>
              </w:rPr>
              <w:t xml:space="preserve">проходы пожарных рукавов, обслуживаемых              </w:t>
            </w:r>
          </w:p>
          <w:p>
            <w:pPr>
              <w:pStyle w:val="1"/>
              <w:jc w:val="both"/>
            </w:pPr>
            <w:r>
              <w:rPr>
                <w:sz w:val="20"/>
              </w:rPr>
              <w:t xml:space="preserve">на оборудовании                                      </w:t>
            </w:r>
          </w:p>
        </w:tc>
        <w:tc>
          <w:tcPr>
            <w:tcW w:w="2457" w:type="dxa"/>
            <w:tcBorders>
              <w:top w:val="nil"/>
            </w:tcBorders>
          </w:tcPr>
          <w:p>
            <w:pPr>
              <w:pStyle w:val="1"/>
              <w:jc w:val="both"/>
            </w:pPr>
            <w:r>
              <w:rPr>
                <w:sz w:val="20"/>
              </w:rPr>
              <w:t xml:space="preserve">  25, 40, 50, 65,  </w:t>
            </w:r>
          </w:p>
          <w:p>
            <w:pPr>
              <w:pStyle w:val="1"/>
              <w:jc w:val="both"/>
            </w:pPr>
            <w:r>
              <w:rPr>
                <w:sz w:val="20"/>
              </w:rPr>
              <w:t xml:space="preserve"> 80, 100, 125, 150 </w:t>
            </w:r>
          </w:p>
        </w:tc>
      </w:tr>
      <w:tr>
        <w:trPr>
          <w:trHeight w:val="240" w:hRule="atLeast"/>
        </w:trPr>
        <w:tc>
          <w:tcPr>
            <w:tcW w:w="6435" w:type="dxa"/>
            <w:tcBorders>
              <w:top w:val="nil"/>
            </w:tcBorders>
          </w:tcPr>
          <w:p>
            <w:pPr>
              <w:pStyle w:val="1"/>
              <w:jc w:val="both"/>
            </w:pPr>
            <w:r>
              <w:rPr>
                <w:sz w:val="20"/>
              </w:rPr>
              <w:t xml:space="preserve"> Длина обслуживаемых одного и более напорных пожарных</w:t>
            </w:r>
          </w:p>
          <w:p>
            <w:pPr>
              <w:pStyle w:val="1"/>
              <w:jc w:val="both"/>
            </w:pPr>
            <w:r>
              <w:rPr>
                <w:sz w:val="20"/>
              </w:rPr>
              <w:t xml:space="preserve">рукавов, м, не менее                                 </w:t>
            </w:r>
          </w:p>
        </w:tc>
        <w:tc>
          <w:tcPr>
            <w:tcW w:w="2457" w:type="dxa"/>
            <w:tcBorders>
              <w:top w:val="nil"/>
            </w:tcBorders>
          </w:tcPr>
          <w:p>
            <w:pPr>
              <w:pStyle w:val="1"/>
              <w:jc w:val="both"/>
            </w:pPr>
            <w:r>
              <w:rPr>
                <w:sz w:val="20"/>
              </w:rPr>
              <w:t xml:space="preserve">        20         </w:t>
            </w:r>
          </w:p>
        </w:tc>
      </w:tr>
      <w:tr>
        <w:trPr>
          <w:trHeight w:val="240" w:hRule="atLeast"/>
        </w:trPr>
        <w:tc>
          <w:tcPr>
            <w:tcW w:w="6435" w:type="dxa"/>
            <w:tcBorders>
              <w:top w:val="nil"/>
            </w:tcBorders>
          </w:tcPr>
          <w:p>
            <w:pPr>
              <w:pStyle w:val="1"/>
              <w:jc w:val="both"/>
            </w:pPr>
            <w:r>
              <w:rPr>
                <w:sz w:val="20"/>
              </w:rPr>
              <w:t xml:space="preserve"> Длина всасывающего или напорно-всасывающего         </w:t>
            </w:r>
          </w:p>
          <w:p>
            <w:pPr>
              <w:pStyle w:val="1"/>
              <w:jc w:val="both"/>
            </w:pPr>
            <w:r>
              <w:rPr>
                <w:sz w:val="20"/>
              </w:rPr>
              <w:t xml:space="preserve">пожарного рукава, м, не менее                        </w:t>
            </w:r>
          </w:p>
        </w:tc>
        <w:tc>
          <w:tcPr>
            <w:tcW w:w="2457" w:type="dxa"/>
            <w:tcBorders>
              <w:top w:val="nil"/>
            </w:tcBorders>
          </w:tcPr>
          <w:p>
            <w:pPr>
              <w:pStyle w:val="1"/>
              <w:jc w:val="both"/>
            </w:pPr>
            <w:r>
              <w:rPr>
                <w:sz w:val="20"/>
              </w:rPr>
              <w:t xml:space="preserve">         4         </w:t>
            </w:r>
          </w:p>
        </w:tc>
      </w:tr>
      <w:tr>
        <w:trPr>
          <w:trHeight w:val="240" w:hRule="atLeast"/>
        </w:trPr>
        <w:tc>
          <w:tcPr>
            <w:tcW w:w="6435" w:type="dxa"/>
            <w:tcBorders>
              <w:top w:val="nil"/>
            </w:tcBorders>
          </w:tcPr>
          <w:p>
            <w:pPr>
              <w:pStyle w:val="1"/>
              <w:jc w:val="both"/>
            </w:pPr>
            <w:r>
              <w:rPr>
                <w:sz w:val="20"/>
              </w:rPr>
              <w:t xml:space="preserve"> Работоспособность оборудования в диапазоне          </w:t>
            </w:r>
          </w:p>
          <w:p>
            <w:pPr>
              <w:pStyle w:val="1"/>
              <w:jc w:val="both"/>
            </w:pPr>
            <w:r>
              <w:rPr>
                <w:sz w:val="20"/>
              </w:rPr>
              <w:t xml:space="preserve">температур окружающей среды                          </w:t>
            </w:r>
          </w:p>
        </w:tc>
        <w:tc>
          <w:tcPr>
            <w:tcW w:w="2457" w:type="dxa"/>
            <w:tcBorders>
              <w:top w:val="nil"/>
            </w:tcBorders>
          </w:tcPr>
          <w:p>
            <w:pPr>
              <w:pStyle w:val="1"/>
              <w:jc w:val="both"/>
            </w:pPr>
            <w:r>
              <w:rPr>
                <w:sz w:val="20"/>
              </w:rPr>
              <w:t xml:space="preserve"> От 5 °C до 45 °C  </w:t>
            </w:r>
          </w:p>
        </w:tc>
      </w:tr>
      <w:tr>
        <w:trPr>
          <w:trHeight w:val="240" w:hRule="atLeast"/>
        </w:trPr>
        <w:tc>
          <w:tcPr>
            <w:tcW w:w="6435" w:type="dxa"/>
            <w:tcBorders>
              <w:top w:val="nil"/>
            </w:tcBorders>
          </w:tcPr>
          <w:p>
            <w:pPr>
              <w:pStyle w:val="1"/>
              <w:jc w:val="both"/>
            </w:pPr>
            <w:r>
              <w:rPr>
                <w:sz w:val="20"/>
              </w:rPr>
              <w:t xml:space="preserve"> Усилия на органах управления на всех режимах работы,</w:t>
            </w:r>
          </w:p>
          <w:p>
            <w:pPr>
              <w:pStyle w:val="1"/>
              <w:jc w:val="both"/>
            </w:pPr>
            <w:r>
              <w:rPr>
                <w:sz w:val="20"/>
              </w:rPr>
              <w:t xml:space="preserve">Н, не более                                          </w:t>
            </w:r>
          </w:p>
        </w:tc>
        <w:tc>
          <w:tcPr>
            <w:tcW w:w="2457" w:type="dxa"/>
            <w:tcBorders>
              <w:top w:val="nil"/>
            </w:tcBorders>
          </w:tcPr>
          <w:p>
            <w:pPr>
              <w:pStyle w:val="1"/>
              <w:jc w:val="both"/>
            </w:pPr>
            <w:r>
              <w:rPr>
                <w:sz w:val="20"/>
              </w:rPr>
              <w:t xml:space="preserve">       150         </w:t>
            </w:r>
          </w:p>
        </w:tc>
      </w:tr>
      <w:tr>
        <w:trPr>
          <w:trHeight w:val="240" w:hRule="atLeast"/>
        </w:trPr>
        <w:tc>
          <w:tcPr>
            <w:tcW w:w="6435" w:type="dxa"/>
            <w:tcBorders>
              <w:top w:val="nil"/>
            </w:tcBorders>
          </w:tcPr>
          <w:p>
            <w:pPr>
              <w:pStyle w:val="1"/>
              <w:jc w:val="both"/>
            </w:pPr>
            <w:r>
              <w:rPr>
                <w:sz w:val="20"/>
              </w:rPr>
              <w:t xml:space="preserve"> Назначенный срок службы оборудования, лет, не менее </w:t>
            </w:r>
          </w:p>
        </w:tc>
        <w:tc>
          <w:tcPr>
            <w:tcW w:w="2457" w:type="dxa"/>
            <w:tcBorders>
              <w:top w:val="nil"/>
            </w:tcBorders>
          </w:tcPr>
          <w:p>
            <w:pPr>
              <w:pStyle w:val="1"/>
              <w:jc w:val="both"/>
            </w:pPr>
            <w:r>
              <w:rPr>
                <w:sz w:val="20"/>
              </w:rPr>
              <w:t xml:space="preserve">        10         </w:t>
            </w:r>
          </w:p>
        </w:tc>
      </w:tr>
    </w:tbl>
    <w:p>
      <w:pPr>
        <w:pStyle w:val="0"/>
        <w:ind w:firstLine="540"/>
        <w:jc w:val="both"/>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5.3 обеспечивает соблюдение требований Федерального </w:t>
            </w:r>
            <w:hyperlink w:history="0" r:id="rId32"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33"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5.3. Контрольно-измерительные приборы и устройства управления, функциональное назначение которых требует пояснения, должны иметь маркировку с соответствующими надписями или (и) обозначениями рабочих (регулирующих) положений.</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пунктов 5.4, 5.5 обеспечивает соблюдение требований Федерального </w:t>
            </w:r>
            <w:hyperlink w:history="0" r:id="rId34"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35"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25" w:name="P125"/>
    <w:bookmarkEnd w:id="125"/>
    <w:p>
      <w:pPr>
        <w:pStyle w:val="0"/>
        <w:spacing w:before="260" w:line-rule="auto"/>
        <w:ind w:firstLine="540"/>
        <w:jc w:val="both"/>
      </w:pPr>
      <w:r>
        <w:rPr>
          <w:sz w:val="20"/>
        </w:rPr>
        <w:t xml:space="preserve">5.4. Время мойки и чистки пожарных рукавов устанавливают в КД изготовителя. Время мойки и чистки напорного пожарного рукава с условным проходом 50 и длиной 20 м не должно быть более 4 мин.</w:t>
      </w:r>
    </w:p>
    <w:p>
      <w:pPr>
        <w:pStyle w:val="0"/>
        <w:spacing w:before="200" w:line-rule="auto"/>
        <w:ind w:firstLine="540"/>
        <w:jc w:val="both"/>
      </w:pPr>
      <w:r>
        <w:rPr>
          <w:sz w:val="20"/>
        </w:rPr>
        <w:t xml:space="preserve">5.5. Основные показатели оборудования для испытаний пожарных рукавов на герметичность при избыточном гидравлическом давлении должны соответствовать значениям, приведенным в таблице 2.</w:t>
      </w:r>
    </w:p>
    <w:p>
      <w:pPr>
        <w:pStyle w:val="0"/>
        <w:ind w:firstLine="540"/>
        <w:jc w:val="both"/>
      </w:pPr>
      <w:r>
        <w:rPr>
          <w:sz w:val="20"/>
        </w:rPr>
      </w:r>
    </w:p>
    <w:bookmarkStart w:id="128" w:name="P128"/>
    <w:bookmarkEnd w:id="128"/>
    <w:p>
      <w:pPr>
        <w:pStyle w:val="0"/>
        <w:jc w:val="right"/>
      </w:pPr>
      <w:r>
        <w:rPr>
          <w:sz w:val="20"/>
        </w:rPr>
        <w:t xml:space="preserve">Таблица 2</w:t>
      </w:r>
    </w:p>
    <w:p>
      <w:pPr>
        <w:pStyle w:val="0"/>
        <w:ind w:firstLine="540"/>
        <w:jc w:val="both"/>
      </w:pPr>
      <w:r>
        <w:rPr>
          <w:sz w:val="20"/>
        </w:rPr>
      </w:r>
    </w:p>
    <w:tbl>
      <w:tblPr>
        <w:tblInd w:w="0" w:type="dxa"/>
        <w:tblLayout w:type="fixed"/>
        <w:tblBorders>
          <w:top w:val="single" w:sz="8"/>
          <w:left w:val="single" w:sz="8"/>
          <w:bottom w:val="single" w:sz="8"/>
          <w:right w:val="single" w:sz="8"/>
          <w:insideV w:val="single" w:sz="8"/>
          <w:insideH w:val="single" w:sz="8"/>
        </w:tblBorders>
        <w:tblCellMar>
          <w:top w:w="75" w:type="dxa"/>
          <w:left w:w="40" w:type="dxa"/>
          <w:bottom w:w="75" w:type="dxa"/>
          <w:right w:w="40" w:type="dxa"/>
        </w:tblCellMar>
      </w:tblPr>
      <w:tblGrid>
        <w:gridCol w:w="7254"/>
        <w:gridCol w:w="1404"/>
      </w:tblGrid>
      <w:tr>
        <w:trPr>
          <w:trHeight w:val="240" w:hRule="atLeast"/>
        </w:trPr>
        <w:tc>
          <w:tcPr>
            <w:tcW w:w="7371" w:type="dxa"/>
          </w:tcPr>
          <w:p>
            <w:pPr>
              <w:pStyle w:val="1"/>
              <w:jc w:val="both"/>
            </w:pPr>
            <w:r>
              <w:rPr>
                <w:sz w:val="20"/>
              </w:rPr>
              <w:t xml:space="preserve">                   Наименование показателя                   </w:t>
            </w:r>
          </w:p>
        </w:tc>
        <w:tc>
          <w:tcPr>
            <w:tcW w:w="1521" w:type="dxa"/>
          </w:tcPr>
          <w:p>
            <w:pPr>
              <w:pStyle w:val="1"/>
              <w:jc w:val="both"/>
            </w:pPr>
            <w:r>
              <w:rPr>
                <w:sz w:val="20"/>
              </w:rPr>
              <w:t xml:space="preserve">   Норма   </w:t>
            </w:r>
          </w:p>
        </w:tc>
      </w:tr>
      <w:tr>
        <w:trPr>
          <w:trHeight w:val="240" w:hRule="atLeast"/>
        </w:trPr>
        <w:tc>
          <w:tcPr>
            <w:tcW w:w="7371" w:type="dxa"/>
            <w:tcBorders>
              <w:top w:val="nil"/>
            </w:tcBorders>
          </w:tcPr>
          <w:p>
            <w:pPr>
              <w:pStyle w:val="1"/>
              <w:jc w:val="both"/>
            </w:pPr>
            <w:r>
              <w:rPr>
                <w:sz w:val="20"/>
              </w:rPr>
              <w:t xml:space="preserve"> Рабочее гидравлическое давление оборудования, МПа, не менее </w:t>
            </w:r>
          </w:p>
        </w:tc>
        <w:tc>
          <w:tcPr>
            <w:tcW w:w="1521" w:type="dxa"/>
            <w:tcBorders>
              <w:top w:val="nil"/>
            </w:tcBorders>
          </w:tcPr>
          <w:p>
            <w:pPr>
              <w:pStyle w:val="1"/>
              <w:jc w:val="both"/>
            </w:pPr>
            <w:r>
              <w:rPr>
                <w:sz w:val="20"/>
              </w:rPr>
              <w:t xml:space="preserve">    2,0    </w:t>
            </w:r>
          </w:p>
        </w:tc>
      </w:tr>
      <w:tr>
        <w:trPr>
          <w:trHeight w:val="240" w:hRule="atLeast"/>
        </w:trPr>
        <w:tc>
          <w:tcPr>
            <w:tcW w:w="7371" w:type="dxa"/>
            <w:tcBorders>
              <w:top w:val="nil"/>
            </w:tcBorders>
          </w:tcPr>
          <w:p>
            <w:pPr>
              <w:pStyle w:val="1"/>
              <w:jc w:val="both"/>
            </w:pPr>
            <w:r>
              <w:rPr>
                <w:sz w:val="20"/>
              </w:rPr>
              <w:t xml:space="preserve"> Скорость повышения давления в образце пожарного рукава,     </w:t>
            </w:r>
          </w:p>
          <w:p>
            <w:pPr>
              <w:pStyle w:val="1"/>
              <w:jc w:val="both"/>
            </w:pPr>
            <w:r>
              <w:rPr>
                <w:sz w:val="20"/>
              </w:rPr>
              <w:t xml:space="preserve">МПа/с, не более                                              </w:t>
            </w:r>
          </w:p>
        </w:tc>
        <w:tc>
          <w:tcPr>
            <w:tcW w:w="1521" w:type="dxa"/>
            <w:tcBorders>
              <w:top w:val="nil"/>
            </w:tcBorders>
          </w:tcPr>
          <w:p>
            <w:pPr>
              <w:pStyle w:val="1"/>
              <w:jc w:val="both"/>
            </w:pPr>
            <w:r>
              <w:rPr>
                <w:sz w:val="20"/>
              </w:rPr>
              <w:t xml:space="preserve">    0,3    </w:t>
            </w:r>
          </w:p>
        </w:tc>
      </w:tr>
    </w:tbl>
    <w:p>
      <w:pPr>
        <w:pStyle w:val="0"/>
        <w:ind w:firstLine="540"/>
        <w:jc w:val="both"/>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5.6 обеспечивает соблюдение требований Федерального </w:t>
            </w:r>
            <w:hyperlink w:history="0" r:id="rId36"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37"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5.6. Основные показатели оборудования для испытаний всасывающих и напорно-всасывающих пожарных рукавов на герметичность вакуумметрическим рабочим давлением должны соответствовать значениям, приведенным в таблице 3.</w:t>
      </w:r>
    </w:p>
    <w:p>
      <w:pPr>
        <w:pStyle w:val="0"/>
        <w:ind w:firstLine="540"/>
        <w:jc w:val="both"/>
      </w:pPr>
      <w:r>
        <w:rPr>
          <w:sz w:val="20"/>
        </w:rPr>
      </w:r>
    </w:p>
    <w:p>
      <w:pPr>
        <w:pStyle w:val="0"/>
        <w:jc w:val="right"/>
      </w:pPr>
      <w:r>
        <w:rPr>
          <w:sz w:val="20"/>
        </w:rPr>
        <w:t xml:space="preserve">Таблица 3</w:t>
      </w:r>
    </w:p>
    <w:p>
      <w:pPr>
        <w:pStyle w:val="0"/>
        <w:ind w:firstLine="540"/>
        <w:jc w:val="both"/>
      </w:pPr>
      <w:r>
        <w:rPr>
          <w:sz w:val="20"/>
        </w:rPr>
      </w:r>
    </w:p>
    <w:tbl>
      <w:tblPr>
        <w:tblInd w:w="0" w:type="dxa"/>
        <w:tblLayout w:type="fixed"/>
        <w:tblBorders>
          <w:top w:val="single" w:sz="8"/>
          <w:left w:val="single" w:sz="8"/>
          <w:bottom w:val="single" w:sz="8"/>
          <w:right w:val="single" w:sz="8"/>
          <w:insideV w:val="single" w:sz="8"/>
          <w:insideH w:val="single" w:sz="8"/>
        </w:tblBorders>
        <w:tblCellMar>
          <w:top w:w="75" w:type="dxa"/>
          <w:left w:w="40" w:type="dxa"/>
          <w:bottom w:w="75" w:type="dxa"/>
          <w:right w:w="40" w:type="dxa"/>
        </w:tblCellMar>
      </w:tblPr>
      <w:tblGrid>
        <w:gridCol w:w="7254"/>
        <w:gridCol w:w="1404"/>
      </w:tblGrid>
      <w:tr>
        <w:trPr>
          <w:trHeight w:val="240" w:hRule="atLeast"/>
        </w:trPr>
        <w:tc>
          <w:tcPr>
            <w:tcW w:w="7371" w:type="dxa"/>
          </w:tcPr>
          <w:p>
            <w:pPr>
              <w:pStyle w:val="1"/>
              <w:jc w:val="both"/>
            </w:pPr>
            <w:r>
              <w:rPr>
                <w:sz w:val="20"/>
              </w:rPr>
              <w:t xml:space="preserve">                   Наименование показателя                   </w:t>
            </w:r>
          </w:p>
        </w:tc>
        <w:tc>
          <w:tcPr>
            <w:tcW w:w="1521" w:type="dxa"/>
          </w:tcPr>
          <w:p>
            <w:pPr>
              <w:pStyle w:val="1"/>
              <w:jc w:val="both"/>
            </w:pPr>
            <w:r>
              <w:rPr>
                <w:sz w:val="20"/>
              </w:rPr>
              <w:t xml:space="preserve">   Норма   </w:t>
            </w:r>
          </w:p>
        </w:tc>
      </w:tr>
      <w:tr>
        <w:trPr>
          <w:trHeight w:val="240" w:hRule="atLeast"/>
        </w:trPr>
        <w:tc>
          <w:tcPr>
            <w:tcW w:w="7371" w:type="dxa"/>
            <w:tcBorders>
              <w:top w:val="nil"/>
            </w:tcBorders>
          </w:tcPr>
          <w:p>
            <w:pPr>
              <w:pStyle w:val="1"/>
              <w:jc w:val="both"/>
            </w:pPr>
            <w:r>
              <w:rPr>
                <w:sz w:val="20"/>
              </w:rPr>
              <w:t xml:space="preserve"> Вакуумметрическое рабочее давление, МПа, не более           </w:t>
            </w:r>
          </w:p>
        </w:tc>
        <w:tc>
          <w:tcPr>
            <w:tcW w:w="1521" w:type="dxa"/>
            <w:tcBorders>
              <w:top w:val="nil"/>
            </w:tcBorders>
          </w:tcPr>
          <w:p>
            <w:pPr>
              <w:pStyle w:val="1"/>
              <w:jc w:val="both"/>
            </w:pPr>
            <w:r>
              <w:rPr>
                <w:sz w:val="20"/>
              </w:rPr>
              <w:t xml:space="preserve">   0,08    </w:t>
            </w:r>
          </w:p>
        </w:tc>
      </w:tr>
      <w:tr>
        <w:trPr>
          <w:trHeight w:val="240" w:hRule="atLeast"/>
        </w:trPr>
        <w:tc>
          <w:tcPr>
            <w:tcW w:w="7371" w:type="dxa"/>
            <w:tcBorders>
              <w:top w:val="nil"/>
            </w:tcBorders>
          </w:tcPr>
          <w:p>
            <w:pPr>
              <w:pStyle w:val="1"/>
              <w:jc w:val="both"/>
            </w:pPr>
            <w:r>
              <w:rPr>
                <w:sz w:val="20"/>
              </w:rPr>
              <w:t xml:space="preserve"> Производительность, дм3/с, не менее                         </w:t>
            </w:r>
          </w:p>
        </w:tc>
        <w:tc>
          <w:tcPr>
            <w:tcW w:w="1521" w:type="dxa"/>
            <w:tcBorders>
              <w:top w:val="nil"/>
            </w:tcBorders>
          </w:tcPr>
          <w:p>
            <w:pPr>
              <w:pStyle w:val="1"/>
              <w:jc w:val="both"/>
            </w:pPr>
            <w:r>
              <w:rPr>
                <w:sz w:val="20"/>
              </w:rPr>
              <w:t xml:space="preserve">   0,40    </w:t>
            </w:r>
          </w:p>
        </w:tc>
      </w:tr>
    </w:tbl>
    <w:p>
      <w:pPr>
        <w:pStyle w:val="0"/>
        <w:ind w:firstLine="540"/>
        <w:jc w:val="both"/>
      </w:pPr>
      <w:r>
        <w:rPr>
          <w:sz w:val="20"/>
        </w:rPr>
      </w:r>
    </w:p>
    <w:p>
      <w:pPr>
        <w:pStyle w:val="0"/>
        <w:ind w:firstLine="540"/>
        <w:jc w:val="both"/>
      </w:pPr>
      <w:r>
        <w:rPr>
          <w:sz w:val="20"/>
        </w:rPr>
        <w:t xml:space="preserve">Принципиальная схема оборудования должна соответствовать схеме, приведенной на рисунке 1. Для измерения вакуумметрического рабочего давления допускается использовать вакуумметр.</w:t>
      </w:r>
    </w:p>
    <w:p>
      <w:pPr>
        <w:pStyle w:val="0"/>
        <w:ind w:firstLine="540"/>
        <w:jc w:val="both"/>
      </w:pPr>
      <w:r>
        <w:rPr>
          <w:sz w:val="20"/>
        </w:rPr>
      </w:r>
    </w:p>
    <w:p>
      <w:pPr>
        <w:pStyle w:val="0"/>
        <w:jc w:val="center"/>
      </w:pPr>
      <w:r>
        <w:rPr>
          <w:position w:val="-149"/>
        </w:rPr>
        <w:drawing>
          <wp:inline distT="0" distB="0" distL="0" distR="0">
            <wp:extent cx="3867785" cy="202692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38">
                      <a:extLst>
                        <a:ext uri="{28A0092B-C50C-407E-A947-70E740481C1C}">
                          <a14:useLocalDpi xmlns:a14="http://schemas.microsoft.com/office/drawing/2010/main" val="0"/>
                        </a:ext>
                      </a:extLst>
                    </a:blip>
                    <a:srcRect/>
                    <a:stretch>
                      <a:fillRect/>
                    </a:stretch>
                  </pic:blipFill>
                  <pic:spPr bwMode="auto">
                    <a:xfrm>
                      <a:off x="0" y="0"/>
                      <a:ext cx="3867785" cy="2026920"/>
                    </a:xfrm>
                    <a:prstGeom prst="rect">
                      <a:avLst/>
                    </a:prstGeom>
                    <a:noFill/>
                    <a:ln>
                      <a:noFill/>
                    </a:ln>
                  </pic:spPr>
                </pic:pic>
              </a:graphicData>
            </a:graphic>
          </wp:inline>
        </w:drawing>
      </w:r>
    </w:p>
    <w:p>
      <w:pPr>
        <w:pStyle w:val="0"/>
        <w:jc w:val="center"/>
      </w:pPr>
      <w:r>
        <w:rPr>
          <w:sz w:val="20"/>
        </w:rPr>
      </w:r>
    </w:p>
    <w:p>
      <w:pPr>
        <w:pStyle w:val="0"/>
        <w:jc w:val="center"/>
      </w:pPr>
      <w:r>
        <w:rPr>
          <w:sz w:val="20"/>
        </w:rPr>
        <w:t xml:space="preserve">1 - мановакуумметр; 2 - всасывающий</w:t>
      </w:r>
    </w:p>
    <w:p>
      <w:pPr>
        <w:pStyle w:val="0"/>
        <w:jc w:val="center"/>
      </w:pPr>
      <w:r>
        <w:rPr>
          <w:sz w:val="20"/>
        </w:rPr>
        <w:t xml:space="preserve">или напорно-всасывающий пожарный рукав;</w:t>
      </w:r>
    </w:p>
    <w:p>
      <w:pPr>
        <w:pStyle w:val="0"/>
        <w:jc w:val="center"/>
      </w:pPr>
      <w:r>
        <w:rPr>
          <w:sz w:val="20"/>
        </w:rPr>
        <w:t xml:space="preserve">3 - вакуумный насос</w:t>
      </w:r>
    </w:p>
    <w:p>
      <w:pPr>
        <w:pStyle w:val="0"/>
        <w:jc w:val="center"/>
      </w:pPr>
      <w:r>
        <w:rPr>
          <w:sz w:val="20"/>
        </w:rPr>
      </w:r>
    </w:p>
    <w:bookmarkStart w:id="160" w:name="P160"/>
    <w:bookmarkEnd w:id="160"/>
    <w:p>
      <w:pPr>
        <w:pStyle w:val="0"/>
        <w:jc w:val="center"/>
      </w:pPr>
      <w:r>
        <w:rPr>
          <w:sz w:val="20"/>
        </w:rPr>
        <w:t xml:space="preserve">Рисунок 1</w:t>
      </w:r>
    </w:p>
    <w:p>
      <w:pPr>
        <w:pStyle w:val="0"/>
        <w:ind w:firstLine="540"/>
        <w:jc w:val="both"/>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5.7 обеспечивает соблюдение требований Федерального </w:t>
            </w:r>
            <w:hyperlink w:history="0" r:id="rId39"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40"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5.7. Основные показатели оборудования для сушки пожарных рукавов должны соответствовать значениям, приведенным в таблице 4.</w:t>
      </w:r>
    </w:p>
    <w:p>
      <w:pPr>
        <w:pStyle w:val="0"/>
        <w:ind w:firstLine="540"/>
        <w:jc w:val="both"/>
      </w:pPr>
      <w:r>
        <w:rPr>
          <w:sz w:val="20"/>
        </w:rPr>
      </w:r>
    </w:p>
    <w:p>
      <w:pPr>
        <w:pStyle w:val="0"/>
        <w:jc w:val="right"/>
      </w:pPr>
      <w:r>
        <w:rPr>
          <w:sz w:val="20"/>
        </w:rPr>
        <w:t xml:space="preserve">Таблица 4</w:t>
      </w:r>
    </w:p>
    <w:p>
      <w:pPr>
        <w:pStyle w:val="0"/>
        <w:ind w:firstLine="540"/>
        <w:jc w:val="both"/>
      </w:pPr>
      <w:r>
        <w:rPr>
          <w:sz w:val="20"/>
        </w:rPr>
      </w:r>
    </w:p>
    <w:tbl>
      <w:tblPr>
        <w:tblInd w:w="0" w:type="dxa"/>
        <w:tblLayout w:type="fixed"/>
        <w:tblBorders>
          <w:top w:val="single" w:sz="8"/>
          <w:left w:val="single" w:sz="8"/>
          <w:bottom w:val="single" w:sz="8"/>
          <w:right w:val="single" w:sz="8"/>
          <w:insideV w:val="single" w:sz="8"/>
          <w:insideH w:val="single" w:sz="8"/>
        </w:tblBorders>
        <w:tblCellMar>
          <w:top w:w="75" w:type="dxa"/>
          <w:left w:w="40" w:type="dxa"/>
          <w:bottom w:w="75" w:type="dxa"/>
          <w:right w:w="40" w:type="dxa"/>
        </w:tblCellMar>
      </w:tblPr>
      <w:tblGrid>
        <w:gridCol w:w="7254"/>
        <w:gridCol w:w="1404"/>
      </w:tblGrid>
      <w:tr>
        <w:trPr>
          <w:trHeight w:val="240" w:hRule="atLeast"/>
        </w:trPr>
        <w:tc>
          <w:tcPr>
            <w:tcW w:w="7371" w:type="dxa"/>
          </w:tcPr>
          <w:p>
            <w:pPr>
              <w:pStyle w:val="1"/>
              <w:jc w:val="both"/>
            </w:pPr>
            <w:r>
              <w:rPr>
                <w:sz w:val="20"/>
              </w:rPr>
              <w:t xml:space="preserve">                   Наименование показателя                   </w:t>
            </w:r>
          </w:p>
        </w:tc>
        <w:tc>
          <w:tcPr>
            <w:tcW w:w="1521" w:type="dxa"/>
          </w:tcPr>
          <w:p>
            <w:pPr>
              <w:pStyle w:val="1"/>
              <w:jc w:val="both"/>
            </w:pPr>
            <w:r>
              <w:rPr>
                <w:sz w:val="20"/>
              </w:rPr>
              <w:t xml:space="preserve">   Норма   </w:t>
            </w:r>
          </w:p>
        </w:tc>
      </w:tr>
      <w:tr>
        <w:trPr>
          <w:trHeight w:val="240" w:hRule="atLeast"/>
        </w:trPr>
        <w:tc>
          <w:tcPr>
            <w:tcW w:w="7371" w:type="dxa"/>
            <w:tcBorders>
              <w:top w:val="nil"/>
            </w:tcBorders>
          </w:tcPr>
          <w:p>
            <w:pPr>
              <w:pStyle w:val="1"/>
              <w:jc w:val="both"/>
            </w:pPr>
            <w:r>
              <w:rPr>
                <w:sz w:val="20"/>
              </w:rPr>
              <w:t xml:space="preserve"> Температура сушки, °C                                       </w:t>
            </w:r>
          </w:p>
        </w:tc>
        <w:tc>
          <w:tcPr>
            <w:tcW w:w="1521" w:type="dxa"/>
            <w:tcBorders>
              <w:top w:val="nil"/>
            </w:tcBorders>
          </w:tcPr>
          <w:p>
            <w:pPr>
              <w:pStyle w:val="1"/>
              <w:jc w:val="both"/>
            </w:pPr>
            <w:r>
              <w:rPr>
                <w:sz w:val="20"/>
              </w:rPr>
              <w:t xml:space="preserve"> 50 +/- 5  </w:t>
            </w:r>
          </w:p>
        </w:tc>
      </w:tr>
      <w:tr>
        <w:trPr>
          <w:trHeight w:val="240" w:hRule="atLeast"/>
        </w:trPr>
        <w:tc>
          <w:tcPr>
            <w:tcW w:w="7371" w:type="dxa"/>
            <w:tcBorders>
              <w:top w:val="nil"/>
            </w:tcBorders>
          </w:tcPr>
          <w:p>
            <w:pPr>
              <w:pStyle w:val="1"/>
              <w:jc w:val="both"/>
            </w:pPr>
            <w:r>
              <w:rPr>
                <w:sz w:val="20"/>
              </w:rPr>
              <w:t xml:space="preserve"> Стабильность поддержания температуры сушки в течение, ч,    </w:t>
            </w:r>
          </w:p>
          <w:p>
            <w:pPr>
              <w:pStyle w:val="1"/>
              <w:jc w:val="both"/>
            </w:pPr>
            <w:r>
              <w:rPr>
                <w:sz w:val="20"/>
              </w:rPr>
              <w:t xml:space="preserve">не менее                                                     </w:t>
            </w:r>
          </w:p>
        </w:tc>
        <w:tc>
          <w:tcPr>
            <w:tcW w:w="1521" w:type="dxa"/>
            <w:tcBorders>
              <w:top w:val="nil"/>
            </w:tcBorders>
          </w:tcPr>
          <w:p>
            <w:pPr>
              <w:pStyle w:val="1"/>
              <w:jc w:val="both"/>
            </w:pPr>
            <w:r>
              <w:rPr>
                <w:sz w:val="20"/>
              </w:rPr>
              <w:t xml:space="preserve">    1,0    </w:t>
            </w:r>
          </w:p>
        </w:tc>
      </w:tr>
    </w:tbl>
    <w:p>
      <w:pPr>
        <w:pStyle w:val="0"/>
        <w:ind w:firstLine="540"/>
        <w:jc w:val="both"/>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5.8 обеспечивает соблюдение требований Федерального </w:t>
            </w:r>
            <w:hyperlink w:history="0" r:id="rId41"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42"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5.8. Основные показатели оборудования для крепления пожарных рукавов с рукавными пожарными соединительными головками вязальной проволокой должны соответствовать значениям, приведенным в таблице 5.</w:t>
      </w:r>
    </w:p>
    <w:p>
      <w:pPr>
        <w:pStyle w:val="0"/>
        <w:ind w:firstLine="540"/>
        <w:jc w:val="both"/>
      </w:pPr>
      <w:r>
        <w:rPr>
          <w:sz w:val="20"/>
        </w:rPr>
      </w:r>
    </w:p>
    <w:bookmarkStart w:id="179" w:name="P179"/>
    <w:bookmarkEnd w:id="179"/>
    <w:p>
      <w:pPr>
        <w:pStyle w:val="0"/>
        <w:jc w:val="right"/>
      </w:pPr>
      <w:r>
        <w:rPr>
          <w:sz w:val="20"/>
        </w:rPr>
        <w:t xml:space="preserve">Таблица 5</w:t>
      </w:r>
    </w:p>
    <w:p>
      <w:pPr>
        <w:pStyle w:val="0"/>
        <w:ind w:firstLine="540"/>
        <w:jc w:val="both"/>
      </w:pPr>
      <w:r>
        <w:rPr>
          <w:sz w:val="20"/>
        </w:rPr>
      </w:r>
    </w:p>
    <w:p>
      <w:pPr>
        <w:pStyle w:val="3"/>
        <w:jc w:val="both"/>
      </w:pPr>
      <w:r>
        <w:rPr>
          <w:sz w:val="20"/>
        </w:rPr>
        <w:t xml:space="preserve">┌───────────────────────────────────────────────┬─────────────────────────┐</w:t>
      </w:r>
    </w:p>
    <w:p>
      <w:pPr>
        <w:pStyle w:val="3"/>
        <w:jc w:val="both"/>
      </w:pPr>
      <w:r>
        <w:rPr>
          <w:sz w:val="20"/>
        </w:rPr>
        <w:t xml:space="preserve">│            Наименование показателя            │          Норма          │</w:t>
      </w:r>
    </w:p>
    <w:p>
      <w:pPr>
        <w:pStyle w:val="3"/>
        <w:jc w:val="both"/>
      </w:pPr>
      <w:r>
        <w:rPr>
          <w:sz w:val="20"/>
        </w:rPr>
        <w:t xml:space="preserve">├───────────────────────────────────────────────┼─────────────────────────┤</w:t>
      </w:r>
    </w:p>
    <w:p>
      <w:pPr>
        <w:pStyle w:val="3"/>
        <w:jc w:val="both"/>
      </w:pPr>
      <w:r>
        <w:rPr>
          <w:sz w:val="20"/>
        </w:rPr>
        <w:t xml:space="preserve">│ Усилие натяжения вязальной проволоки, Н (кгс) │  400 +/- 30 (40 +/- 3)  │</w:t>
      </w:r>
    </w:p>
    <w:p>
      <w:pPr>
        <w:pStyle w:val="3"/>
        <w:jc w:val="both"/>
      </w:pPr>
      <w:r>
        <w:rPr>
          <w:sz w:val="20"/>
        </w:rPr>
        <w:t xml:space="preserve">│                                               │           или           │</w:t>
      </w:r>
    </w:p>
    <w:p>
      <w:pPr>
        <w:pStyle w:val="3"/>
        <w:jc w:val="both"/>
      </w:pPr>
      <w:r>
        <w:rPr>
          <w:sz w:val="20"/>
        </w:rPr>
        <w:t xml:space="preserve">│                                               │  600 +/- 40 (60 +/- 4)  │</w:t>
      </w:r>
    </w:p>
    <w:p>
      <w:pPr>
        <w:pStyle w:val="3"/>
        <w:jc w:val="both"/>
      </w:pPr>
      <w:r>
        <w:rPr>
          <w:sz w:val="20"/>
        </w:rPr>
        <w:t xml:space="preserve">├───────────────────────────────────────────────┼─────────────────────────┤</w:t>
      </w:r>
    </w:p>
    <w:p>
      <w:pPr>
        <w:pStyle w:val="3"/>
        <w:jc w:val="both"/>
      </w:pPr>
      <w:r>
        <w:rPr>
          <w:sz w:val="20"/>
        </w:rPr>
        <w:t xml:space="preserve">│ Регулировка усилия натяжения вязальной        │ От 300 (30) до 400 (40) │</w:t>
      </w:r>
    </w:p>
    <w:p>
      <w:pPr>
        <w:pStyle w:val="3"/>
        <w:jc w:val="both"/>
      </w:pPr>
      <w:r>
        <w:rPr>
          <w:sz w:val="20"/>
        </w:rPr>
        <w:t xml:space="preserve">│проволоки, Н (кгс)                             │           или           │</w:t>
      </w:r>
    </w:p>
    <w:p>
      <w:pPr>
        <w:pStyle w:val="3"/>
        <w:jc w:val="both"/>
      </w:pPr>
      <w:r>
        <w:rPr>
          <w:sz w:val="20"/>
        </w:rPr>
        <w:t xml:space="preserve">│                                               │ от 300 (30) до 600 (60) │</w:t>
      </w:r>
    </w:p>
    <w:p>
      <w:pPr>
        <w:pStyle w:val="3"/>
        <w:jc w:val="both"/>
      </w:pPr>
      <w:r>
        <w:rPr>
          <w:sz w:val="20"/>
        </w:rPr>
        <w:t xml:space="preserve">├───────────────────────────────────────────────┼─────────────────────────┤</w:t>
      </w:r>
    </w:p>
    <w:p>
      <w:pPr>
        <w:pStyle w:val="3"/>
        <w:jc w:val="both"/>
      </w:pPr>
      <w:r>
        <w:rPr>
          <w:sz w:val="20"/>
        </w:rPr>
        <w:t xml:space="preserve">│ Диаметр проволоки, мм                         │        1,6 - 2,0        │</w:t>
      </w:r>
    </w:p>
    <w:p>
      <w:pPr>
        <w:pStyle w:val="3"/>
        <w:jc w:val="both"/>
      </w:pPr>
      <w:r>
        <w:rPr>
          <w:sz w:val="20"/>
        </w:rPr>
        <w:t xml:space="preserve">└───────────────────────────────────────────────┴─────────────────────────┘</w:t>
      </w:r>
    </w:p>
    <w:p>
      <w:pPr>
        <w:pStyle w:val="0"/>
        <w:ind w:firstLine="540"/>
        <w:jc w:val="both"/>
      </w:pPr>
      <w:r>
        <w:rPr>
          <w:sz w:val="20"/>
        </w:rPr>
      </w: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пунктов 5.9, 5.9.1 обеспечивает соблюдение требований Федерального </w:t>
            </w:r>
            <w:hyperlink w:history="0" r:id="rId43"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44"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196" w:name="P196"/>
    <w:bookmarkEnd w:id="196"/>
    <w:p>
      <w:pPr>
        <w:pStyle w:val="0"/>
        <w:spacing w:before="260" w:line-rule="auto"/>
        <w:ind w:firstLine="540"/>
        <w:jc w:val="both"/>
      </w:pPr>
      <w:r>
        <w:rPr>
          <w:sz w:val="20"/>
        </w:rPr>
        <w:t xml:space="preserve">5.9. Комплектность, маркировка, упаковка</w:t>
      </w:r>
    </w:p>
    <w:bookmarkStart w:id="197" w:name="P197"/>
    <w:bookmarkEnd w:id="197"/>
    <w:p>
      <w:pPr>
        <w:pStyle w:val="0"/>
        <w:spacing w:before="200" w:line-rule="auto"/>
        <w:ind w:firstLine="540"/>
        <w:jc w:val="both"/>
      </w:pPr>
      <w:r>
        <w:rPr>
          <w:sz w:val="20"/>
        </w:rPr>
        <w:t xml:space="preserve">5.9.1. В комплект поставки должны входить:</w:t>
      </w:r>
    </w:p>
    <w:p>
      <w:pPr>
        <w:pStyle w:val="0"/>
        <w:spacing w:before="200" w:line-rule="auto"/>
        <w:ind w:firstLine="540"/>
        <w:jc w:val="both"/>
      </w:pPr>
      <w:r>
        <w:rPr>
          <w:sz w:val="20"/>
        </w:rPr>
        <w:t xml:space="preserve">- оборудование;</w:t>
      </w:r>
    </w:p>
    <w:p>
      <w:pPr>
        <w:pStyle w:val="0"/>
        <w:spacing w:before="200" w:line-rule="auto"/>
        <w:ind w:firstLine="540"/>
        <w:jc w:val="both"/>
      </w:pPr>
      <w:r>
        <w:rPr>
          <w:sz w:val="20"/>
        </w:rPr>
        <w:t xml:space="preserve">- эксплуатационная документация в соответствии с </w:t>
      </w:r>
      <w:hyperlink w:history="0" r:id="rId45" w:tooltip="&quot;ГОСТ 2.601-2006. Единая система конструкторской документации. Эксплуатационные документы&quot; (введен в действие Приказом Ростехрегулирования от 22.06.2006 N 118-ст) ------------ Утратил силу или отменен {КонсультантПлюс}">
        <w:r>
          <w:rPr>
            <w:sz w:val="20"/>
            <w:color w:val="0000ff"/>
          </w:rPr>
          <w:t xml:space="preserve">ГОСТ 2.601</w:t>
        </w:r>
      </w:hyperlink>
      <w:r>
        <w:rPr>
          <w:sz w:val="20"/>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5.9.2 обеспечивает соблюдение требований Федерального </w:t>
            </w:r>
            <w:hyperlink w:history="0" r:id="rId46"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47"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5.9.2. Маркировка должна содержать:</w:t>
      </w:r>
    </w:p>
    <w:p>
      <w:pPr>
        <w:pStyle w:val="0"/>
        <w:spacing w:before="200" w:line-rule="auto"/>
        <w:ind w:firstLine="540"/>
        <w:jc w:val="both"/>
      </w:pPr>
      <w:r>
        <w:rPr>
          <w:sz w:val="20"/>
        </w:rPr>
        <w:t xml:space="preserve">- товарный знак или наименование предприятия-изготовителя;</w:t>
      </w:r>
    </w:p>
    <w:p>
      <w:pPr>
        <w:pStyle w:val="0"/>
        <w:spacing w:before="200" w:line-rule="auto"/>
        <w:ind w:firstLine="540"/>
        <w:jc w:val="both"/>
      </w:pPr>
      <w:r>
        <w:rPr>
          <w:sz w:val="20"/>
        </w:rPr>
        <w:t xml:space="preserve">- условное обозначение;</w:t>
      </w:r>
    </w:p>
    <w:p>
      <w:pPr>
        <w:pStyle w:val="0"/>
        <w:spacing w:before="200" w:line-rule="auto"/>
        <w:ind w:firstLine="540"/>
        <w:jc w:val="both"/>
      </w:pPr>
      <w:r>
        <w:rPr>
          <w:sz w:val="20"/>
        </w:rPr>
        <w:t xml:space="preserve">- обозначение технических условий предприятия-изготовителя;</w:t>
      </w:r>
    </w:p>
    <w:p>
      <w:pPr>
        <w:pStyle w:val="0"/>
        <w:spacing w:before="200" w:line-rule="auto"/>
        <w:ind w:firstLine="540"/>
        <w:jc w:val="both"/>
      </w:pPr>
      <w:r>
        <w:rPr>
          <w:sz w:val="20"/>
        </w:rPr>
        <w:t xml:space="preserve">- год выпуска оборудования.</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5.9.3 обеспечивает соблюдение требований Федерального </w:t>
            </w:r>
            <w:hyperlink w:history="0" r:id="rId48"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49"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5.9.3. Маркировка должна быть четкой, понятной и сохраняться в течение всего срока эксплуатации оборудования.</w:t>
      </w:r>
    </w:p>
    <w:p>
      <w:pPr>
        <w:pStyle w:val="0"/>
        <w:spacing w:before="200" w:line-rule="auto"/>
        <w:ind w:firstLine="540"/>
        <w:jc w:val="both"/>
      </w:pPr>
      <w:r>
        <w:rPr>
          <w:sz w:val="20"/>
        </w:rPr>
        <w:t xml:space="preserve">5.9.4. Упаковка должна обеспечивать сохранность оборудования при его транспортировании и хранении.</w:t>
      </w:r>
    </w:p>
    <w:p>
      <w:pPr>
        <w:pStyle w:val="0"/>
        <w:ind w:firstLine="540"/>
        <w:jc w:val="both"/>
      </w:pPr>
      <w:r>
        <w:rPr>
          <w:sz w:val="20"/>
        </w:rPr>
      </w:r>
    </w:p>
    <w:p>
      <w:pPr>
        <w:pStyle w:val="0"/>
        <w:outlineLvl w:val="1"/>
        <w:jc w:val="center"/>
      </w:pPr>
      <w:r>
        <w:rPr>
          <w:sz w:val="20"/>
        </w:rPr>
        <w:t xml:space="preserve">6. Требования безопасности</w:t>
      </w:r>
    </w:p>
    <w:p>
      <w:pPr>
        <w:pStyle w:val="0"/>
        <w:ind w:firstLine="540"/>
        <w:jc w:val="both"/>
      </w:pPr>
      <w:r>
        <w:rPr>
          <w:sz w:val="20"/>
        </w:rPr>
      </w:r>
    </w:p>
    <w:p>
      <w:pPr>
        <w:pStyle w:val="0"/>
        <w:ind w:firstLine="540"/>
        <w:jc w:val="both"/>
      </w:pPr>
      <w:r>
        <w:rPr>
          <w:sz w:val="20"/>
        </w:rPr>
        <w:t xml:space="preserve">6.1. Оборудование должно соответствовать требованиям безопасности, указанным в </w:t>
      </w:r>
      <w:hyperlink w:history="0" r:id="rId50" w:tooltip="&quot;ГОСТ 12.2.003-91. Система стандартов безопасности труда. Оборудование производственное. Общие требования безопасности&quot; (утв. Постановлением Госстандарта СССР от 06.06.1991 N 807) {КонсультантПлюс}">
        <w:r>
          <w:rPr>
            <w:sz w:val="20"/>
            <w:color w:val="0000ff"/>
          </w:rPr>
          <w:t xml:space="preserve">ГОСТ 12.2.003</w:t>
        </w:r>
      </w:hyperlink>
      <w:r>
        <w:rPr>
          <w:sz w:val="20"/>
        </w:rPr>
        <w:t xml:space="preserve">, и обеспечивать безопасность работающих при монтаже (демонтаже), вводе в эксплуатацию и при эксплуатации как в случае автономного использования, так и в составе технологических комплексов при соблюдении требований (условий, правил), предусмотренных документами по эксплуатации.</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6.2 обеспечивает соблюдение требований Федерального </w:t>
            </w:r>
            <w:hyperlink w:history="0" r:id="rId51"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52"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пункта 6.2 обеспечивает соблюдение требований Федерального </w:t>
            </w:r>
            <w:hyperlink w:history="0" r:id="rId53"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54" w:tooltip="Приказ Ростехрегулирования от 30.04.2009 N 1573 (ред. от 30.07.2013) &quot;Об утверждении Перечня национальных стандартов и сводов,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Ростехрегулирования от 30.04.2009 N 1573).</w:t>
            </w:r>
          </w:p>
        </w:tc>
        <w:tc>
          <w:tcPr>
            <w:tcW w:w="113" w:type="dxa"/>
            <w:tcMar>
              <w:top w:w="0" w:type="dxa"/>
              <w:left w:w="0" w:type="dxa"/>
              <w:bottom w:w="0" w:type="dxa"/>
              <w:right w:w="0" w:type="dxa"/>
            </w:tcMar>
            <w:shd w:val="clear" w:fill="f4f3f8"/>
            <w:tcBorders>
              <w:top w:val="nil"/>
              <w:left w:val="nil"/>
              <w:bottom w:val="nil"/>
              <w:right w:val="nil"/>
            </w:tcBorders>
          </w:tcPr>
          <w:p/>
        </w:tc>
      </w:tr>
    </w:tbl>
    <w:bookmarkStart w:id="215" w:name="P215"/>
    <w:bookmarkEnd w:id="215"/>
    <w:p>
      <w:pPr>
        <w:pStyle w:val="0"/>
        <w:spacing w:before="260" w:line-rule="auto"/>
        <w:ind w:firstLine="540"/>
        <w:jc w:val="both"/>
      </w:pPr>
      <w:r>
        <w:rPr>
          <w:sz w:val="20"/>
        </w:rPr>
        <w:t xml:space="preserve">6.2. Оборудование должно быть укомплектовано эксплуатационной документацией, содержащей требования (правила), которые предотвращают возникновение опасных ситуаций. Общие требования к содержанию эксплуатационной документации в части обеспечения безопасности указаны в </w:t>
      </w:r>
      <w:hyperlink w:history="0" w:anchor="P298" w:tooltip="ОБЩИЕ ТРЕБОВАНИЯ">
        <w:r>
          <w:rPr>
            <w:sz w:val="20"/>
            <w:color w:val="0000ff"/>
          </w:rPr>
          <w:t xml:space="preserve">Приложении А</w:t>
        </w:r>
      </w:hyperlink>
      <w:r>
        <w:rPr>
          <w:sz w:val="20"/>
        </w:rPr>
        <w:t xml:space="preserve">.</w:t>
      </w:r>
    </w:p>
    <w:p>
      <w:pPr>
        <w:spacing w:before="0"/>
        <w:spacing w:after="1"/>
      </w:pPr>
    </w:p>
    <w:tbl>
      <w:tblPr>
        <w:tblInd w:w="0" w:type="dxa"/>
        <w:tblW w:w="5000" w:type="pct"/>
        <w:tblBorders>
          <w:top w:val="nil"/>
          <w:left w:val="nil"/>
          <w:bottom w:val="nil"/>
          <w:right w:val="nil"/>
          <w:insideV w:val="nil"/>
          <w:insideH w:val="nil"/>
        </w:tblBorders>
      </w:tblPr>
      <w:tblGrid>
        <w:gridCol w:w="60"/>
        <w:gridCol w:w="113"/>
        <w:gridCol w:w="9921"/>
        <w:gridCol w:w="113"/>
      </w:tblGrid>
      <w:tr>
        <w:tc>
          <w:tcPr>
            <w:tcW w:w="60" w:type="dxa"/>
            <w:tcMar>
              <w:top w:w="0" w:type="dxa"/>
              <w:left w:w="0" w:type="dxa"/>
              <w:bottom w:w="0" w:type="dxa"/>
              <w:right w:w="0" w:type="dxa"/>
            </w:tcMar>
            <w:shd w:val="clear" w:fill="ced3f1"/>
            <w:tcBorders>
              <w:top w:val="nil"/>
              <w:left w:val="nil"/>
              <w:bottom w:val="nil"/>
              <w:right w:val="nil"/>
            </w:tcBorders>
          </w:tcPr>
          <w:p/>
        </w:tc>
        <w:tc>
          <w:tcPr>
            <w:tcW w:w="113" w:type="dxa"/>
            <w:tcMar>
              <w:top w:w="0" w:type="dxa"/>
              <w:left w:w="0" w:type="dxa"/>
              <w:bottom w:w="0" w:type="dxa"/>
              <w:right w:w="0" w:type="dxa"/>
            </w:tcMar>
            <w:shd w:val="clear" w:fill="f4f3f8"/>
            <w:tcBorders>
              <w:top w:val="nil"/>
              <w:left w:val="nil"/>
              <w:bottom w:val="nil"/>
              <w:right w:val="nil"/>
            </w:tcBorders>
          </w:tcPr>
          <w:p/>
        </w:tc>
        <w:tc>
          <w:tcPr>
            <w:tcW w:w="0" w:type="auto"/>
            <w:tcMar>
              <w:top w:w="113" w:type="dxa"/>
              <w:left w:w="0" w:type="dxa"/>
              <w:bottom w:w="113" w:type="dxa"/>
              <w:right w:w="0" w:type="dxa"/>
            </w:tcMar>
            <w:shd w:val="clear" w:fill="f4f3f8"/>
            <w:tcBorders>
              <w:top w:val="nil"/>
              <w:left w:val="nil"/>
              <w:bottom w:val="nil"/>
              <w:right w:val="nil"/>
            </w:tcBorders>
          </w:tcPr>
          <w:p>
            <w:pPr>
              <w:pStyle w:val="0"/>
              <w:jc w:val="both"/>
            </w:pPr>
            <w:r>
              <w:rPr>
                <w:sz w:val="20"/>
                <w:color w:val="392c69"/>
              </w:rPr>
              <w:t xml:space="preserve">Применение на добровольной основе пунктов 6.3, 6.4 обеспечивает соблюдение требований Федерального </w:t>
            </w:r>
            <w:hyperlink w:history="0" r:id="rId55" w:tooltip="Федеральный закон от 22.07.2008 N 123-ФЗ (ред. от 25.12.2023) &quot;Технический регламент о требованиях пожарной безопасности&quot; {КонсультантПлюс}">
              <w:r>
                <w:rPr>
                  <w:sz w:val="20"/>
                  <w:color w:val="0000ff"/>
                </w:rPr>
                <w:t xml:space="preserve">закона</w:t>
              </w:r>
            </w:hyperlink>
            <w:r>
              <w:rPr>
                <w:sz w:val="20"/>
                <w:color w:val="392c69"/>
              </w:rPr>
              <w:t xml:space="preserve"> от 22.07.2008 N 123-ФЗ "Технический регламент о требованиях пожарной безопасности" (</w:t>
            </w:r>
            <w:hyperlink w:history="0" r:id="rId56" w:tooltip="Приказ Росстандарта от 16.04.2014 N 474 (ред. от 25.02.2016) &quot;Об утверждении перечня документов в области стандартизации, в результате применения которых на добровольной основе обеспечивается соблюдение требований Федерального закона от 22 июля 2008 г. N 123-ФЗ &quot;Технический регламент о требованиях пожарной безопасности&quot; ------------ Утратил силу или отменен {КонсультантПлюс}">
              <w:r>
                <w:rPr>
                  <w:sz w:val="20"/>
                  <w:color w:val="0000ff"/>
                </w:rPr>
                <w:t xml:space="preserve">Приказ</w:t>
              </w:r>
            </w:hyperlink>
            <w:r>
              <w:rPr>
                <w:sz w:val="20"/>
                <w:color w:val="392c69"/>
              </w:rPr>
              <w:t xml:space="preserve"> Росстандарта от 16.04.2014 N 474).</w:t>
            </w:r>
          </w:p>
        </w:tc>
        <w:tc>
          <w:tcPr>
            <w:tcW w:w="113" w:type="dxa"/>
            <w:tcMar>
              <w:top w:w="0" w:type="dxa"/>
              <w:left w:w="0" w:type="dxa"/>
              <w:bottom w:w="0" w:type="dxa"/>
              <w:right w:w="0" w:type="dxa"/>
            </w:tcMar>
            <w:shd w:val="clear" w:fill="f4f3f8"/>
            <w:tcBorders>
              <w:top w:val="nil"/>
              <w:left w:val="nil"/>
              <w:bottom w:val="nil"/>
              <w:right w:val="nil"/>
            </w:tcBorders>
          </w:tcPr>
          <w:p/>
        </w:tc>
      </w:tr>
    </w:tbl>
    <w:p>
      <w:pPr>
        <w:pStyle w:val="0"/>
        <w:spacing w:before="260" w:line-rule="auto"/>
        <w:ind w:firstLine="540"/>
        <w:jc w:val="both"/>
      </w:pPr>
      <w:r>
        <w:rPr>
          <w:sz w:val="20"/>
        </w:rPr>
        <w:t xml:space="preserve">6.3. Для оборудования, имеющего контакт с водой, все электрические соединения должны быть защищены от воздействия влаги и коротких замыканий.</w:t>
      </w:r>
    </w:p>
    <w:p>
      <w:pPr>
        <w:pStyle w:val="0"/>
        <w:spacing w:before="200" w:line-rule="auto"/>
        <w:ind w:firstLine="540"/>
        <w:jc w:val="both"/>
      </w:pPr>
      <w:r>
        <w:rPr>
          <w:sz w:val="20"/>
        </w:rPr>
        <w:t xml:space="preserve">6.4. Заземление оборудования должно соответствовать требованиям </w:t>
      </w:r>
      <w:hyperlink w:history="0" r:id="rId57" w:tooltip="&quot;ГОСТ 12.2.007.0-75. Межгосударственный стандарт. Система стандартов безопасности труда. Изделия электротехнические. Общие требования безопасности&quot; (введен в действие Постановлением Госстандарта СССР от 10.09.1975 N 2368) (ред. от 01.06.1988) {КонсультантПлюс}">
        <w:r>
          <w:rPr>
            <w:sz w:val="20"/>
            <w:color w:val="0000ff"/>
          </w:rPr>
          <w:t xml:space="preserve">ГОСТ 12.2.007.0</w:t>
        </w:r>
      </w:hyperlink>
      <w:r>
        <w:rPr>
          <w:sz w:val="20"/>
        </w:rPr>
        <w:t xml:space="preserve">, класс защиты 1.</w:t>
      </w:r>
    </w:p>
    <w:p>
      <w:pPr>
        <w:pStyle w:val="0"/>
        <w:spacing w:before="200" w:line-rule="auto"/>
        <w:ind w:firstLine="540"/>
        <w:jc w:val="both"/>
      </w:pPr>
      <w:r>
        <w:rPr>
          <w:sz w:val="20"/>
        </w:rPr>
        <w:t xml:space="preserve">6.5. Движущиеся части привода оборудования должны иметь ограждения.</w:t>
      </w:r>
    </w:p>
    <w:p>
      <w:pPr>
        <w:pStyle w:val="0"/>
        <w:spacing w:before="200" w:line-rule="auto"/>
        <w:ind w:firstLine="540"/>
        <w:jc w:val="both"/>
      </w:pPr>
      <w:r>
        <w:rPr>
          <w:sz w:val="20"/>
        </w:rPr>
        <w:t xml:space="preserve">6.6. Уровень звуковой мощности в соответствии с </w:t>
      </w:r>
      <w:hyperlink w:history="0" r:id="rId58" w:tooltip="&quot;ГОСТ 12.1.003-83. Система стандартов безопасности труда. Шум. Общие требования безопасности&quot; (утв. Постановлением Госстандарта СССР от 06.06.1983 N 2473) (ред. от 01.12.1988) {КонсультантПлюс}">
        <w:r>
          <w:rPr>
            <w:sz w:val="20"/>
            <w:color w:val="0000ff"/>
          </w:rPr>
          <w:t xml:space="preserve">ГОСТ 12.1.003</w:t>
        </w:r>
      </w:hyperlink>
      <w:r>
        <w:rPr>
          <w:sz w:val="20"/>
        </w:rPr>
        <w:t xml:space="preserve"> не должен превышать 95 дБ.</w:t>
      </w:r>
    </w:p>
    <w:p>
      <w:pPr>
        <w:pStyle w:val="0"/>
        <w:spacing w:before="200" w:line-rule="auto"/>
        <w:ind w:firstLine="540"/>
        <w:jc w:val="both"/>
      </w:pPr>
      <w:r>
        <w:rPr>
          <w:sz w:val="20"/>
        </w:rPr>
        <w:t xml:space="preserve">6.7. Оборудование для мойки и чистки пожарных рукавов должно обеспечивать использование проточной воды и иметь систему слива использованной воды в канализацию либо систему очистки воды замкнутого типа.</w:t>
      </w:r>
    </w:p>
    <w:p>
      <w:pPr>
        <w:pStyle w:val="0"/>
        <w:ind w:firstLine="540"/>
        <w:jc w:val="both"/>
      </w:pPr>
      <w:r>
        <w:rPr>
          <w:sz w:val="20"/>
        </w:rPr>
      </w:r>
    </w:p>
    <w:p>
      <w:pPr>
        <w:pStyle w:val="0"/>
        <w:outlineLvl w:val="1"/>
        <w:jc w:val="center"/>
      </w:pPr>
      <w:r>
        <w:rPr>
          <w:sz w:val="20"/>
        </w:rPr>
        <w:t xml:space="preserve">7. Правила приемки</w:t>
      </w:r>
    </w:p>
    <w:p>
      <w:pPr>
        <w:pStyle w:val="0"/>
        <w:ind w:firstLine="540"/>
        <w:jc w:val="both"/>
      </w:pPr>
      <w:r>
        <w:rPr>
          <w:sz w:val="20"/>
        </w:rPr>
      </w:r>
    </w:p>
    <w:p>
      <w:pPr>
        <w:pStyle w:val="0"/>
        <w:ind w:firstLine="540"/>
        <w:jc w:val="both"/>
      </w:pPr>
      <w:r>
        <w:rPr>
          <w:sz w:val="20"/>
        </w:rPr>
        <w:t xml:space="preserve">7.1. Для оценки и контроля качества оборудования в процессе разработки и производства проводят следующие испытания:</w:t>
      </w:r>
    </w:p>
    <w:p>
      <w:pPr>
        <w:pStyle w:val="0"/>
        <w:spacing w:before="200" w:line-rule="auto"/>
        <w:ind w:firstLine="540"/>
        <w:jc w:val="both"/>
      </w:pPr>
      <w:r>
        <w:rPr>
          <w:sz w:val="20"/>
        </w:rPr>
        <w:t xml:space="preserve">- предварительные;</w:t>
      </w:r>
    </w:p>
    <w:p>
      <w:pPr>
        <w:pStyle w:val="0"/>
        <w:spacing w:before="200" w:line-rule="auto"/>
        <w:ind w:firstLine="540"/>
        <w:jc w:val="both"/>
      </w:pPr>
      <w:r>
        <w:rPr>
          <w:sz w:val="20"/>
        </w:rPr>
        <w:t xml:space="preserve">- приемочные;</w:t>
      </w:r>
    </w:p>
    <w:p>
      <w:pPr>
        <w:pStyle w:val="0"/>
        <w:spacing w:before="200" w:line-rule="auto"/>
        <w:ind w:firstLine="540"/>
        <w:jc w:val="both"/>
      </w:pPr>
      <w:r>
        <w:rPr>
          <w:sz w:val="20"/>
        </w:rPr>
        <w:t xml:space="preserve">- квалификационные;</w:t>
      </w:r>
    </w:p>
    <w:p>
      <w:pPr>
        <w:pStyle w:val="0"/>
        <w:spacing w:before="200" w:line-rule="auto"/>
        <w:ind w:firstLine="540"/>
        <w:jc w:val="both"/>
      </w:pPr>
      <w:r>
        <w:rPr>
          <w:sz w:val="20"/>
        </w:rPr>
        <w:t xml:space="preserve">- приемосдаточные;</w:t>
      </w:r>
    </w:p>
    <w:p>
      <w:pPr>
        <w:pStyle w:val="0"/>
        <w:spacing w:before="200" w:line-rule="auto"/>
        <w:ind w:firstLine="540"/>
        <w:jc w:val="both"/>
      </w:pPr>
      <w:r>
        <w:rPr>
          <w:sz w:val="20"/>
        </w:rPr>
        <w:t xml:space="preserve">- периодические;</w:t>
      </w:r>
    </w:p>
    <w:p>
      <w:pPr>
        <w:pStyle w:val="0"/>
        <w:spacing w:before="200" w:line-rule="auto"/>
        <w:ind w:firstLine="540"/>
        <w:jc w:val="both"/>
      </w:pPr>
      <w:r>
        <w:rPr>
          <w:sz w:val="20"/>
        </w:rPr>
        <w:t xml:space="preserve">- типовые.</w:t>
      </w:r>
    </w:p>
    <w:p>
      <w:pPr>
        <w:pStyle w:val="0"/>
        <w:spacing w:before="200" w:line-rule="auto"/>
        <w:ind w:firstLine="540"/>
        <w:jc w:val="both"/>
      </w:pPr>
      <w:r>
        <w:rPr>
          <w:sz w:val="20"/>
        </w:rPr>
        <w:t xml:space="preserve">7.2. Предварительные, приемочные и квалификационные испытания проводят в соответствии с </w:t>
      </w:r>
      <w:hyperlink w:history="0" r:id="rId59" w:tooltip="&quot;ГОСТ Р 15.201-2000. Система разработки и постановки продукции на производство. Продукция производственно-технического назначения. Порядок разработки и постановки продукции на производство&quot; (принят и введен в действие Постановлением Госстандарта РФ от 17.10.2000 N 263-ст) ------------ Утратил силу или отменен {КонсультантПлюс}">
        <w:r>
          <w:rPr>
            <w:sz w:val="20"/>
            <w:color w:val="0000ff"/>
          </w:rPr>
          <w:t xml:space="preserve">ГОСТ Р 15.201</w:t>
        </w:r>
      </w:hyperlink>
      <w:r>
        <w:rPr>
          <w:sz w:val="20"/>
        </w:rPr>
        <w:t xml:space="preserve">.</w:t>
      </w:r>
    </w:p>
    <w:p>
      <w:pPr>
        <w:pStyle w:val="0"/>
        <w:spacing w:before="200" w:line-rule="auto"/>
        <w:ind w:firstLine="540"/>
        <w:jc w:val="both"/>
      </w:pPr>
      <w:r>
        <w:rPr>
          <w:sz w:val="20"/>
        </w:rPr>
        <w:t xml:space="preserve">7.3. Испытания и приемка выпускаемого оборудования должны проводиться в соответствии с </w:t>
      </w:r>
      <w:hyperlink w:history="0" r:id="rId60" w:tooltip="&quot;ГОСТ 15.309-98. Межгосударственный стандарт. Система разработки и постановки продукции на производство. Испытания и приемка выпускаемой продукции. Основные положения&quot; (введен в действие Постановлением Госстандарта России от 11.06.1999 N 189) {КонсультантПлюс}">
        <w:r>
          <w:rPr>
            <w:sz w:val="20"/>
            <w:color w:val="0000ff"/>
          </w:rPr>
          <w:t xml:space="preserve">ГОСТ 15.309</w:t>
        </w:r>
      </w:hyperlink>
      <w:r>
        <w:rPr>
          <w:sz w:val="20"/>
        </w:rPr>
        <w:t xml:space="preserve">.</w:t>
      </w:r>
    </w:p>
    <w:p>
      <w:pPr>
        <w:pStyle w:val="0"/>
        <w:spacing w:before="200" w:line-rule="auto"/>
        <w:ind w:firstLine="540"/>
        <w:jc w:val="both"/>
      </w:pPr>
      <w:r>
        <w:rPr>
          <w:sz w:val="20"/>
        </w:rPr>
        <w:t xml:space="preserve">Типовые испытания проводят при изменении конструкции и технологии изготовления или при замене сырья, полуфабрикатов, изделий. Испытания должны быть проведены по программе и методике, согласованной и утвержденной в установленном порядке, в соответствии с ГОСТ 15.309 </w:t>
      </w:r>
      <w:hyperlink w:history="0" r:id="rId61" w:tooltip="&quot;ГОСТ 15.309-98. Межгосударственный стандарт. Система разработки и постановки продукции на производство. Испытания и приемка выпускаемой продукции. Основные положения&quot; (введен в действие Постановлением Госстандарта России от 11.06.1999 N 189) {КонсультантПлюс}">
        <w:r>
          <w:rPr>
            <w:sz w:val="20"/>
            <w:color w:val="0000ff"/>
          </w:rPr>
          <w:t xml:space="preserve">(приложение А)</w:t>
        </w:r>
      </w:hyperlink>
      <w:r>
        <w:rPr>
          <w:sz w:val="20"/>
        </w:rPr>
        <w:t xml:space="preserve">.</w:t>
      </w:r>
    </w:p>
    <w:p>
      <w:pPr>
        <w:pStyle w:val="0"/>
        <w:ind w:firstLine="540"/>
        <w:jc w:val="both"/>
      </w:pPr>
      <w:r>
        <w:rPr>
          <w:sz w:val="20"/>
        </w:rPr>
      </w:r>
    </w:p>
    <w:p>
      <w:pPr>
        <w:pStyle w:val="0"/>
        <w:outlineLvl w:val="1"/>
        <w:jc w:val="center"/>
      </w:pPr>
      <w:r>
        <w:rPr>
          <w:sz w:val="20"/>
        </w:rPr>
        <w:t xml:space="preserve">8. Методы испытаний</w:t>
      </w:r>
    </w:p>
    <w:p>
      <w:pPr>
        <w:pStyle w:val="0"/>
        <w:ind w:firstLine="540"/>
        <w:jc w:val="both"/>
      </w:pPr>
      <w:r>
        <w:rPr>
          <w:sz w:val="20"/>
        </w:rPr>
      </w:r>
    </w:p>
    <w:p>
      <w:pPr>
        <w:pStyle w:val="0"/>
        <w:ind w:firstLine="540"/>
        <w:jc w:val="both"/>
      </w:pPr>
      <w:r>
        <w:rPr>
          <w:sz w:val="20"/>
        </w:rPr>
        <w:t xml:space="preserve">8.1. Общие положения</w:t>
      </w:r>
    </w:p>
    <w:p>
      <w:pPr>
        <w:pStyle w:val="0"/>
        <w:spacing w:before="200" w:line-rule="auto"/>
        <w:ind w:firstLine="540"/>
        <w:jc w:val="both"/>
      </w:pPr>
      <w:r>
        <w:rPr>
          <w:sz w:val="20"/>
        </w:rPr>
        <w:t xml:space="preserve">8.1.1. Все испытания проводят в нормальных климатических условиях в соответствии с </w:t>
      </w:r>
      <w:hyperlink w:history="0" r:id="rId62"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утв. Постановлением Госстандарта СССР от 29.12.1969 N 1394) (ред. от 27.11.2012) {КонсультантПлюс}">
        <w:r>
          <w:rPr>
            <w:sz w:val="20"/>
            <w:color w:val="0000ff"/>
          </w:rPr>
          <w:t xml:space="preserve">ГОСТ 15150</w:t>
        </w:r>
      </w:hyperlink>
      <w:r>
        <w:rPr>
          <w:sz w:val="20"/>
        </w:rPr>
        <w:t xml:space="preserve">.</w:t>
      </w:r>
    </w:p>
    <w:p>
      <w:pPr>
        <w:pStyle w:val="0"/>
        <w:spacing w:before="200" w:line-rule="auto"/>
        <w:ind w:firstLine="540"/>
        <w:jc w:val="both"/>
      </w:pPr>
      <w:r>
        <w:rPr>
          <w:sz w:val="20"/>
        </w:rPr>
        <w:t xml:space="preserve">8.1.2. При проведении испытаний используют средства измерений и контроля, обеспечивающие необходимую точность измерений, поверенные и аттестованные в установленном порядке.</w:t>
      </w:r>
    </w:p>
    <w:p>
      <w:pPr>
        <w:pStyle w:val="0"/>
        <w:spacing w:before="200" w:line-rule="auto"/>
        <w:ind w:firstLine="540"/>
        <w:jc w:val="both"/>
      </w:pPr>
      <w:r>
        <w:rPr>
          <w:sz w:val="20"/>
        </w:rPr>
        <w:t xml:space="preserve">На испытания представляют по одному комплекту оборудования.</w:t>
      </w:r>
    </w:p>
    <w:p>
      <w:pPr>
        <w:pStyle w:val="0"/>
        <w:spacing w:before="200" w:line-rule="auto"/>
        <w:ind w:firstLine="540"/>
        <w:jc w:val="both"/>
      </w:pPr>
      <w:r>
        <w:rPr>
          <w:sz w:val="20"/>
        </w:rPr>
        <w:t xml:space="preserve">8.1.3. Оборудование перед проведением испытаний должно быть выдержано в нормальных климатических условиях в соответствии с </w:t>
      </w:r>
      <w:hyperlink w:history="0" r:id="rId63" w:tooltip="&quot;ГОСТ 15150-69. Межгосударственный стандарт.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quot; (утв. Постановлением Госстандарта СССР от 29.12.1969 N 1394) (ред. от 27.11.2012) {КонсультантПлюс}">
        <w:r>
          <w:rPr>
            <w:sz w:val="20"/>
            <w:color w:val="0000ff"/>
          </w:rPr>
          <w:t xml:space="preserve">ГОСТ 15150</w:t>
        </w:r>
      </w:hyperlink>
      <w:r>
        <w:rPr>
          <w:sz w:val="20"/>
        </w:rPr>
        <w:t xml:space="preserve"> в течение 24 ч.</w:t>
      </w:r>
    </w:p>
    <w:p>
      <w:pPr>
        <w:pStyle w:val="0"/>
        <w:spacing w:before="200" w:line-rule="auto"/>
        <w:ind w:firstLine="540"/>
        <w:jc w:val="both"/>
      </w:pPr>
      <w:r>
        <w:rPr>
          <w:sz w:val="20"/>
        </w:rPr>
        <w:t xml:space="preserve">8.2. Условный проход пожарного рукава или условные проходы и длины обслуживаемых пожарных рукавов (см. </w:t>
      </w:r>
      <w:hyperlink w:history="0" w:anchor="P98" w:tooltip="Таблица 1">
        <w:r>
          <w:rPr>
            <w:sz w:val="20"/>
            <w:color w:val="0000ff"/>
          </w:rPr>
          <w:t xml:space="preserve">таблицу 1</w:t>
        </w:r>
      </w:hyperlink>
      <w:r>
        <w:rPr>
          <w:sz w:val="20"/>
        </w:rPr>
        <w:t xml:space="preserve">) проверяют проведением всех процедур обслуживания на оборудовании в соответствии с эксплуатационной документацией. Для испытаний представляют пожарные рукава, отвечающие требованиям пожарной безопасности. Оборудование должно обеспечивать размещение пожарных рукавов и не препятствовать выполнению процедур обслуживания.</w:t>
      </w:r>
    </w:p>
    <w:p>
      <w:pPr>
        <w:pStyle w:val="0"/>
        <w:spacing w:before="200" w:line-rule="auto"/>
        <w:ind w:firstLine="540"/>
        <w:jc w:val="both"/>
      </w:pPr>
      <w:r>
        <w:rPr>
          <w:sz w:val="20"/>
        </w:rPr>
        <w:t xml:space="preserve">8.3. Работоспособность оборудования в диапазоне температур окружающей среды (см. </w:t>
      </w:r>
      <w:hyperlink w:history="0" w:anchor="P98" w:tooltip="Таблица 1">
        <w:r>
          <w:rPr>
            <w:sz w:val="20"/>
            <w:color w:val="0000ff"/>
          </w:rPr>
          <w:t xml:space="preserve">таблицу 1</w:t>
        </w:r>
      </w:hyperlink>
      <w:r>
        <w:rPr>
          <w:sz w:val="20"/>
        </w:rPr>
        <w:t xml:space="preserve">) проверяют в соответствии с КД производителя.</w:t>
      </w:r>
    </w:p>
    <w:p>
      <w:pPr>
        <w:pStyle w:val="0"/>
        <w:spacing w:before="200" w:line-rule="auto"/>
        <w:ind w:firstLine="540"/>
        <w:jc w:val="both"/>
      </w:pPr>
      <w:r>
        <w:rPr>
          <w:sz w:val="20"/>
        </w:rPr>
        <w:t xml:space="preserve">8.4. Проверка усилия на органы управления</w:t>
      </w:r>
    </w:p>
    <w:p>
      <w:pPr>
        <w:pStyle w:val="0"/>
        <w:spacing w:before="200" w:line-rule="auto"/>
        <w:ind w:firstLine="540"/>
        <w:jc w:val="both"/>
      </w:pPr>
      <w:r>
        <w:rPr>
          <w:sz w:val="20"/>
        </w:rPr>
        <w:t xml:space="preserve">8.4.1. Усилие, прилагаемое на органы управления (кнопки, рычаги, маховики и др.) (см. </w:t>
      </w:r>
      <w:hyperlink w:history="0" w:anchor="P98" w:tooltip="Таблица 1">
        <w:r>
          <w:rPr>
            <w:sz w:val="20"/>
            <w:color w:val="0000ff"/>
          </w:rPr>
          <w:t xml:space="preserve">таблицу 1</w:t>
        </w:r>
      </w:hyperlink>
      <w:r>
        <w:rPr>
          <w:sz w:val="20"/>
        </w:rPr>
        <w:t xml:space="preserve">), измеряют динамометром или другими средствами измерения силы с погрешностью не более +/- 5%.</w:t>
      </w:r>
    </w:p>
    <w:p>
      <w:pPr>
        <w:pStyle w:val="0"/>
        <w:spacing w:before="200" w:line-rule="auto"/>
        <w:ind w:firstLine="540"/>
        <w:jc w:val="both"/>
      </w:pPr>
      <w:r>
        <w:rPr>
          <w:sz w:val="20"/>
        </w:rPr>
        <w:t xml:space="preserve">8.4.2. Проведение испытаний</w:t>
      </w:r>
    </w:p>
    <w:p>
      <w:pPr>
        <w:pStyle w:val="0"/>
        <w:spacing w:before="200" w:line-rule="auto"/>
        <w:ind w:firstLine="540"/>
        <w:jc w:val="both"/>
      </w:pPr>
      <w:r>
        <w:rPr>
          <w:sz w:val="20"/>
        </w:rPr>
        <w:t xml:space="preserve">Усилие для клапанов, кранов органов управления прилагают в точке, находящейся на маховике, максимально удаленной от его оси. Усилие для включения (выключения) кнопок прилагают вдоль оси кнопок. Усилие для включения (выключения) рычагов прилагают к концу рычагов в направлении их движения. Результат испытаний считают положительным, если усилие, необходимое для включения (выключения) органов управления, не превышает 150 Н.</w:t>
      </w:r>
    </w:p>
    <w:p>
      <w:pPr>
        <w:pStyle w:val="0"/>
        <w:spacing w:before="200" w:line-rule="auto"/>
        <w:ind w:firstLine="540"/>
        <w:jc w:val="both"/>
      </w:pPr>
      <w:r>
        <w:rPr>
          <w:sz w:val="20"/>
        </w:rPr>
        <w:t xml:space="preserve">8.5. Назначенный срок службы оборудования (см. </w:t>
      </w:r>
      <w:hyperlink w:history="0" w:anchor="P98" w:tooltip="Таблица 1">
        <w:r>
          <w:rPr>
            <w:sz w:val="20"/>
            <w:color w:val="0000ff"/>
          </w:rPr>
          <w:t xml:space="preserve">таблицу 1</w:t>
        </w:r>
      </w:hyperlink>
      <w:r>
        <w:rPr>
          <w:sz w:val="20"/>
        </w:rPr>
        <w:t xml:space="preserve">) проверяют по КД.</w:t>
      </w:r>
    </w:p>
    <w:p>
      <w:pPr>
        <w:pStyle w:val="0"/>
        <w:spacing w:before="200" w:line-rule="auto"/>
        <w:ind w:firstLine="540"/>
        <w:jc w:val="both"/>
      </w:pPr>
      <w:r>
        <w:rPr>
          <w:sz w:val="20"/>
        </w:rPr>
        <w:t xml:space="preserve">8.6. Маркировку с соответствующими надписями или (и) обозначениями контрольно-измерительных приборов и устройств управления проверяют внешним осмотром и сличением с КД.</w:t>
      </w:r>
    </w:p>
    <w:p>
      <w:pPr>
        <w:pStyle w:val="0"/>
        <w:spacing w:before="200" w:line-rule="auto"/>
        <w:ind w:firstLine="540"/>
        <w:jc w:val="both"/>
      </w:pPr>
      <w:r>
        <w:rPr>
          <w:sz w:val="20"/>
        </w:rPr>
        <w:t xml:space="preserve">8.7. Проверка времени мойки и чистки пожарного рукава (см. </w:t>
      </w:r>
      <w:hyperlink w:history="0" w:anchor="P125" w:tooltip="5.4. Время мойки и чистки пожарных рукавов устанавливают в КД изготовителя. Время мойки и чистки напорного пожарного рукава с условным проходом 50 и длиной 20 м не должно быть более 4 мин.">
        <w:r>
          <w:rPr>
            <w:sz w:val="20"/>
            <w:color w:val="0000ff"/>
          </w:rPr>
          <w:t xml:space="preserve">5.4</w:t>
        </w:r>
      </w:hyperlink>
      <w:r>
        <w:rPr>
          <w:sz w:val="20"/>
        </w:rPr>
        <w:t xml:space="preserve">)</w:t>
      </w:r>
    </w:p>
    <w:p>
      <w:pPr>
        <w:pStyle w:val="0"/>
        <w:spacing w:before="200" w:line-rule="auto"/>
        <w:ind w:firstLine="540"/>
        <w:jc w:val="both"/>
      </w:pPr>
      <w:r>
        <w:rPr>
          <w:sz w:val="20"/>
        </w:rPr>
        <w:t xml:space="preserve">Пожарный рукав заправляют в оборудование для мойки и чистки в соответствии с эксплуатационной документацией. Мойку и чистку пожарного рукава производят в одном из режимов для данного оборудования. Время t фиксируют секундомером от начала до окончания мойки и чистки пожарного рукава. При одновременной заправке нескольких пожарных рукавов время обслуживания одного рукава T определяют по формуле</w:t>
      </w:r>
    </w:p>
    <w:p>
      <w:pPr>
        <w:pStyle w:val="0"/>
        <w:ind w:firstLine="540"/>
        <w:jc w:val="both"/>
      </w:pPr>
      <w:r>
        <w:rPr>
          <w:sz w:val="20"/>
        </w:rPr>
      </w:r>
    </w:p>
    <w:p>
      <w:pPr>
        <w:pStyle w:val="0"/>
        <w:jc w:val="center"/>
      </w:pPr>
      <w:r>
        <w:rPr>
          <w:position w:val="-21"/>
        </w:rPr>
        <w:drawing>
          <wp:inline distT="0" distB="0" distL="0" distR="0">
            <wp:extent cx="397510" cy="3975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4">
                      <a:extLst>
                        <a:ext uri="{28A0092B-C50C-407E-A947-70E740481C1C}">
                          <a14:useLocalDpi xmlns:a14="http://schemas.microsoft.com/office/drawing/2010/main" val="0"/>
                        </a:ext>
                      </a:extLst>
                    </a:blip>
                    <a:srcRect/>
                    <a:stretch>
                      <a:fillRect/>
                    </a:stretch>
                  </pic:blipFill>
                  <pic:spPr bwMode="auto">
                    <a:xfrm>
                      <a:off x="0" y="0"/>
                      <a:ext cx="397510" cy="397510"/>
                    </a:xfrm>
                    <a:prstGeom prst="rect">
                      <a:avLst/>
                    </a:prstGeom>
                    <a:noFill/>
                    <a:ln>
                      <a:noFill/>
                    </a:ln>
                  </pic:spPr>
                </pic:pic>
              </a:graphicData>
            </a:graphic>
          </wp:inline>
        </w:drawing>
      </w:r>
      <w:r>
        <w:rPr>
          <w:sz w:val="20"/>
        </w:rPr>
        <w:t xml:space="preserve">, (1)</w:t>
      </w:r>
    </w:p>
    <w:p>
      <w:pPr>
        <w:pStyle w:val="0"/>
        <w:ind w:firstLine="540"/>
        <w:jc w:val="both"/>
      </w:pPr>
      <w:r>
        <w:rPr>
          <w:sz w:val="20"/>
        </w:rPr>
      </w:r>
    </w:p>
    <w:p>
      <w:pPr>
        <w:pStyle w:val="0"/>
        <w:ind w:firstLine="540"/>
        <w:jc w:val="both"/>
      </w:pPr>
      <w:r>
        <w:rPr>
          <w:sz w:val="20"/>
        </w:rPr>
        <w:t xml:space="preserve">где n - количество одновременно заправляемых рукавов.</w:t>
      </w:r>
    </w:p>
    <w:p>
      <w:pPr>
        <w:pStyle w:val="0"/>
        <w:spacing w:before="200" w:line-rule="auto"/>
        <w:ind w:firstLine="540"/>
        <w:jc w:val="both"/>
      </w:pPr>
      <w:r>
        <w:rPr>
          <w:sz w:val="20"/>
        </w:rPr>
        <w:t xml:space="preserve">8.8. Проверка рабочего гидравлического давления</w:t>
      </w:r>
    </w:p>
    <w:p>
      <w:pPr>
        <w:pStyle w:val="0"/>
        <w:spacing w:before="200" w:line-rule="auto"/>
        <w:ind w:firstLine="540"/>
        <w:jc w:val="both"/>
      </w:pPr>
      <w:r>
        <w:rPr>
          <w:sz w:val="20"/>
        </w:rPr>
        <w:t xml:space="preserve">Оборудование для испытаний пожарных рукавов на герметичность проверяют на соответствие показателю рабочего гидравлического давления оборудования (см. </w:t>
      </w:r>
      <w:hyperlink w:history="0" w:anchor="P128" w:tooltip="Таблица 2">
        <w:r>
          <w:rPr>
            <w:sz w:val="20"/>
            <w:color w:val="0000ff"/>
          </w:rPr>
          <w:t xml:space="preserve">таблицу 2</w:t>
        </w:r>
      </w:hyperlink>
      <w:r>
        <w:rPr>
          <w:sz w:val="20"/>
        </w:rPr>
        <w:t xml:space="preserve">). Для этого заглушают все выходные патрубки, оборудованные пожарными соединительными головками, затем вытесняют воздух из трубопроводов оборудования. Повышают гидравлическое давление до рабочего давления в соответствии с эксплуатационной документацией, при этом проверяют работу всех органов и устройств управления. При воздействии рабочего гидравлического давления не менее 2 мин оборудование должно сохранять герметичность и прочность всех трубопроводных систем, средств измерений и работоспособность органов управления. Гидравлическое давление измеряют манометром по </w:t>
      </w:r>
      <w:hyperlink w:history="0" r:id="rId65" w:tooltip="&quot;ГОСТ 2405-88 (СТ СЭВ 6128-87). Государственный стандарт Союза ССР. Манометры, вакуумметры, мановакуумметры, напоромеры, тягомеры и тягонапоромеры. Общие технические условия&quot; (утв. Постановлением Госстандарта СССР от 23.12.1988 N 4530) {КонсультантПлюс}">
        <w:r>
          <w:rPr>
            <w:sz w:val="20"/>
            <w:color w:val="0000ff"/>
          </w:rPr>
          <w:t xml:space="preserve">ГОСТ 2405</w:t>
        </w:r>
      </w:hyperlink>
      <w:r>
        <w:rPr>
          <w:sz w:val="20"/>
        </w:rPr>
        <w:t xml:space="preserve"> с погрешностью не более 0,06 МПа. Время выдержки под давлением измеряют секундомером с погрешностью не более 0,2 с.</w:t>
      </w:r>
    </w:p>
    <w:p>
      <w:pPr>
        <w:pStyle w:val="0"/>
        <w:spacing w:before="200" w:line-rule="auto"/>
        <w:ind w:firstLine="540"/>
        <w:jc w:val="both"/>
      </w:pPr>
      <w:r>
        <w:rPr>
          <w:sz w:val="20"/>
        </w:rPr>
        <w:t xml:space="preserve">8.9. Проверка скорости повышения давления</w:t>
      </w:r>
    </w:p>
    <w:p>
      <w:pPr>
        <w:pStyle w:val="0"/>
        <w:spacing w:before="200" w:line-rule="auto"/>
        <w:ind w:firstLine="540"/>
        <w:jc w:val="both"/>
      </w:pPr>
      <w:r>
        <w:rPr>
          <w:sz w:val="20"/>
        </w:rPr>
        <w:t xml:space="preserve">Скорость повышения давления проверяют при проведении испытаний по показателю "рабочее гидравлическое давление". Время повышения гидравлического давления t регистрируют по секундомеру, который выключают при достижении рабочего гидравлического давления. По манометру регистрируют гидравлическое давление </w:t>
      </w:r>
      <w:r>
        <w:rPr>
          <w:position w:val="-8"/>
        </w:rPr>
        <w:drawing>
          <wp:inline distT="0" distB="0" distL="0" distR="0">
            <wp:extent cx="167005" cy="2311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6">
                      <a:extLst>
                        <a:ext uri="{28A0092B-C50C-407E-A947-70E740481C1C}">
                          <a14:useLocalDpi xmlns:a14="http://schemas.microsoft.com/office/drawing/2010/main" val="0"/>
                        </a:ext>
                      </a:extLst>
                    </a:blip>
                    <a:srcRect/>
                    <a:stretch>
                      <a:fillRect/>
                    </a:stretch>
                  </pic:blipFill>
                  <pic:spPr bwMode="auto">
                    <a:xfrm>
                      <a:off x="0" y="0"/>
                      <a:ext cx="167005" cy="231140"/>
                    </a:xfrm>
                    <a:prstGeom prst="rect">
                      <a:avLst/>
                    </a:prstGeom>
                    <a:noFill/>
                    <a:ln>
                      <a:noFill/>
                    </a:ln>
                  </pic:spPr>
                </pic:pic>
              </a:graphicData>
            </a:graphic>
          </wp:inline>
        </w:drawing>
      </w:r>
      <w:r>
        <w:rPr>
          <w:sz w:val="20"/>
        </w:rPr>
        <w:t xml:space="preserve"> во время включения секундомера и рабочее давление PN в момент выключения секундомера.</w:t>
      </w:r>
    </w:p>
    <w:p>
      <w:pPr>
        <w:pStyle w:val="0"/>
        <w:spacing w:before="200" w:line-rule="auto"/>
        <w:ind w:firstLine="540"/>
        <w:jc w:val="both"/>
      </w:pPr>
      <w:r>
        <w:rPr>
          <w:sz w:val="20"/>
        </w:rPr>
        <w:t xml:space="preserve">Скорость повышения давления v определяют по формуле</w:t>
      </w:r>
    </w:p>
    <w:p>
      <w:pPr>
        <w:pStyle w:val="0"/>
        <w:ind w:firstLine="540"/>
        <w:jc w:val="both"/>
      </w:pPr>
      <w:r>
        <w:rPr>
          <w:sz w:val="20"/>
        </w:rPr>
      </w:r>
    </w:p>
    <w:p>
      <w:pPr>
        <w:pStyle w:val="0"/>
        <w:jc w:val="center"/>
      </w:pPr>
      <w:r>
        <w:rPr>
          <w:position w:val="-21"/>
        </w:rPr>
        <w:drawing>
          <wp:inline distT="0" distB="0" distL="0" distR="0">
            <wp:extent cx="774065" cy="3975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7">
                      <a:extLst>
                        <a:ext uri="{28A0092B-C50C-407E-A947-70E740481C1C}">
                          <a14:useLocalDpi xmlns:a14="http://schemas.microsoft.com/office/drawing/2010/main" val="0"/>
                        </a:ext>
                      </a:extLst>
                    </a:blip>
                    <a:srcRect/>
                    <a:stretch>
                      <a:fillRect/>
                    </a:stretch>
                  </pic:blipFill>
                  <pic:spPr bwMode="auto">
                    <a:xfrm>
                      <a:off x="0" y="0"/>
                      <a:ext cx="774065" cy="397510"/>
                    </a:xfrm>
                    <a:prstGeom prst="rect">
                      <a:avLst/>
                    </a:prstGeom>
                    <a:noFill/>
                    <a:ln>
                      <a:noFill/>
                    </a:ln>
                  </pic:spPr>
                </pic:pic>
              </a:graphicData>
            </a:graphic>
          </wp:inline>
        </w:drawing>
      </w:r>
      <w:r>
        <w:rPr>
          <w:sz w:val="20"/>
        </w:rPr>
        <w:t xml:space="preserve">. (2)</w:t>
      </w:r>
    </w:p>
    <w:p>
      <w:pPr>
        <w:pStyle w:val="0"/>
        <w:ind w:firstLine="540"/>
        <w:jc w:val="both"/>
      </w:pPr>
      <w:r>
        <w:rPr>
          <w:sz w:val="20"/>
        </w:rPr>
      </w:r>
    </w:p>
    <w:p>
      <w:pPr>
        <w:pStyle w:val="0"/>
        <w:ind w:firstLine="540"/>
        <w:jc w:val="both"/>
      </w:pPr>
      <w:r>
        <w:rPr>
          <w:sz w:val="20"/>
        </w:rPr>
        <w:t xml:space="preserve">8.10. Проверка вакуумметрического рабочего давления на оборудовании для испытаний всасывающих пожарных рукавов на герметичность вакуумметрическим давлением</w:t>
      </w:r>
    </w:p>
    <w:p>
      <w:pPr>
        <w:pStyle w:val="0"/>
        <w:spacing w:before="200" w:line-rule="auto"/>
        <w:ind w:firstLine="540"/>
        <w:jc w:val="both"/>
      </w:pPr>
      <w:r>
        <w:rPr>
          <w:sz w:val="20"/>
        </w:rPr>
        <w:t xml:space="preserve">Оборудование подготавливают к работе в соответствии с эксплуатационной документацией и схемой, приведенной на </w:t>
      </w:r>
      <w:hyperlink w:history="0" w:anchor="P160" w:tooltip="Рисунок 1">
        <w:r>
          <w:rPr>
            <w:sz w:val="20"/>
            <w:color w:val="0000ff"/>
          </w:rPr>
          <w:t xml:space="preserve">рисунке 1</w:t>
        </w:r>
      </w:hyperlink>
      <w:r>
        <w:rPr>
          <w:sz w:val="20"/>
        </w:rPr>
        <w:t xml:space="preserve">. Выходные патрубки закрывают заглушками, входящими в комплект оборудования. Вакуумметр должен обеспечивать измерение с точностью до 0,001 МПа.</w:t>
      </w:r>
    </w:p>
    <w:p>
      <w:pPr>
        <w:pStyle w:val="0"/>
        <w:spacing w:before="200" w:line-rule="auto"/>
        <w:ind w:firstLine="540"/>
        <w:jc w:val="both"/>
      </w:pPr>
      <w:r>
        <w:rPr>
          <w:sz w:val="20"/>
        </w:rPr>
        <w:t xml:space="preserve">Включают оборудование и создают разрежение </w:t>
      </w:r>
      <w:r>
        <w:rPr>
          <w:position w:val="-8"/>
        </w:rPr>
        <w:drawing>
          <wp:inline distT="0" distB="0" distL="0" distR="0">
            <wp:extent cx="1026160" cy="23876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8">
                      <a:extLst>
                        <a:ext uri="{28A0092B-C50C-407E-A947-70E740481C1C}">
                          <a14:useLocalDpi xmlns:a14="http://schemas.microsoft.com/office/drawing/2010/main" val="0"/>
                        </a:ext>
                      </a:extLst>
                    </a:blip>
                    <a:srcRect/>
                    <a:stretch>
                      <a:fillRect/>
                    </a:stretch>
                  </pic:blipFill>
                  <pic:spPr bwMode="auto">
                    <a:xfrm>
                      <a:off x="0" y="0"/>
                      <a:ext cx="1026160" cy="238760"/>
                    </a:xfrm>
                    <a:prstGeom prst="rect">
                      <a:avLst/>
                    </a:prstGeom>
                    <a:noFill/>
                    <a:ln>
                      <a:noFill/>
                    </a:ln>
                  </pic:spPr>
                </pic:pic>
              </a:graphicData>
            </a:graphic>
          </wp:inline>
        </w:drawing>
      </w:r>
      <w:r>
        <w:rPr>
          <w:sz w:val="20"/>
        </w:rPr>
        <w:t xml:space="preserve">. Падение вакуума не должно превышать 0,003 МПа в течение не менее 5 мин. Закрывают вакуумный кран. Падение вакуума не должно превышать 0,013 МПа в течение 5 мин.</w:t>
      </w:r>
    </w:p>
    <w:p>
      <w:pPr>
        <w:pStyle w:val="0"/>
        <w:spacing w:before="200" w:line-rule="auto"/>
        <w:ind w:firstLine="540"/>
        <w:jc w:val="both"/>
      </w:pPr>
      <w:r>
        <w:rPr>
          <w:sz w:val="20"/>
        </w:rPr>
        <w:t xml:space="preserve">8.11. Проверка производительности оборудования для испытаний всасывающих пожарных рукавов на герметичность вакуумметрическим давлением</w:t>
      </w:r>
    </w:p>
    <w:p>
      <w:pPr>
        <w:pStyle w:val="0"/>
        <w:spacing w:before="200" w:line-rule="auto"/>
        <w:ind w:firstLine="540"/>
        <w:jc w:val="both"/>
      </w:pPr>
      <w:r>
        <w:rPr>
          <w:sz w:val="20"/>
        </w:rPr>
        <w:t xml:space="preserve">Для испытания отбирают всасывающий пожарный рукав (напорно-всасывающий пожарный рукав) или специальную емкость определенного объема с присоединительными патрубками к оборудованию. Рассчитывают объем V всасывающего пожарного рукава (напорно-всасывающего пожарного рукава) по формуле</w:t>
      </w:r>
    </w:p>
    <w:p>
      <w:pPr>
        <w:pStyle w:val="0"/>
        <w:ind w:firstLine="540"/>
        <w:jc w:val="both"/>
      </w:pPr>
      <w:r>
        <w:rPr>
          <w:sz w:val="20"/>
        </w:rPr>
      </w:r>
    </w:p>
    <w:p>
      <w:pPr>
        <w:pStyle w:val="0"/>
        <w:jc w:val="center"/>
      </w:pPr>
      <w:r>
        <w:rPr>
          <w:position w:val="-23"/>
        </w:rPr>
        <w:drawing>
          <wp:inline distT="0" distB="0" distL="0" distR="0">
            <wp:extent cx="641350" cy="423545"/>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69">
                      <a:extLst>
                        <a:ext uri="{28A0092B-C50C-407E-A947-70E740481C1C}">
                          <a14:useLocalDpi xmlns:a14="http://schemas.microsoft.com/office/drawing/2010/main" val="0"/>
                        </a:ext>
                      </a:extLst>
                    </a:blip>
                    <a:srcRect/>
                    <a:stretch>
                      <a:fillRect/>
                    </a:stretch>
                  </pic:blipFill>
                  <pic:spPr bwMode="auto">
                    <a:xfrm>
                      <a:off x="0" y="0"/>
                      <a:ext cx="641350" cy="423545"/>
                    </a:xfrm>
                    <a:prstGeom prst="rect">
                      <a:avLst/>
                    </a:prstGeom>
                    <a:noFill/>
                    <a:ln>
                      <a:noFill/>
                    </a:ln>
                  </pic:spPr>
                </pic:pic>
              </a:graphicData>
            </a:graphic>
          </wp:inline>
        </w:drawing>
      </w:r>
      <w:r>
        <w:rPr>
          <w:sz w:val="20"/>
        </w:rPr>
        <w:t xml:space="preserve">, (3)</w:t>
      </w:r>
    </w:p>
    <w:p>
      <w:pPr>
        <w:pStyle w:val="0"/>
        <w:ind w:firstLine="540"/>
        <w:jc w:val="both"/>
      </w:pPr>
      <w:r>
        <w:rPr>
          <w:sz w:val="20"/>
        </w:rPr>
      </w:r>
    </w:p>
    <w:p>
      <w:pPr>
        <w:pStyle w:val="0"/>
        <w:ind w:firstLine="540"/>
        <w:jc w:val="both"/>
      </w:pPr>
      <w:r>
        <w:rPr>
          <w:sz w:val="20"/>
        </w:rPr>
        <w:t xml:space="preserve">где </w:t>
      </w:r>
      <w:r>
        <w:rPr>
          <w:position w:val="-6"/>
        </w:rPr>
        <w:drawing>
          <wp:inline distT="0" distB="0" distL="0" distR="0">
            <wp:extent cx="842645" cy="2070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0">
                      <a:extLst>
                        <a:ext uri="{28A0092B-C50C-407E-A947-70E740481C1C}">
                          <a14:useLocalDpi xmlns:a14="http://schemas.microsoft.com/office/drawing/2010/main" val="0"/>
                        </a:ext>
                      </a:extLst>
                    </a:blip>
                    <a:srcRect/>
                    <a:stretch>
                      <a:fillRect/>
                    </a:stretch>
                  </pic:blipFill>
                  <pic:spPr bwMode="auto">
                    <a:xfrm>
                      <a:off x="0" y="0"/>
                      <a:ext cx="842645" cy="207010"/>
                    </a:xfrm>
                    <a:prstGeom prst="rect">
                      <a:avLst/>
                    </a:prstGeom>
                    <a:noFill/>
                    <a:ln>
                      <a:noFill/>
                    </a:ln>
                  </pic:spPr>
                </pic:pic>
              </a:graphicData>
            </a:graphic>
          </wp:inline>
        </w:drawing>
      </w:r>
      <w:r>
        <w:rPr>
          <w:sz w:val="20"/>
        </w:rPr>
        <w:t xml:space="preserve">;</w:t>
      </w:r>
    </w:p>
    <w:p>
      <w:pPr>
        <w:pStyle w:val="0"/>
        <w:spacing w:before="200" w:line-rule="auto"/>
        <w:ind w:firstLine="540"/>
        <w:jc w:val="both"/>
      </w:pPr>
      <w:r>
        <w:rPr>
          <w:sz w:val="20"/>
        </w:rPr>
        <w:t xml:space="preserve">d - внутренний диаметр всасывающего рукава, мм;</w:t>
      </w:r>
    </w:p>
    <w:p>
      <w:pPr>
        <w:pStyle w:val="0"/>
        <w:spacing w:before="200" w:line-rule="auto"/>
        <w:ind w:firstLine="540"/>
        <w:jc w:val="both"/>
      </w:pPr>
      <w:r>
        <w:rPr>
          <w:sz w:val="20"/>
        </w:rPr>
        <w:t xml:space="preserve">l - длина рукава, мм.</w:t>
      </w:r>
    </w:p>
    <w:p>
      <w:pPr>
        <w:pStyle w:val="0"/>
        <w:spacing w:before="200" w:line-rule="auto"/>
        <w:ind w:firstLine="540"/>
        <w:jc w:val="both"/>
      </w:pPr>
      <w:r>
        <w:rPr>
          <w:sz w:val="20"/>
        </w:rPr>
        <w:t xml:space="preserve">Специальную емкость или всасывающий пожарный рукав (напорно-всасывающий пожарный рукав) подсоединяют к оборудованию. Одновременно включают оборудование и секундомер. Доводят разрежение до рабочего давления, после чего выключают оборудование и секундомер, по которому определяют время t.</w:t>
      </w:r>
    </w:p>
    <w:p>
      <w:pPr>
        <w:pStyle w:val="0"/>
        <w:spacing w:before="200" w:line-rule="auto"/>
        <w:ind w:firstLine="540"/>
        <w:jc w:val="both"/>
      </w:pPr>
      <w:r>
        <w:rPr>
          <w:sz w:val="20"/>
        </w:rPr>
        <w:t xml:space="preserve">Производительность W определяют по формуле</w:t>
      </w:r>
    </w:p>
    <w:p>
      <w:pPr>
        <w:pStyle w:val="0"/>
        <w:ind w:firstLine="540"/>
        <w:jc w:val="both"/>
      </w:pPr>
      <w:r>
        <w:rPr>
          <w:sz w:val="20"/>
        </w:rPr>
      </w:r>
    </w:p>
    <w:p>
      <w:pPr>
        <w:pStyle w:val="0"/>
        <w:jc w:val="center"/>
      </w:pPr>
      <w:r>
        <w:rPr>
          <w:position w:val="-21"/>
        </w:rPr>
        <w:drawing>
          <wp:inline distT="0" distB="0" distL="0" distR="0">
            <wp:extent cx="461010" cy="39751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1">
                      <a:extLst>
                        <a:ext uri="{28A0092B-C50C-407E-A947-70E740481C1C}">
                          <a14:useLocalDpi xmlns:a14="http://schemas.microsoft.com/office/drawing/2010/main" val="0"/>
                        </a:ext>
                      </a:extLst>
                    </a:blip>
                    <a:srcRect/>
                    <a:stretch>
                      <a:fillRect/>
                    </a:stretch>
                  </pic:blipFill>
                  <pic:spPr bwMode="auto">
                    <a:xfrm>
                      <a:off x="0" y="0"/>
                      <a:ext cx="461010" cy="397510"/>
                    </a:xfrm>
                    <a:prstGeom prst="rect">
                      <a:avLst/>
                    </a:prstGeom>
                    <a:noFill/>
                    <a:ln>
                      <a:noFill/>
                    </a:ln>
                  </pic:spPr>
                </pic:pic>
              </a:graphicData>
            </a:graphic>
          </wp:inline>
        </w:drawing>
      </w:r>
      <w:r>
        <w:rPr>
          <w:sz w:val="20"/>
        </w:rPr>
        <w:t xml:space="preserve">. (4)</w:t>
      </w:r>
    </w:p>
    <w:p>
      <w:pPr>
        <w:pStyle w:val="0"/>
        <w:ind w:firstLine="540"/>
        <w:jc w:val="both"/>
      </w:pPr>
      <w:r>
        <w:rPr>
          <w:sz w:val="20"/>
        </w:rPr>
      </w:r>
    </w:p>
    <w:p>
      <w:pPr>
        <w:pStyle w:val="0"/>
        <w:ind w:firstLine="540"/>
        <w:jc w:val="both"/>
      </w:pPr>
      <w:r>
        <w:rPr>
          <w:sz w:val="20"/>
        </w:rPr>
        <w:t xml:space="preserve">8.12. Проверка температуры сушки</w:t>
      </w:r>
    </w:p>
    <w:p>
      <w:pPr>
        <w:pStyle w:val="0"/>
        <w:spacing w:before="200" w:line-rule="auto"/>
        <w:ind w:firstLine="540"/>
        <w:jc w:val="both"/>
      </w:pPr>
      <w:r>
        <w:rPr>
          <w:sz w:val="20"/>
        </w:rPr>
        <w:t xml:space="preserve">Температуру измеряют контрольным термометром или другим измерительным прибором, поверенным в установленном порядке. После выхода оборудования на установленный режим работы проводят измерение температуры на расстоянии от 50 до 100 мм от отверстия для выхода нагретого потока воздуха. Температура сушки должна соответствовать значению (50 +/- 5) °C.</w:t>
      </w:r>
    </w:p>
    <w:p>
      <w:pPr>
        <w:pStyle w:val="0"/>
        <w:spacing w:before="200" w:line-rule="auto"/>
        <w:ind w:firstLine="540"/>
        <w:jc w:val="both"/>
      </w:pPr>
      <w:r>
        <w:rPr>
          <w:sz w:val="20"/>
        </w:rPr>
        <w:t xml:space="preserve">8.13. Проверка стабильности поддержания температуры сушки</w:t>
      </w:r>
    </w:p>
    <w:p>
      <w:pPr>
        <w:pStyle w:val="0"/>
        <w:spacing w:before="200" w:line-rule="auto"/>
        <w:ind w:firstLine="540"/>
        <w:jc w:val="both"/>
      </w:pPr>
      <w:r>
        <w:rPr>
          <w:sz w:val="20"/>
        </w:rPr>
        <w:t xml:space="preserve">Температуру измеряют контрольным термометром или другим измерительным прибором, поверенным в установленном порядке. Измерение температуры проводят при включенном оборудовании и установленном режиме сушки с температурой 45 °C на расстоянии от 50 до 100 мм от отверстия для выхода нагретого потока воздуха. Температуру измеряют после выхода оборудования на установленный режим работы через каждые 15 мин работы оборудования.</w:t>
      </w:r>
    </w:p>
    <w:p>
      <w:pPr>
        <w:pStyle w:val="0"/>
        <w:spacing w:before="200" w:line-rule="auto"/>
        <w:ind w:firstLine="540"/>
        <w:jc w:val="both"/>
      </w:pPr>
      <w:r>
        <w:rPr>
          <w:sz w:val="20"/>
        </w:rPr>
        <w:t xml:space="preserve">Оборудование должно обеспечивать поддержание температуры сушки в пределах от 40 °C до 50 °C в течение </w:t>
      </w:r>
      <w:r>
        <w:rPr>
          <w:position w:val="-8"/>
        </w:rPr>
        <w:drawing>
          <wp:inline distT="0" distB="0" distL="0" distR="0">
            <wp:extent cx="515620" cy="231140"/>
            <wp:effectExtent l="0" t="0" r="0" b="0"/>
            <wp:docPr id="1" name="Консультант Плюс"/>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pic:nvPicPr>
                  <pic:blipFill>
                    <a:blip r:embed="rId72">
                      <a:extLst>
                        <a:ext uri="{28A0092B-C50C-407E-A947-70E740481C1C}">
                          <a14:useLocalDpi xmlns:a14="http://schemas.microsoft.com/office/drawing/2010/main" val="0"/>
                        </a:ext>
                      </a:extLst>
                    </a:blip>
                    <a:srcRect/>
                    <a:stretch>
                      <a:fillRect/>
                    </a:stretch>
                  </pic:blipFill>
                  <pic:spPr bwMode="auto">
                    <a:xfrm>
                      <a:off x="0" y="0"/>
                      <a:ext cx="515620" cy="231140"/>
                    </a:xfrm>
                    <a:prstGeom prst="rect">
                      <a:avLst/>
                    </a:prstGeom>
                    <a:noFill/>
                    <a:ln>
                      <a:noFill/>
                    </a:ln>
                  </pic:spPr>
                </pic:pic>
              </a:graphicData>
            </a:graphic>
          </wp:inline>
        </w:drawing>
      </w:r>
      <w:r>
        <w:rPr>
          <w:sz w:val="20"/>
        </w:rPr>
        <w:t xml:space="preserve">.</w:t>
      </w:r>
    </w:p>
    <w:p>
      <w:pPr>
        <w:pStyle w:val="0"/>
        <w:spacing w:before="200" w:line-rule="auto"/>
        <w:ind w:firstLine="540"/>
        <w:jc w:val="both"/>
      </w:pPr>
      <w:r>
        <w:rPr>
          <w:sz w:val="20"/>
        </w:rPr>
        <w:t xml:space="preserve">8.14. Проверка усилия и регулировки натяжения вязальной проволоки на оборудовании для крепления пожарных рукавов с рукавными пожарными соединительными головками</w:t>
      </w:r>
    </w:p>
    <w:p>
      <w:pPr>
        <w:pStyle w:val="0"/>
        <w:spacing w:before="200" w:line-rule="auto"/>
        <w:ind w:firstLine="540"/>
        <w:jc w:val="both"/>
      </w:pPr>
      <w:r>
        <w:rPr>
          <w:sz w:val="20"/>
        </w:rPr>
        <w:t xml:space="preserve">Регулируют натяжение проволоки на оборудовании в соответствии с эксплуатационной документацией. Проволоку присоединяют к динамометру и прикладывают усилие в направлении ее вытягивания при навязке рукава. Усилие натяжения и регулировка усилия натяжения вязальной проволоки должны соответствовать показателям, приведенным в </w:t>
      </w:r>
      <w:hyperlink w:history="0" w:anchor="P179" w:tooltip="Таблица 5">
        <w:r>
          <w:rPr>
            <w:sz w:val="20"/>
            <w:color w:val="0000ff"/>
          </w:rPr>
          <w:t xml:space="preserve">таблице 5</w:t>
        </w:r>
      </w:hyperlink>
      <w:r>
        <w:rPr>
          <w:sz w:val="20"/>
        </w:rPr>
        <w:t xml:space="preserve">.</w:t>
      </w:r>
    </w:p>
    <w:p>
      <w:pPr>
        <w:pStyle w:val="0"/>
        <w:spacing w:before="200" w:line-rule="auto"/>
        <w:ind w:firstLine="540"/>
        <w:jc w:val="both"/>
      </w:pPr>
      <w:r>
        <w:rPr>
          <w:sz w:val="20"/>
        </w:rPr>
        <w:t xml:space="preserve">Диаметр проволоки для крепления пожарных рукавов (см. </w:t>
      </w:r>
      <w:hyperlink w:history="0" w:anchor="P179" w:tooltip="Таблица 5">
        <w:r>
          <w:rPr>
            <w:sz w:val="20"/>
            <w:color w:val="0000ff"/>
          </w:rPr>
          <w:t xml:space="preserve">таблицу 5</w:t>
        </w:r>
      </w:hyperlink>
      <w:r>
        <w:rPr>
          <w:sz w:val="20"/>
        </w:rPr>
        <w:t xml:space="preserve">) проверяют штангенциркулем в соответствии с </w:t>
      </w:r>
      <w:hyperlink w:history="0" r:id="rId73" w:tooltip="&quot;ГОСТ 166-89 (ИСО 3599-76). Штангенциркули. Технические условия&quot; (утв. Постановлением Госстандарта СССР от 30.10.1989 N 3253) (ред. от 01.10.1992) {КонсультантПлюс}">
        <w:r>
          <w:rPr>
            <w:sz w:val="20"/>
            <w:color w:val="0000ff"/>
          </w:rPr>
          <w:t xml:space="preserve">ГОСТ 166</w:t>
        </w:r>
      </w:hyperlink>
      <w:r>
        <w:rPr>
          <w:sz w:val="20"/>
        </w:rPr>
        <w:t xml:space="preserve">.</w:t>
      </w:r>
    </w:p>
    <w:p>
      <w:pPr>
        <w:pStyle w:val="0"/>
        <w:spacing w:before="200" w:line-rule="auto"/>
        <w:ind w:firstLine="540"/>
        <w:jc w:val="both"/>
      </w:pPr>
      <w:r>
        <w:rPr>
          <w:sz w:val="20"/>
        </w:rPr>
        <w:t xml:space="preserve">8.15. Оснащение оборудования электроприводом (см. </w:t>
      </w:r>
      <w:hyperlink w:history="0" w:anchor="P94" w:tooltip="5.1. Оборудование должно быть оснащено электроприводом.">
        <w:r>
          <w:rPr>
            <w:sz w:val="20"/>
            <w:color w:val="0000ff"/>
          </w:rPr>
          <w:t xml:space="preserve">5.1</w:t>
        </w:r>
      </w:hyperlink>
      <w:r>
        <w:rPr>
          <w:sz w:val="20"/>
        </w:rPr>
        <w:t xml:space="preserve">), комплектность, маркировку, упаковку (см. </w:t>
      </w:r>
      <w:hyperlink w:history="0" w:anchor="P196" w:tooltip="5.9. Комплектность, маркировка, упаковка">
        <w:r>
          <w:rPr>
            <w:sz w:val="20"/>
            <w:color w:val="0000ff"/>
          </w:rPr>
          <w:t xml:space="preserve">5.9</w:t>
        </w:r>
      </w:hyperlink>
      <w:r>
        <w:rPr>
          <w:sz w:val="20"/>
        </w:rPr>
        <w:t xml:space="preserve">), содержание разделов паспорта (см. </w:t>
      </w:r>
      <w:hyperlink w:history="0" w:anchor="P197" w:tooltip="5.9.1. В комплект поставки должны входить:">
        <w:r>
          <w:rPr>
            <w:sz w:val="20"/>
            <w:color w:val="0000ff"/>
          </w:rPr>
          <w:t xml:space="preserve">5.9.1</w:t>
        </w:r>
      </w:hyperlink>
      <w:r>
        <w:rPr>
          <w:sz w:val="20"/>
        </w:rPr>
        <w:t xml:space="preserve"> и </w:t>
      </w:r>
      <w:hyperlink w:history="0" w:anchor="P215" w:tooltip="6.2. Оборудование должно быть укомплектовано эксплуатационной документацией, содержащей требования (правила), которые предотвращают возникновение опасных ситуаций. Общие требования к содержанию эксплуатационной документации в части обеспечения безопасности указаны в Приложении А.">
        <w:r>
          <w:rPr>
            <w:sz w:val="20"/>
            <w:color w:val="0000ff"/>
          </w:rPr>
          <w:t xml:space="preserve">6.2</w:t>
        </w:r>
      </w:hyperlink>
      <w:r>
        <w:rPr>
          <w:sz w:val="20"/>
        </w:rPr>
        <w:t xml:space="preserve">) проверяют внешним осмотром и сличением с КД.</w:t>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ind w:firstLine="540"/>
        <w:jc w:val="both"/>
      </w:pPr>
      <w:r>
        <w:rPr>
          <w:sz w:val="20"/>
        </w:rPr>
      </w:r>
    </w:p>
    <w:p>
      <w:pPr>
        <w:pStyle w:val="0"/>
        <w:outlineLvl w:val="0"/>
        <w:jc w:val="right"/>
      </w:pPr>
      <w:r>
        <w:rPr>
          <w:sz w:val="20"/>
        </w:rPr>
        <w:t xml:space="preserve">Приложение А</w:t>
      </w:r>
    </w:p>
    <w:p>
      <w:pPr>
        <w:pStyle w:val="0"/>
        <w:jc w:val="right"/>
      </w:pPr>
      <w:r>
        <w:rPr>
          <w:sz w:val="20"/>
        </w:rPr>
        <w:t xml:space="preserve">(обязательное)</w:t>
      </w:r>
    </w:p>
    <w:p>
      <w:pPr>
        <w:pStyle w:val="0"/>
        <w:ind w:firstLine="540"/>
        <w:jc w:val="both"/>
      </w:pPr>
      <w:r>
        <w:rPr>
          <w:sz w:val="20"/>
        </w:rPr>
      </w:r>
    </w:p>
    <w:bookmarkStart w:id="298" w:name="P298"/>
    <w:bookmarkEnd w:id="298"/>
    <w:p>
      <w:pPr>
        <w:pStyle w:val="0"/>
        <w:jc w:val="center"/>
      </w:pPr>
      <w:r>
        <w:rPr>
          <w:sz w:val="20"/>
        </w:rPr>
        <w:t xml:space="preserve">ОБЩИЕ ТРЕБОВАНИЯ</w:t>
      </w:r>
    </w:p>
    <w:p>
      <w:pPr>
        <w:pStyle w:val="0"/>
        <w:jc w:val="center"/>
      </w:pPr>
      <w:r>
        <w:rPr>
          <w:sz w:val="20"/>
        </w:rPr>
        <w:t xml:space="preserve">К СОДЕРЖАНИЮ ЭКСПЛУАТАЦИОННОЙ ДОКУМЕНТАЦИИ</w:t>
      </w:r>
    </w:p>
    <w:p>
      <w:pPr>
        <w:pStyle w:val="0"/>
        <w:jc w:val="center"/>
      </w:pPr>
      <w:r>
        <w:rPr>
          <w:sz w:val="20"/>
        </w:rPr>
        <w:t xml:space="preserve">В ЧАСТИ ОБЕСПЕЧЕНИЯ БЕЗОПАСНОСТИ</w:t>
      </w:r>
    </w:p>
    <w:p>
      <w:pPr>
        <w:pStyle w:val="0"/>
        <w:ind w:firstLine="540"/>
        <w:jc w:val="both"/>
      </w:pPr>
      <w:r>
        <w:rPr>
          <w:sz w:val="20"/>
        </w:rPr>
      </w:r>
    </w:p>
    <w:p>
      <w:pPr>
        <w:pStyle w:val="0"/>
        <w:ind w:firstLine="540"/>
        <w:jc w:val="both"/>
      </w:pPr>
      <w:r>
        <w:rPr>
          <w:sz w:val="20"/>
        </w:rPr>
        <w:t xml:space="preserve">Эксплуатационная документация должна содержать:</w:t>
      </w:r>
    </w:p>
    <w:p>
      <w:pPr>
        <w:pStyle w:val="0"/>
        <w:spacing w:before="200" w:line-rule="auto"/>
        <w:ind w:firstLine="540"/>
        <w:jc w:val="both"/>
      </w:pPr>
      <w:r>
        <w:rPr>
          <w:sz w:val="20"/>
        </w:rPr>
        <w:t xml:space="preserve">1) спецификацию оснастки, инструмента и приспособлений, обеспечивающих безопасное выполнение всех предусмотренных работ по монтажу (демонтажу), вводу в эксплуатацию и эксплуатации;</w:t>
      </w:r>
    </w:p>
    <w:p>
      <w:pPr>
        <w:pStyle w:val="0"/>
        <w:spacing w:before="200" w:line-rule="auto"/>
        <w:ind w:firstLine="540"/>
        <w:jc w:val="both"/>
      </w:pPr>
      <w:r>
        <w:rPr>
          <w:sz w:val="20"/>
        </w:rPr>
        <w:t xml:space="preserve">2) правила монтажа (демонтажа) и способы предупреждения возможных ошибок, которые приводят к созданию опасных ситуаций, порядок ввода в эксплуатацию;</w:t>
      </w:r>
    </w:p>
    <w:p>
      <w:pPr>
        <w:pStyle w:val="0"/>
        <w:spacing w:before="200" w:line-rule="auto"/>
        <w:ind w:firstLine="540"/>
        <w:jc w:val="both"/>
      </w:pPr>
      <w:r>
        <w:rPr>
          <w:sz w:val="20"/>
        </w:rPr>
        <w:t xml:space="preserve">3) требования к размещению оборудования в помещениях, обеспечивающих безопасность при использовании его по назначению, техническом обслуживании и ремонте, а также требования по оснащению помещений;</w:t>
      </w:r>
    </w:p>
    <w:p>
      <w:pPr>
        <w:pStyle w:val="0"/>
        <w:spacing w:before="200" w:line-rule="auto"/>
        <w:ind w:firstLine="540"/>
        <w:jc w:val="both"/>
      </w:pPr>
      <w:r>
        <w:rPr>
          <w:sz w:val="20"/>
        </w:rPr>
        <w:t xml:space="preserve">4) правила управления оборудованием на всех предусмотренных режимах работы и действия обслуживающего персонала при возникновении опасных ситуаций;</w:t>
      </w:r>
    </w:p>
    <w:p>
      <w:pPr>
        <w:pStyle w:val="0"/>
        <w:spacing w:before="200" w:line-rule="auto"/>
        <w:ind w:firstLine="540"/>
        <w:jc w:val="both"/>
      </w:pPr>
      <w:r>
        <w:rPr>
          <w:sz w:val="20"/>
        </w:rPr>
        <w:t xml:space="preserve">5) правила использования средств индивидуальной защиты;</w:t>
      </w:r>
    </w:p>
    <w:p>
      <w:pPr>
        <w:pStyle w:val="0"/>
        <w:spacing w:before="200" w:line-rule="auto"/>
        <w:ind w:firstLine="540"/>
        <w:jc w:val="both"/>
      </w:pPr>
      <w:r>
        <w:rPr>
          <w:sz w:val="20"/>
        </w:rPr>
        <w:t xml:space="preserve">6) способы своевременного обнаружения отказов в работе оборудования и действия обслуживающего персонала в этих случаях;</w:t>
      </w:r>
    </w:p>
    <w:p>
      <w:pPr>
        <w:pStyle w:val="0"/>
        <w:spacing w:before="200" w:line-rule="auto"/>
        <w:ind w:firstLine="540"/>
        <w:jc w:val="both"/>
      </w:pPr>
      <w:r>
        <w:rPr>
          <w:sz w:val="20"/>
        </w:rPr>
        <w:t xml:space="preserve">7) правила обеспечения электробезопасности оборудования.</w:t>
      </w:r>
    </w:p>
    <w:p>
      <w:pPr>
        <w:pStyle w:val="0"/>
        <w:ind w:firstLine="540"/>
        <w:jc w:val="both"/>
      </w:pPr>
      <w:r>
        <w:rPr>
          <w:sz w:val="20"/>
        </w:rPr>
      </w:r>
    </w:p>
    <w:p>
      <w:pPr>
        <w:pStyle w:val="0"/>
        <w:ind w:firstLine="540"/>
        <w:jc w:val="both"/>
      </w:pPr>
      <w:r>
        <w:rPr>
          <w:sz w:val="20"/>
        </w:rPr>
      </w:r>
    </w:p>
    <w:p>
      <w:pPr>
        <w:pStyle w:val="0"/>
        <w:jc w:val="both"/>
        <w:pBdr>
          <w:bottom w:val="single" w:sz="6" w:space="0" w:color="auto"/>
        </w:pBdr>
        <w:spacing w:before="100" w:after="100"/>
        <w:rPr>
          <w:sz w:val="2"/>
          <w:szCs w:val="2"/>
        </w:rPr>
      </w:pPr>
    </w:p>
    <w:sectPr>
      <w:headerReference w:type="default" r:id="rId5"/>
      <w:headerReference w:type="first" r:id="rId5"/>
      <w:footerReference w:type="default" r:id="rId6"/>
      <w:footerReference w:type="first" r:id="rId6"/>
      <w:pgSz w:w="11906" w:h="16838"/>
      <w:pgMar w:top="1440" w:right="566" w:bottom="1440" w:left="1133" w:header="0" w:footer="0" w:gutter="0"/>
      <w:titlePg/>
    </w:sectPr>
  </w:body>
</w:document>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pPr>
      <w:pBdr>
        <w:bottom w:val="single" w:sz="12" w:space="0" w:color="auto"/>
      </w:pBdr>
      <w:rPr>
        <w:sz w:val="2"/>
        <w:szCs w:val="2"/>
      </w:rPr>
    </w:pPr>
  </w:p>
  <w:tbl>
    <w:tblPr>
      <w:tblW w:w="5000" w:type="pct"/>
      <w:tblInd w:w="0" w:type="dxa"/>
      <w:tblCellMar>
        <w:left w:w="40" w:type="dxa"/>
        <w:right w:w="40" w:type="dxa"/>
      </w:tblCellMar>
      <w:tblLook w:firstRow="0" w:lastRow="0" w:firstColumn="0" w:lastColumn="0" w:noHBand="0" w:noVBand="0"/>
    </w:tblPr>
    <w:tblGrid>
      <w:gridCol w:w="1"/>
      <w:gridCol w:w="1"/>
      <w:gridCol w:w="1"/>
    </w:tblGrid>
    <w:tr>
      <w:trPr>
        <w:trHeight w:hRule="exact" w:val="1663"/>
      </w:trPr>
      <w:tc>
        <w:tcPr>
          <w:tcW w:w="1650" w:type="pct"/>
          <w:vAlign w:val="center"/>
        </w:tcPr>
        <w:p>
          <w:r>
            <w:rPr>
              <w:rFonts w:ascii="Tahoma" w:hAnsi="Tahoma" w:cs="Tahoma"/>
              <w:b/>
              <w:color w:val="f58220"/>
              <w:sz w:val="28"/>
              <w:szCs w:val="28"/>
              <w:noProof/>
            </w:rPr>
            <w:t>КонсультантПлюс</w:t>
          </w:r>
          <w:r>
            <w:rPr>
              <w:rFonts w:ascii="Tahoma" w:hAnsi="Tahoma" w:cs="Tahoma"/>
              <w:b/>
              <w:sz w:val="16"/>
              <w:szCs w:val="16"/>
              <w:noProof/>
            </w:rPr>
            <w:br/>
            <w:t>надежная правовая поддержка</w:t>
          </w:r>
        </w:p>
      </w:tc>
      <w:tc>
        <w:tcPr>
          <w:tcW w:w="1700" w:type="pct"/>
          <w:vAlign w:val="center"/>
        </w:tcPr>
        <w:p>
          <w:pPr>
            <w:jc w:val="center"/>
          </w:pPr>
          <w:hyperlink r:id="rId1" w:history="0">
            <w:r>
              <w:rPr>
                <w:rFonts w:ascii="Tahoma" w:hAnsi="Tahoma" w:cs="Tahoma"/>
                <w:b/>
                <w:color w:val="0000FF"/>
              </w:rPr>
              <w:t>www.consultant.ru</w:t>
            </w:r>
          </w:hyperlink>
        </w:p>
      </w:tc>
      <w:tc>
        <w:tcPr>
          <w:tcW w:w="1650" w:type="pct"/>
          <w:vAlign w:val="center"/>
        </w:tcPr>
        <w:p>
          <w:pPr>
            <w:jc w:val="end"/>
          </w:pPr>
          <w:r>
            <w:rPr>
              <w:rFonts w:ascii="Tahoma" w:hAnsi="Tahoma" w:cs="Tahoma"/>
            </w:rPr>
            <w:t xml:space="preserve">Страница </w:t>
          </w:r>
          <w:r>
            <w:fldChar w:fldCharType="begin"/>
          </w:r>
          <w:r>
            <w:rPr>
              <w:rFonts w:ascii="Tahoma" w:hAnsi="Tahoma" w:cs="Tahoma"/>
            </w:rPr>
            <w:instrText>PAGE</w:instrText>
          </w:r>
          <w:r>
            <w:fldChar w:fldCharType="separate"/>
          </w:r>
          <w:r>
            <w:rPr>
              <w:rFonts w:ascii="Tahoma" w:hAnsi="Tahoma" w:cs="Tahoma"/>
              <w:noProof/>
            </w:rPr>
            <w:t>5</w:t>
          </w:r>
          <w:r>
            <w:fldChar w:fldCharType="end"/>
          </w:r>
          <w:r>
            <w:rPr>
              <w:rFonts w:ascii="Tahoma" w:hAnsi="Tahoma" w:cs="Tahoma"/>
            </w:rPr>
            <w:t xml:space="preserve"> из </w:t>
          </w:r>
          <w:r>
            <w:fldChar w:fldCharType="begin"/>
          </w:r>
          <w:r>
            <w:rPr>
              <w:rFonts w:ascii="Tahoma" w:hAnsi="Tahoma" w:cs="Tahoma"/>
            </w:rPr>
            <w:instrText>NUMPAGES</w:instrText>
          </w:r>
          <w:r>
            <w:fldChar w:fldCharType="separate"/>
          </w:r>
          <w:r>
            <w:rPr>
              <w:rFonts w:ascii="Tahoma" w:hAnsi="Tahoma" w:cs="Tahoma"/>
              <w:noProof/>
            </w:rPr>
            <w:t>5</w:t>
          </w:r>
          <w:r>
            <w:fldChar w:fldCharType="end"/>
          </w:r>
        </w:p>
      </w:tc>
    </w:tr>
  </w:tbl>
  <w:p>
    <w:r>
      <w:rPr>
        <w:sz w:val="2"/>
        <w:szCs w:val="2"/>
      </w:rPr>
      <w:t>1</w:t>
    </w:r>
  </w:p>
</w:ftr>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tbl>
    <w:tblPr>
      <w:tblW w:w="5000" w:type="pct"/>
      <w:tblInd w:w="0" w:type="dxa"/>
      <w:tblLayout w:type="fixed"/>
      <w:tblCellMar>
        <w:left w:w="40" w:type="dxa"/>
        <w:right w:w="40" w:type="dxa"/>
      </w:tblCellMar>
    </w:tblPr>
    <w:tblGrid>
      <w:gridCol w:w="1"/>
      <w:gridCol w:w="1"/>
    </w:tblGrid>
    <w:tr>
      <w:trPr>
        <w:trHeight w:hRule="exact" w:val="1683"/>
      </w:trPr>
      <w:tc>
        <w:tcPr>
          <w:tcW w:w="2700" w:type="pct"/>
          <w:vAlign w:val="center"/>
        </w:tcPr>
        <w:p>
          <w:pPr>
            <w:rPr>
              <w:rFonts w:ascii="Tahoma" w:hAnsi="Tahoma" w:cs="Tahoma"/>
            </w:rPr>
          </w:pPr>
          <w:r>
            <w:rPr>
              <w:rFonts w:ascii="Tahoma" w:hAnsi="Tahoma" w:cs="Tahoma"/>
              <w:sz w:val="16"/>
              <w:szCs w:val="16"/>
            </w:rPr>
            <w:t>"ГОСТ Р 53277-2009. Техника пожарная. Оборудование по обслуживанию пожарных рукавов. Общие технические требования. Метод...</w:t>
          </w:r>
        </w:p>
      </w:tc>
      <w:tc>
        <w:tcPr>
          <w:tcW w:w="2300" w:type="pct"/>
          <w:vAlign w:val="center"/>
        </w:tcPr>
        <w:p>
          <w:pPr>
            <w:jc w:val="end"/>
            <w:rPr>
              <w:rFonts w:ascii="Tahoma" w:hAnsi="Tahoma" w:cs="Tahoma"/>
            </w:rPr>
          </w:pPr>
          <w:r>
            <w:rPr>
              <w:rFonts w:ascii="Tahoma" w:hAnsi="Tahoma" w:cs="Tahoma"/>
              <w:sz w:val="18"/>
              <w:szCs w:val="18"/>
              <w:noProof/>
            </w:rPr>
            <w:t xml:space="preserve">Документ предоставлен </w:t>
          </w:r>
          <w:hyperlink r:id="rId1" w:history="0" w:tooltip="КонсультантПлюс - надежная правовая система">
            <w:r>
              <w:rPr>
                <w:rFonts w:ascii="Tahoma" w:hAnsi="Tahoma" w:cs="Tahoma"/>
                <w:color w:val="0000FF"/>
                <w:sz w:val="18"/>
                <w:szCs w:val="18"/>
                <w:noProof/>
              </w:rPr>
              <w:t>КонсультантПлюс</w:t>
            </w:r>
          </w:hyperlink>
          <w:r>
            <w:rPr>
              <w:rFonts w:ascii="Tahoma" w:hAnsi="Tahoma" w:cs="Tahoma"/>
              <w:sz w:val="18"/>
              <w:szCs w:val="18"/>
            </w:rPr>
            <w:br/>
          </w:r>
          <w:r>
            <w:rPr>
              <w:rFonts w:ascii="Tahoma" w:hAnsi="Tahoma" w:cs="Tahoma"/>
              <w:sz w:val="16"/>
              <w:szCs w:val="16"/>
            </w:rPr>
            <w:t>Дата сохранения: 23.08.2024</w:t>
          </w:r>
        </w:p>
      </w:tc>
    </w:tr>
  </w:tbl>
  <w:p>
    <w:pPr>
      <w:pBdr>
        <w:bottom w:val="single" w:sz="12" w:space="0" w:color="auto"/>
      </w:pBdr>
      <w:rPr>
        <w:sz w:val="2"/>
        <w:szCs w:val="2"/>
      </w:rPr>
    </w:pPr>
  </w:p>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pPrDefault>
      <w:pPr>
        <w:spacing w:before="0" w:after="0" w:line="240" w:lineRule="auto"/>
      </w:pPr>
    </w:pPrDefault>
  </w:docDefaults>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 w:type="paragraph" w:default="1" w:customStyle="1" w:styleId="0">
    <w:name w:val="ConsPlusNormal"/>
    <w:pPr>
      <w:widowControl w:val="0"/>
      <w:autoSpaceDE w:val="0"/>
      <w:autoSpaceDN w:val="0"/>
    </w:pPr>
    <w:rPr>
      <w:rFonts w:ascii="Arial" w:hAnsi="Arial" w:cs="Arial"/>
      <w:sz w:val="20"/>
    </w:rPr>
  </w:style>
  <w:style w:type="paragraph" w:customStyle="1" w:styleId="1">
    <w:name w:val="ConsPlusNonformat"/>
    <w:pPr>
      <w:widowControl w:val="0"/>
      <w:autoSpaceDE w:val="0"/>
      <w:autoSpaceDN w:val="0"/>
    </w:pPr>
    <w:rPr>
      <w:rFonts w:ascii="Courier New" w:hAnsi="Courier New" w:cs="Courier New"/>
      <w:sz w:val="20"/>
    </w:rPr>
  </w:style>
  <w:style w:type="paragraph" w:customStyle="1" w:styleId="2">
    <w:name w:val="ConsPlusTitle"/>
    <w:pPr>
      <w:widowControl w:val="0"/>
      <w:autoSpaceDE w:val="0"/>
      <w:autoSpaceDN w:val="0"/>
    </w:pPr>
    <w:rPr>
      <w:rFonts w:ascii="Arial" w:hAnsi="Arial" w:cs="Arial"/>
      <w:sz w:val="20"/>
      <w:b/>
    </w:rPr>
  </w:style>
  <w:style w:type="paragraph" w:customStyle="1" w:styleId="3">
    <w:name w:val="ConsPlusCell"/>
    <w:pPr>
      <w:widowControl w:val="0"/>
      <w:autoSpaceDE w:val="0"/>
      <w:autoSpaceDN w:val="0"/>
    </w:pPr>
    <w:rPr>
      <w:rFonts w:ascii="Courier New" w:hAnsi="Courier New" w:cs="Courier New"/>
      <w:sz w:val="20"/>
    </w:rPr>
  </w:style>
  <w:style w:type="paragraph" w:customStyle="1" w:styleId="4">
    <w:name w:val="ConsPlusDocList"/>
    <w:pPr>
      <w:widowControl w:val="0"/>
      <w:autoSpaceDE w:val="0"/>
      <w:autoSpaceDN w:val="0"/>
    </w:pPr>
    <w:rPr>
      <w:rFonts w:ascii="Courier New" w:hAnsi="Courier New" w:cs="Courier New"/>
      <w:sz w:val="20"/>
    </w:rPr>
  </w:style>
  <w:style w:type="paragraph" w:customStyle="1" w:styleId="5">
    <w:name w:val="ConsPlusTitlePage"/>
    <w:pPr>
      <w:widowControl w:val="0"/>
      <w:autoSpaceDE w:val="0"/>
      <w:autoSpaceDN w:val="0"/>
    </w:pPr>
    <w:rPr>
      <w:rFonts w:ascii="Tahoma" w:hAnsi="Tahoma" w:cs="Tahoma"/>
      <w:sz w:val="20"/>
    </w:rPr>
  </w:style>
  <w:style w:type="paragraph" w:customStyle="1" w:styleId="6">
    <w:name w:val="ConsPlusJurTerm"/>
    <w:pPr>
      <w:widowControl w:val="0"/>
      <w:autoSpaceDE w:val="0"/>
      <w:autoSpaceDN w:val="0"/>
    </w:pPr>
    <w:rPr>
      <w:rFonts w:ascii="Tahoma" w:hAnsi="Tahoma" w:cs="Tahoma"/>
      <w:sz w:val="26"/>
    </w:rPr>
  </w:style>
  <w:style w:type="paragraph" w:customStyle="1" w:styleId="7">
    <w:name w:val="ConsPlusTextList"/>
    <w:pPr>
      <w:widowControl w:val="0"/>
      <w:autoSpaceDE w:val="0"/>
      <w:autoSpaceDN w:val="0"/>
    </w:pPr>
    <w:rPr>
      <w:rFonts w:ascii="Arial" w:hAnsi="Arial" w:cs="Arial"/>
      <w:sz w:val="20"/>
    </w:rPr>
  </w:style>
  <w:style w:type="paragraph" w:customStyle="1" w:styleId="8">
    <w:name w:val="ConsPlusTextList"/>
    <w:pPr>
      <w:widowControl w:val="0"/>
      <w:autoSpaceDE w:val="0"/>
      <w:autoSpaceDN w:val="0"/>
    </w:pPr>
    <w:rPr>
      <w:rFonts w:ascii="Arial" w:hAnsi="Arial" w:cs="Arial"/>
      <w:sz w:val="20"/>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image" Target="media/image1.png"/>
	<Relationship Id="rId3" Type="http://schemas.openxmlformats.org/officeDocument/2006/relationships/hyperlink" Target="https://www.consultant.ru" TargetMode = "External"/>
	<Relationship Id="rId4" Type="http://schemas.openxmlformats.org/officeDocument/2006/relationships/hyperlink" Target="https://www.consultant.ru" TargetMode = "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hyperlink" Target="https://login.consultant.ru/link/?req=doc&amp;base=STR&amp;n=11721&amp;dst=100006" TargetMode = "External"/>
	<Relationship Id="rId8" Type="http://schemas.openxmlformats.org/officeDocument/2006/relationships/hyperlink" Target="https://login.consultant.ru/link/?req=doc&amp;base=LAW&amp;n=456140&amp;dst=100284" TargetMode = "External"/>
	<Relationship Id="rId9" Type="http://schemas.openxmlformats.org/officeDocument/2006/relationships/hyperlink" Target="https://login.consultant.ru/link/?req=doc&amp;base=LAW&amp;n=171859&amp;dst=130417" TargetMode = "External"/>
	<Relationship Id="rId10" Type="http://schemas.openxmlformats.org/officeDocument/2006/relationships/hyperlink" Target="https://login.consultant.ru/link/?req=doc&amp;base=LAW&amp;n=388109" TargetMode = "External"/>
	<Relationship Id="rId11" Type="http://schemas.openxmlformats.org/officeDocument/2006/relationships/hyperlink" Target="https://login.consultant.ru/link/?req=doc&amp;base=STR&amp;n=5443" TargetMode = "External"/>
	<Relationship Id="rId12" Type="http://schemas.openxmlformats.org/officeDocument/2006/relationships/hyperlink" Target="https://login.consultant.ru/link/?req=doc&amp;base=STR&amp;n=11721&amp;dst=100006" TargetMode = "External"/>
	<Relationship Id="rId13" Type="http://schemas.openxmlformats.org/officeDocument/2006/relationships/hyperlink" Target="https://login.consultant.ru/link/?req=doc&amp;base=STR&amp;n=5443" TargetMode = "External"/>
	<Relationship Id="rId14" Type="http://schemas.openxmlformats.org/officeDocument/2006/relationships/hyperlink" Target="https://login.consultant.ru/link/?req=doc&amp;base=STR&amp;n=6839" TargetMode = "External"/>
	<Relationship Id="rId15" Type="http://schemas.openxmlformats.org/officeDocument/2006/relationships/hyperlink" Target="https://login.consultant.ru/link/?req=doc&amp;base=STR&amp;n=8315" TargetMode = "External"/>
	<Relationship Id="rId16" Type="http://schemas.openxmlformats.org/officeDocument/2006/relationships/hyperlink" Target="https://login.consultant.ru/link/?req=doc&amp;base=STR&amp;n=6731" TargetMode = "External"/>
	<Relationship Id="rId17" Type="http://schemas.openxmlformats.org/officeDocument/2006/relationships/hyperlink" Target="https://login.consultant.ru/link/?req=doc&amp;base=STR&amp;n=296" TargetMode = "External"/>
	<Relationship Id="rId18" Type="http://schemas.openxmlformats.org/officeDocument/2006/relationships/hyperlink" Target="https://login.consultant.ru/link/?req=doc&amp;base=STR&amp;n=374" TargetMode = "External"/>
	<Relationship Id="rId19" Type="http://schemas.openxmlformats.org/officeDocument/2006/relationships/hyperlink" Target="https://login.consultant.ru/link/?req=doc&amp;base=STR&amp;n=7996" TargetMode = "External"/>
	<Relationship Id="rId20" Type="http://schemas.openxmlformats.org/officeDocument/2006/relationships/hyperlink" Target="https://login.consultant.ru/link/?req=doc&amp;base=STR&amp;n=8128" TargetMode = "External"/>
	<Relationship Id="rId21" Type="http://schemas.openxmlformats.org/officeDocument/2006/relationships/hyperlink" Target="https://login.consultant.ru/link/?req=doc&amp;base=STR&amp;n=13650" TargetMode = "External"/>
	<Relationship Id="rId22" Type="http://schemas.openxmlformats.org/officeDocument/2006/relationships/hyperlink" Target="https://login.consultant.ru/link/?req=doc&amp;base=STR&amp;n=7371" TargetMode = "External"/>
	<Relationship Id="rId23" Type="http://schemas.openxmlformats.org/officeDocument/2006/relationships/hyperlink" Target="https://login.consultant.ru/link/?req=doc&amp;base=STR&amp;n=8341" TargetMode = "External"/>
	<Relationship Id="rId24" Type="http://schemas.openxmlformats.org/officeDocument/2006/relationships/hyperlink" Target="https://login.consultant.ru/link/?req=doc&amp;base=OTN&amp;n=5978" TargetMode = "External"/>
	<Relationship Id="rId25" Type="http://schemas.openxmlformats.org/officeDocument/2006/relationships/hyperlink" Target="https://login.consultant.ru/link/?req=doc&amp;base=STR&amp;n=16194" TargetMode = "External"/>
	<Relationship Id="rId26" Type="http://schemas.openxmlformats.org/officeDocument/2006/relationships/hyperlink" Target="https://login.consultant.ru/link/?req=doc&amp;base=STR&amp;n=13667" TargetMode = "External"/>
	<Relationship Id="rId27" Type="http://schemas.openxmlformats.org/officeDocument/2006/relationships/hyperlink" Target="https://login.consultant.ru/link/?req=doc&amp;base=STR&amp;n=12184" TargetMode = "External"/>
	<Relationship Id="rId28" Type="http://schemas.openxmlformats.org/officeDocument/2006/relationships/hyperlink" Target="https://login.consultant.ru/link/?req=doc&amp;base=LAW&amp;n=465775" TargetMode = "External"/>
	<Relationship Id="rId29" Type="http://schemas.openxmlformats.org/officeDocument/2006/relationships/hyperlink" Target="https://login.consultant.ru/link/?req=doc&amp;base=LAW&amp;n=194675&amp;dst=100205" TargetMode = "External"/>
	<Relationship Id="rId30" Type="http://schemas.openxmlformats.org/officeDocument/2006/relationships/hyperlink" Target="https://login.consultant.ru/link/?req=doc&amp;base=LAW&amp;n=465775" TargetMode = "External"/>
	<Relationship Id="rId31" Type="http://schemas.openxmlformats.org/officeDocument/2006/relationships/hyperlink" Target="https://login.consultant.ru/link/?req=doc&amp;base=LAW&amp;n=150301&amp;dst=100243" TargetMode = "External"/>
	<Relationship Id="rId32" Type="http://schemas.openxmlformats.org/officeDocument/2006/relationships/hyperlink" Target="https://login.consultant.ru/link/?req=doc&amp;base=LAW&amp;n=465775" TargetMode = "External"/>
	<Relationship Id="rId33" Type="http://schemas.openxmlformats.org/officeDocument/2006/relationships/hyperlink" Target="https://login.consultant.ru/link/?req=doc&amp;base=LAW&amp;n=194675&amp;dst=100205" TargetMode = "External"/>
	<Relationship Id="rId34" Type="http://schemas.openxmlformats.org/officeDocument/2006/relationships/hyperlink" Target="https://login.consultant.ru/link/?req=doc&amp;base=LAW&amp;n=465775" TargetMode = "External"/>
	<Relationship Id="rId35" Type="http://schemas.openxmlformats.org/officeDocument/2006/relationships/hyperlink" Target="https://login.consultant.ru/link/?req=doc&amp;base=LAW&amp;n=194675&amp;dst=100205" TargetMode = "External"/>
	<Relationship Id="rId36" Type="http://schemas.openxmlformats.org/officeDocument/2006/relationships/hyperlink" Target="https://login.consultant.ru/link/?req=doc&amp;base=LAW&amp;n=465775" TargetMode = "External"/>
	<Relationship Id="rId37" Type="http://schemas.openxmlformats.org/officeDocument/2006/relationships/hyperlink" Target="https://login.consultant.ru/link/?req=doc&amp;base=LAW&amp;n=194675&amp;dst=100205" TargetMode = "External"/>
	<Relationship Id="rId38" Type="http://schemas.openxmlformats.org/officeDocument/2006/relationships/image" Target="media/image2.png"/>
	<Relationship Id="rId39" Type="http://schemas.openxmlformats.org/officeDocument/2006/relationships/hyperlink" Target="https://login.consultant.ru/link/?req=doc&amp;base=LAW&amp;n=465775" TargetMode = "External"/>
	<Relationship Id="rId40" Type="http://schemas.openxmlformats.org/officeDocument/2006/relationships/hyperlink" Target="https://login.consultant.ru/link/?req=doc&amp;base=LAW&amp;n=194675&amp;dst=100205" TargetMode = "External"/>
	<Relationship Id="rId41" Type="http://schemas.openxmlformats.org/officeDocument/2006/relationships/hyperlink" Target="https://login.consultant.ru/link/?req=doc&amp;base=LAW&amp;n=465775" TargetMode = "External"/>
	<Relationship Id="rId42" Type="http://schemas.openxmlformats.org/officeDocument/2006/relationships/hyperlink" Target="https://login.consultant.ru/link/?req=doc&amp;base=LAW&amp;n=194675&amp;dst=100205" TargetMode = "External"/>
	<Relationship Id="rId43" Type="http://schemas.openxmlformats.org/officeDocument/2006/relationships/hyperlink" Target="https://login.consultant.ru/link/?req=doc&amp;base=LAW&amp;n=465775" TargetMode = "External"/>
	<Relationship Id="rId44" Type="http://schemas.openxmlformats.org/officeDocument/2006/relationships/hyperlink" Target="https://login.consultant.ru/link/?req=doc&amp;base=LAW&amp;n=194675&amp;dst=100205" TargetMode = "External"/>
	<Relationship Id="rId45" Type="http://schemas.openxmlformats.org/officeDocument/2006/relationships/hyperlink" Target="https://login.consultant.ru/link/?req=doc&amp;base=STR&amp;n=6731" TargetMode = "External"/>
	<Relationship Id="rId46" Type="http://schemas.openxmlformats.org/officeDocument/2006/relationships/hyperlink" Target="https://login.consultant.ru/link/?req=doc&amp;base=LAW&amp;n=465775" TargetMode = "External"/>
	<Relationship Id="rId47" Type="http://schemas.openxmlformats.org/officeDocument/2006/relationships/hyperlink" Target="https://login.consultant.ru/link/?req=doc&amp;base=LAW&amp;n=194675&amp;dst=100205" TargetMode = "External"/>
	<Relationship Id="rId48" Type="http://schemas.openxmlformats.org/officeDocument/2006/relationships/hyperlink" Target="https://login.consultant.ru/link/?req=doc&amp;base=LAW&amp;n=465775" TargetMode = "External"/>
	<Relationship Id="rId49" Type="http://schemas.openxmlformats.org/officeDocument/2006/relationships/hyperlink" Target="https://login.consultant.ru/link/?req=doc&amp;base=LAW&amp;n=194675&amp;dst=100205" TargetMode = "External"/>
	<Relationship Id="rId50" Type="http://schemas.openxmlformats.org/officeDocument/2006/relationships/hyperlink" Target="https://login.consultant.ru/link/?req=doc&amp;base=STR&amp;n=374" TargetMode = "External"/>
	<Relationship Id="rId51" Type="http://schemas.openxmlformats.org/officeDocument/2006/relationships/hyperlink" Target="https://login.consultant.ru/link/?req=doc&amp;base=LAW&amp;n=465775" TargetMode = "External"/>
	<Relationship Id="rId52" Type="http://schemas.openxmlformats.org/officeDocument/2006/relationships/hyperlink" Target="https://login.consultant.ru/link/?req=doc&amp;base=LAW&amp;n=194675&amp;dst=100205" TargetMode = "External"/>
	<Relationship Id="rId53" Type="http://schemas.openxmlformats.org/officeDocument/2006/relationships/hyperlink" Target="https://login.consultant.ru/link/?req=doc&amp;base=LAW&amp;n=465775" TargetMode = "External"/>
	<Relationship Id="rId54" Type="http://schemas.openxmlformats.org/officeDocument/2006/relationships/hyperlink" Target="https://login.consultant.ru/link/?req=doc&amp;base=LAW&amp;n=150301&amp;dst=100243" TargetMode = "External"/>
	<Relationship Id="rId55" Type="http://schemas.openxmlformats.org/officeDocument/2006/relationships/hyperlink" Target="https://login.consultant.ru/link/?req=doc&amp;base=LAW&amp;n=465775" TargetMode = "External"/>
	<Relationship Id="rId56" Type="http://schemas.openxmlformats.org/officeDocument/2006/relationships/hyperlink" Target="https://login.consultant.ru/link/?req=doc&amp;base=LAW&amp;n=194675&amp;dst=100205" TargetMode = "External"/>
	<Relationship Id="rId57" Type="http://schemas.openxmlformats.org/officeDocument/2006/relationships/hyperlink" Target="https://login.consultant.ru/link/?req=doc&amp;base=STR&amp;n=7996" TargetMode = "External"/>
	<Relationship Id="rId58" Type="http://schemas.openxmlformats.org/officeDocument/2006/relationships/hyperlink" Target="https://login.consultant.ru/link/?req=doc&amp;base=STR&amp;n=296" TargetMode = "External"/>
	<Relationship Id="rId59" Type="http://schemas.openxmlformats.org/officeDocument/2006/relationships/hyperlink" Target="https://login.consultant.ru/link/?req=doc&amp;base=STR&amp;n=6839" TargetMode = "External"/>
	<Relationship Id="rId60" Type="http://schemas.openxmlformats.org/officeDocument/2006/relationships/hyperlink" Target="https://login.consultant.ru/link/?req=doc&amp;base=STR&amp;n=13650" TargetMode = "External"/>
	<Relationship Id="rId61" Type="http://schemas.openxmlformats.org/officeDocument/2006/relationships/hyperlink" Target="https://login.consultant.ru/link/?req=doc&amp;base=STR&amp;n=13650&amp;dst=100160" TargetMode = "External"/>
	<Relationship Id="rId62" Type="http://schemas.openxmlformats.org/officeDocument/2006/relationships/hyperlink" Target="https://login.consultant.ru/link/?req=doc&amp;base=STR&amp;n=16194" TargetMode = "External"/>
	<Relationship Id="rId63" Type="http://schemas.openxmlformats.org/officeDocument/2006/relationships/hyperlink" Target="https://login.consultant.ru/link/?req=doc&amp;base=STR&amp;n=16194" TargetMode = "External"/>
	<Relationship Id="rId64" Type="http://schemas.openxmlformats.org/officeDocument/2006/relationships/image" Target="media/image3.wmf"/>
	<Relationship Id="rId65" Type="http://schemas.openxmlformats.org/officeDocument/2006/relationships/hyperlink" Target="https://login.consultant.ru/link/?req=doc&amp;base=STR&amp;n=11693" TargetMode = "External"/>
	<Relationship Id="rId66" Type="http://schemas.openxmlformats.org/officeDocument/2006/relationships/image" Target="media/image4.wmf"/>
	<Relationship Id="rId67" Type="http://schemas.openxmlformats.org/officeDocument/2006/relationships/image" Target="media/image5.wmf"/>
	<Relationship Id="rId68" Type="http://schemas.openxmlformats.org/officeDocument/2006/relationships/image" Target="media/image6.wmf"/>
	<Relationship Id="rId69" Type="http://schemas.openxmlformats.org/officeDocument/2006/relationships/image" Target="media/image7.wmf"/>
	<Relationship Id="rId70" Type="http://schemas.openxmlformats.org/officeDocument/2006/relationships/image" Target="media/image8.wmf"/>
	<Relationship Id="rId71" Type="http://schemas.openxmlformats.org/officeDocument/2006/relationships/image" Target="media/image9.wmf"/>
	<Relationship Id="rId72" Type="http://schemas.openxmlformats.org/officeDocument/2006/relationships/image" Target="media/image10.wmf"/>
	<Relationship Id="rId73" Type="http://schemas.openxmlformats.org/officeDocument/2006/relationships/hyperlink" Target="https://login.consultant.ru/link/?req=doc&amp;base=STR&amp;n=8341" TargetMode = "External"/>
</Relationships>
</file>

<file path=word/_rels/foot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word/_rels/header1.xml.rels>&#65279;<?xml version="1.0" encoding="UTF-8" standalone="yes"?>
<Relationships xmlns="http://schemas.openxmlformats.org/package/2006/relationships">
	<Relationship Id="rId1" Type="http://schemas.openxmlformats.org/officeDocument/2006/relationships/hyperlink" Target="https://www.consultant.ru" TargetMode = "External"/>
</Relationships>
</file>

<file path=docProps/app.xml><?xml version="1.0" encoding="utf-8"?>
<Properties xmlns="http://schemas.openxmlformats.org/officeDocument/2006/extended-properties" xmlns:vt="http://schemas.openxmlformats.org/officeDocument/2006/docPropsVTypes">
  <Application>КонсультантПлюс Версия 4024.00.31</Application>
  <Company>КонсультантПлюс Версия 4024.00.31</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"ГОСТ Р 53277-2009. Техника пожарная. Оборудование по обслуживанию пожарных рукавов. Общие технические требования. Методы испытаний"
(утв. Приказом Ростехрегулирования от 18.02.2009 N 49-ст)</dc:title>
  <dcterms:created xsi:type="dcterms:W3CDTF">2024-08-23T07:51:26Z</dcterms:created>
</cp:coreProperties>
</file>