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"ГОСТ Р 59580-2021. Национальный стандарт Российской Федерации. Орошение водяное технологического оборудования и конструкций. Требования пожарной безопасности"</w:t>
              <w:br/>
              <w:t xml:space="preserve">(утв. и введен в действие Приказом Росстандарта от 29.06.2021 N 597-ст)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23.08.2024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 и введен в действие</w:t>
      </w:r>
    </w:p>
    <w:p>
      <w:pPr>
        <w:pStyle w:val="0"/>
        <w:jc w:val="right"/>
      </w:pPr>
      <w:hyperlink w:history="0" r:id="rId7" w:tooltip="Приказ Росстандарта от 29.06.2021 N 597-ст &quot;Об утверждении национального стандарта Российской Федерации&quot; {КонсультантПлюс}">
        <w:r>
          <w:rPr>
            <w:sz w:val="20"/>
            <w:color w:val="0000ff"/>
          </w:rPr>
          <w:t xml:space="preserve">Приказом</w:t>
        </w:r>
      </w:hyperlink>
      <w:r>
        <w:rPr>
          <w:sz w:val="20"/>
        </w:rPr>
        <w:t xml:space="preserve"> Федерального</w:t>
      </w:r>
    </w:p>
    <w:p>
      <w:pPr>
        <w:pStyle w:val="0"/>
        <w:jc w:val="right"/>
      </w:pPr>
      <w:r>
        <w:rPr>
          <w:sz w:val="20"/>
        </w:rPr>
        <w:t xml:space="preserve">агентства по техническому</w:t>
      </w:r>
    </w:p>
    <w:p>
      <w:pPr>
        <w:pStyle w:val="0"/>
        <w:jc w:val="right"/>
      </w:pPr>
      <w:r>
        <w:rPr>
          <w:sz w:val="20"/>
        </w:rPr>
        <w:t xml:space="preserve">регулированию и метрологии</w:t>
      </w:r>
    </w:p>
    <w:p>
      <w:pPr>
        <w:pStyle w:val="0"/>
        <w:jc w:val="right"/>
      </w:pPr>
      <w:r>
        <w:rPr>
          <w:sz w:val="20"/>
        </w:rPr>
        <w:t xml:space="preserve">от 29 июня 2021 г. N 597-ст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  <w:b w:val="on"/>
        </w:rPr>
        <w:t xml:space="preserve">НАЦИОНАЛЬНЫЙ СТАНДАРТ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  <w:b w:val="on"/>
        </w:rPr>
        <w:t xml:space="preserve">ОРОШЕНИЕ ВОДЯНОЕ ТЕХНОЛОГИЧЕСКОГО ОБОРУДОВАНИЯ И КОНСТРУКЦИЙ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  <w:b w:val="on"/>
        </w:rPr>
        <w:t xml:space="preserve">ТРЕБОВАНИЯ ПОЖАРНОЙ БЕЗОПАСНОСТИ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Water spraying of technological equipment and structures.</w:t>
      </w:r>
    </w:p>
    <w:p>
      <w:pPr>
        <w:pStyle w:val="2"/>
        <w:jc w:val="center"/>
      </w:pPr>
      <w:r>
        <w:rPr>
          <w:sz w:val="20"/>
        </w:rPr>
        <w:t xml:space="preserve">Requirements of fire safety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  <w:b w:val="on"/>
        </w:rPr>
        <w:t xml:space="preserve">(NFPA 15:2007, NEQ)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  <w:b w:val="on"/>
        </w:rPr>
        <w:t xml:space="preserve">ГОСТ Р 59580-2021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ОКС </w:t>
      </w:r>
      <w:hyperlink w:history="0" r:id="rId8" w:tooltip="&quot;Общероссийский классификатор стандартов ОК (МК (ИСО/инфко МКС) 001-96) 001-2000&quot; (утв. Постановлением Госстандарта России от 17.05.2000 N 138-ст) (ред. от 25.05.2017) (Дата введения 01.10.2000) ------------ Утратил силу или отменен {КонсультантПлюс}">
        <w:r>
          <w:rPr>
            <w:sz w:val="20"/>
            <w:color w:val="0000ff"/>
          </w:rPr>
          <w:t xml:space="preserve">13.220.01</w:t>
        </w:r>
      </w:hyperlink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  <w:b w:val="on"/>
        </w:rPr>
        <w:t xml:space="preserve">Дата введения</w:t>
      </w:r>
    </w:p>
    <w:p>
      <w:pPr>
        <w:pStyle w:val="0"/>
        <w:jc w:val="right"/>
      </w:pPr>
      <w:r>
        <w:rPr>
          <w:sz w:val="20"/>
          <w:b w:val="on"/>
        </w:rPr>
        <w:t xml:space="preserve">1 января 2022 года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0"/>
        <w:jc w:val="center"/>
      </w:pPr>
      <w:r>
        <w:rPr>
          <w:sz w:val="20"/>
          <w:b w:val="on"/>
        </w:rPr>
        <w:t xml:space="preserve">Предисловие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 РАЗРАБОТАН Федеральным государственным бюджетным учреждением "Всероссийский ордена "Знака Почета" научно-исследовательский институт противопожарной обороны" МЧС России (ФГБУ ВНИИПО МЧС России)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 ВНЕСЕН Техническим комитетом по стандартизации ТК 274 "Пожарная безопасность"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 УТВЕРЖДЕН И ВВЕДЕН В ДЕЙСТВИЕ </w:t>
      </w:r>
      <w:hyperlink w:history="0" r:id="rId9" w:tooltip="Приказ Росстандарта от 29.06.2021 N 597-ст &quot;Об утверждении национального стандарта Российской Федерации&quot; {КонсультантПлюс}">
        <w:r>
          <w:rPr>
            <w:sz w:val="20"/>
            <w:color w:val="0000ff"/>
          </w:rPr>
          <w:t xml:space="preserve">Приказом</w:t>
        </w:r>
      </w:hyperlink>
      <w:r>
        <w:rPr>
          <w:sz w:val="20"/>
        </w:rPr>
        <w:t xml:space="preserve"> Федерального агентства по техническому регулированию и метрологии от 29 июня 2021 г. N 597-ст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 В настоящем стандарте учтены основные нормативные положения международного стандарта NFPA 15:2007 "Стандарт для стационарных систем тонкораспыленной воды для противопожарной защиты" (NFPA 15:2007 "Standard for Water Spray Fixed Systems for Fire Protection", NEQ)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 ВВЕДЕН ВПЕРВЫЕ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  <w:i w:val="on"/>
        </w:rPr>
        <w:t xml:space="preserve">Правила применения настоящего стандарта установлены в </w:t>
      </w:r>
      <w:hyperlink w:history="0" r:id="rId10" w:tooltip="Федеральный закон от 29.06.2015 N 162-ФЗ (ред. от 30.12.2020) &quot;О стандартизации в Российской Федерации&quot; {КонсультантПлюс}">
        <w:r>
          <w:rPr>
            <w:sz w:val="20"/>
            <w:color w:val="0000ff"/>
            <w:i w:val="on"/>
          </w:rPr>
          <w:t xml:space="preserve">статье 26</w:t>
        </w:r>
      </w:hyperlink>
      <w:r>
        <w:rPr>
          <w:sz w:val="20"/>
          <w:i w:val="on"/>
        </w:rPr>
        <w:t xml:space="preserve"> Федерального закона от 29 июня 2015 г. N 162-ФЗ "О стандартизации в Российской Федерации". Информация об изменениях к настоящему стандарту публикуется в ежегодном (по состоянию на 1 января текущего года) информационном указателе "Национальные стандарты", а официальный текст изменений и поправок - в ежемесячном информационном указателе "Национальные стандарты". В случае пересмотра (замены) или отмены настоящего стандарта соответствующее уведомление будет опубликовано в ближайшем выпуске ежемесячного информационного указателя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 (</w:t>
      </w:r>
      <w:hyperlink w:history="0" r:id="rId11">
        <w:r>
          <w:rPr>
            <w:sz w:val="20"/>
            <w:color w:val="0000ff"/>
            <w:i w:val="on"/>
          </w:rPr>
          <w:t xml:space="preserve">www.gost.ru</w:t>
        </w:r>
      </w:hyperlink>
      <w:r>
        <w:rPr>
          <w:sz w:val="20"/>
          <w:i w:val="on"/>
        </w:rPr>
        <w:t xml:space="preserve">)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0"/>
        <w:ind w:firstLine="540"/>
        <w:jc w:val="both"/>
      </w:pPr>
      <w:r>
        <w:rPr>
          <w:sz w:val="20"/>
          <w:b w:val="on"/>
        </w:rPr>
        <w:t xml:space="preserve">1 Область применения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1.1 Настоящий стандарт устанавливает требования к параметрам и условиям противопожарной защиты технологического оборудования и конструкций от теплового излучения пламени пожара (далее - тепловое излучение) посредством применения стационарных установок водяного орошения (далее - установка), предусматриваемых заданием на проектирование объекта.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1.2 Настоящий стандарт не распространяется на водяное орошение (далее - орошение) технологического оборудования и конструкций: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установками, требования к которым регламентированы другими нормативными документами по пожарной безопасности;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для обеспечения нормируемых пределов огнестойкости;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с применением пожарных стволов, перфорированных трубопроводов и осциллирующих оросителей;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воздушных и водных судов;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 объектов защиты специального назначения, в том числе объектов военного назначения, атомных станций, объектов переработки, хранения радиоактивных и взрывчатых веществ и материалов, объектов уничтожения и хранения химического оружия и средств взрывания, наземных космических объектов и стартовых комплексов, горных выработок, а также объектов, на которых обращаются вещества и материалы, способные взрываться и/или гореть, и/или образовывать горючие газы при взаимодействии с водой.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0"/>
        <w:ind w:firstLine="540"/>
        <w:jc w:val="both"/>
      </w:pPr>
      <w:r>
        <w:rPr>
          <w:sz w:val="20"/>
          <w:b w:val="on"/>
        </w:rPr>
        <w:t xml:space="preserve">2 Термины и определения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настоящем стандарте применены следующие термины с соответствующими определениями: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 </w:t>
      </w:r>
      <w:r>
        <w:rPr>
          <w:sz w:val="20"/>
          <w:b w:val="on"/>
        </w:rPr>
        <w:t xml:space="preserve">стационарная установка водяного орошения:</w:t>
      </w:r>
      <w:r>
        <w:rPr>
          <w:sz w:val="20"/>
        </w:rPr>
        <w:t xml:space="preserve"> Совокупность стационарных технических средств для охлаждения защищаемого оборудования и/или конструкций от воздействия на них теплового излучения пламени пожара за счет подачи воды на внешнюю поверхность указанного оборудования и/или конструкций.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2.2 </w:t>
      </w:r>
      <w:r>
        <w:rPr>
          <w:sz w:val="20"/>
          <w:b w:val="on"/>
        </w:rPr>
        <w:t xml:space="preserve">автоматическая стационарная установка водяного орошения:</w:t>
      </w:r>
      <w:r>
        <w:rPr>
          <w:sz w:val="20"/>
        </w:rPr>
        <w:t xml:space="preserve"> Стационарная установка водяного орошения с обнаружением возникновения пожара, выдачей извещения о нем и приведением ее в действие в автоматическом режиме.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 </w:t>
      </w:r>
      <w:r>
        <w:rPr>
          <w:sz w:val="20"/>
          <w:b w:val="on"/>
        </w:rPr>
        <w:t xml:space="preserve">ручная стационарная установка водяного орошения:</w:t>
      </w:r>
      <w:r>
        <w:rPr>
          <w:sz w:val="20"/>
        </w:rPr>
        <w:t xml:space="preserve"> Стационарная установка водяного орошения, приводимая в действие только вручную.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 </w:t>
      </w:r>
      <w:r>
        <w:rPr>
          <w:sz w:val="20"/>
          <w:b w:val="on"/>
        </w:rPr>
        <w:t xml:space="preserve">дистанционный пуск стационарной установки водяного орошения:</w:t>
      </w:r>
      <w:r>
        <w:rPr>
          <w:sz w:val="20"/>
        </w:rPr>
        <w:t xml:space="preserve"> Ручной пуск стационарной установки водяного орошения путем подачи с некоторого расстояния командного импульса на первичный управляющий пуском установки элемент.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 </w:t>
      </w:r>
      <w:r>
        <w:rPr>
          <w:sz w:val="20"/>
          <w:b w:val="on"/>
        </w:rPr>
        <w:t xml:space="preserve">местный пуск установки:</w:t>
      </w:r>
      <w:r>
        <w:rPr>
          <w:sz w:val="20"/>
        </w:rPr>
        <w:t xml:space="preserve"> Ручной пуск установки путем подачи командного импульса на первичный управляющий пуском установки элемент непосредственно с места расположения первичного элемента.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</w:t>
      </w:r>
    </w:p>
    <w:p>
      <w:pPr>
        <w:spacing w:before="0"/>
        <w:spacing w:after="1"/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9071"/>
      </w:tblGrid>
      <w:tr>
        <w:tc>
          <w:tcPr>
            <w:tcW w:w="9071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0"/>
              <w:ind w:firstLine="567"/>
              <w:jc w:val="both"/>
            </w:pPr>
            <w:r>
              <w:rPr>
                <w:sz w:val="20"/>
                <w:b w:val="on"/>
              </w:rPr>
              <w:t xml:space="preserve">ороситель:</w:t>
            </w:r>
            <w:r>
              <w:rPr>
                <w:sz w:val="20"/>
              </w:rPr>
              <w:t xml:space="preserve"> Устройство, предназначенное для тушения, локализации или блокирования пожара путем разбрызгивания или распыления воды и/или водных растворов.</w:t>
            </w:r>
          </w:p>
          <w:p>
            <w:pPr>
              <w:pStyle w:val="0"/>
              <w:ind w:firstLine="567"/>
              <w:jc w:val="both"/>
            </w:pPr>
            <w:r>
              <w:rPr>
                <w:sz w:val="20"/>
              </w:rPr>
              <w:t xml:space="preserve">[ГОСТ Р 51043-2002, </w:t>
            </w:r>
            <w:hyperlink w:history="0" r:id="rId12" w:tooltip="&quot;ГОСТ Р 51043-2002. Государственный стандарт Российской Федерации. Установки водяного и пенного пожаротушения автоматические. Оросители. Общие технические требования. Методы испытаний&quot; (принят и введен в действие Постановлением Госстандарта России от 25.07.2002 N 287-ст) (ред. от 15.10.2019) {КонсультантПлюс}">
              <w:r>
                <w:rPr>
                  <w:sz w:val="20"/>
                  <w:color w:val="0000ff"/>
                </w:rPr>
                <w:t xml:space="preserve">пункт 3.1.1</w:t>
              </w:r>
            </w:hyperlink>
            <w:r>
              <w:rPr>
                <w:sz w:val="20"/>
              </w:rPr>
              <w:t xml:space="preserve">]</w:t>
            </w:r>
          </w:p>
        </w:tc>
      </w:tr>
    </w:tbl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</w:t>
      </w:r>
    </w:p>
    <w:p>
      <w:pPr>
        <w:spacing w:before="0"/>
        <w:spacing w:after="1"/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9071"/>
      </w:tblGrid>
      <w:tr>
        <w:tc>
          <w:tcPr>
            <w:tcW w:w="9071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0"/>
              <w:ind w:firstLine="567"/>
              <w:jc w:val="both"/>
            </w:pPr>
            <w:r>
              <w:rPr>
                <w:sz w:val="20"/>
                <w:b w:val="on"/>
              </w:rPr>
              <w:t xml:space="preserve">пожарный гидрант:</w:t>
            </w:r>
            <w:r>
              <w:rPr>
                <w:sz w:val="20"/>
              </w:rPr>
              <w:t xml:space="preserve"> Устройство для отбора воды из водопроводной сети для тушения пожара.</w:t>
            </w:r>
          </w:p>
          <w:p>
            <w:pPr>
              <w:pStyle w:val="0"/>
              <w:ind w:firstLine="567"/>
              <w:jc w:val="both"/>
            </w:pPr>
            <w:r>
              <w:rPr>
                <w:sz w:val="20"/>
              </w:rPr>
              <w:t xml:space="preserve">[ГОСТ 12.2.047-86, </w:t>
            </w:r>
            <w:hyperlink w:history="0" r:id="rId13" w:tooltip="&quot;ГОСТ 12.2.047-86 (СТ СЭВ 5236-85). Государственный стандарт Союза ССР. Система стандартов безопасности труда. Пожарная техника. Термины и определения&quot; (утв. и введен в действие Постановлением Госстандарта СССР от 30.06.1986 N 1982) {КонсультантПлюс}">
              <w:r>
                <w:rPr>
                  <w:sz w:val="20"/>
                  <w:color w:val="0000ff"/>
                </w:rPr>
                <w:t xml:space="preserve">пункт 45</w:t>
              </w:r>
            </w:hyperlink>
            <w:r>
              <w:rPr>
                <w:sz w:val="20"/>
              </w:rPr>
              <w:t xml:space="preserve">]</w:t>
            </w:r>
          </w:p>
        </w:tc>
      </w:tr>
    </w:tbl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</w:t>
      </w:r>
    </w:p>
    <w:p>
      <w:pPr>
        <w:spacing w:before="0"/>
        <w:spacing w:after="1"/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9071"/>
      </w:tblGrid>
      <w:tr>
        <w:tc>
          <w:tcPr>
            <w:tcW w:w="9071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0"/>
              <w:ind w:firstLine="567"/>
              <w:jc w:val="both"/>
            </w:pPr>
            <w:r>
              <w:rPr>
                <w:sz w:val="20"/>
                <w:b w:val="on"/>
              </w:rPr>
              <w:t xml:space="preserve">пожарный ствол:</w:t>
            </w:r>
            <w:r>
              <w:rPr>
                <w:sz w:val="20"/>
              </w:rPr>
              <w:t xml:space="preserve"> Устройство, устанавливаемое на конце напорной линии для формирования и направления огнетушащих струй.</w:t>
            </w:r>
          </w:p>
          <w:p>
            <w:pPr>
              <w:pStyle w:val="0"/>
              <w:ind w:firstLine="567"/>
              <w:jc w:val="both"/>
            </w:pPr>
            <w:r>
              <w:rPr>
                <w:sz w:val="20"/>
              </w:rPr>
              <w:t xml:space="preserve">[ГОСТ 12.2.047-86, </w:t>
            </w:r>
            <w:hyperlink w:history="0" r:id="rId14" w:tooltip="&quot;ГОСТ 12.2.047-86 (СТ СЭВ 5236-85). Государственный стандарт Союза ССР. Система стандартов безопасности труда. Пожарная техника. Термины и определения&quot; (утв. и введен в действие Постановлением Госстандарта СССР от 30.06.1986 N 1982) {КонсультантПлюс}">
              <w:r>
                <w:rPr>
                  <w:sz w:val="20"/>
                  <w:color w:val="0000ff"/>
                </w:rPr>
                <w:t xml:space="preserve">пункт 66</w:t>
              </w:r>
            </w:hyperlink>
            <w:r>
              <w:rPr>
                <w:sz w:val="20"/>
              </w:rPr>
              <w:t xml:space="preserve">]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0"/>
        <w:ind w:firstLine="540"/>
        <w:jc w:val="both"/>
      </w:pPr>
      <w:r>
        <w:rPr>
          <w:sz w:val="20"/>
          <w:b w:val="on"/>
        </w:rPr>
        <w:t xml:space="preserve">3 Общие требования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 Установки должны обеспечивать максимальную эффективность защиты всех поверхностей оборудования и конструкций, которые подвергаются воздействию теплового излучения возможного пожара. При этом орошение участков поверхностей, защищенных от воздействия теплового излучения конструктивной огнезащитой, огнезащитным покрытием и/или противопожарной преградой, допускается не предусматривать, если применение указанных огнезащиты, покрытий и/или преград достаточно для предотвращения нагрева оборудования и конструкций до значений температур, при которых теряется целостность объекта.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 Установки могут быть предусмотрены независимо или в дополнение к другим видам систем противопожарной защиты.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 Для определения целесообразности применения установок необходимо проводить анализ конструктивных особенностей защищаемого оборудования и строительных конструкций, физических, химических и пожароопасных свойств материалов, из которых они изготовлены, а также параметров обращающихся технологических сред в целях предотвращения условий, способствующих увеличению масштаба пожара (например, повреждение защищаемого оборудования и конструкций из-за воздействия воды в условиях работы установки).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Алгоритм работы установок должен быть регламентирован проектом.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3.4 Установки, за исключением регламентированных в </w:t>
      </w:r>
      <w:hyperlink w:history="0" w:anchor="P73" w:tooltip="3.6 В случаях, когда нормативными документами по пожарной безопасности регламентируется возможность орошения защищаемого оборудования и конструкций исключительно посредством передвижной пожарной техники, допускается не предусматривать подключение установки к противопожарному водопроводу. В таких случаях при работе установки должны обеспечиваться требуемые настоящим стандартом параметры и условия орошения защищаемого оборудования и конструкций. Применение такой установки обусловливается нецелесообразность...">
        <w:r>
          <w:rPr>
            <w:sz w:val="20"/>
            <w:color w:val="0000ff"/>
          </w:rPr>
          <w:t xml:space="preserve">3.6</w:t>
        </w:r>
      </w:hyperlink>
      <w:r>
        <w:rPr>
          <w:sz w:val="20"/>
        </w:rPr>
        <w:t xml:space="preserve"> настоящего стандарта, должны быть подключены к противопожарному водопроводу.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этом выбор установки по типу приведения в действие (ручные с местным или с дистанционным пуском, автоматические) определяется проектом в зависимости от прогнозируемого времени от возникновения пожара до начала разрушения указанного оборудования и конструкций вследствие воздействия теплового излучения, а также с учетом возможности разрушения защищаемого оборудования при подаче воды на нагретые поверхности оборудования.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3.5. Для подачи воды на установку, независимо от ее подключения к водопроводной сети, следует предусматривать возможность подключения передвижной пожарной техники.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Оборудование площадки для пожарной техники и ее размещение должны отвечать требованиям нормативных документов по пожарной безопасности, предъявляемым к оборудованию и размещению площадки для подключения передвижной пожарной техники к пожарному гидранту.</w:t>
      </w:r>
    </w:p>
    <w:bookmarkStart w:id="73" w:name="P73"/>
    <w:bookmarkEnd w:id="73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3.6 В случаях, когда нормативными документами по пожарной безопасности регламентируется возможность орошения защищаемого оборудования и конструкций исключительно посредством передвижной пожарной техники, допускается не предусматривать подключение установки к противопожарному водопроводу. В таких случаях при работе установки должны обеспечиваться требуемые настоящим стандартом параметры и условия орошения защищаемого оборудования и конструкций. Применение такой установки обусловливается нецелесообразностью обеспечения орошения посредством пожарных стволов.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3.7 Расчетное время работы установки должно определяться в проекте с учетом требований технического задания на проектирование.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3.8 Конструкция и расположение оросителей должны обеспечивать подачу воды на любой участок защищаемой поверхности технологического оборудования и строительных конструкций с интенсивностью, не менее нормативной.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  <w:b w:val="on"/>
          <w:i w:val="on"/>
        </w:rPr>
        <w:t xml:space="preserve">Пример - Для орошения поверхности сферического и горизонтального цилиндрического резервуара, расположенной ниже половины его высоты, необходима установка дополнительных оросителей, обеспечивающих подачу воды на указанную поверхность резервуара даже при наличии стекающей сверху воды.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3.9 Проекции эпюр орошения от каждого оросителя на защищаемую поверхность должны перекрываться или соприкасаться.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3.10 Если конфигурация защищаемого оборудования обусловливает наличие зон, в которых не удается обеспечить требуемую интенсивность подачи воды на стенки оборудования за счет предусматриваемых горизонтальных коллекторов орошения, необходима установка дополнительных оросителей, обеспечивающих подачу воды в указанных зонах.</w:t>
      </w:r>
    </w:p>
    <w:bookmarkStart w:id="79" w:name="P79"/>
    <w:bookmarkEnd w:id="79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3.11 Орошение оборудования, характеризующегося сложной конфигурацией (насосы, арматурные блоки, холодильники, трансформаторы и т.п.), которая обусловливает невозможность обеспечения подачи воды непосредственно на каждый участок его открытой внешней поверхности, следует осуществлять как орошение области (объема), представляющей собой прямоугольную призму, внутрь которой вписано указанное оборудование.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Если конструкция этого оборудования имеет узлы (элементы обвязки), выступающие более чем на 300 мм за габариты его основной внешней поверхности, то в целях оптимизации расхода воды на орошение допускается не включать такие узлы (элементы) в указанную область призмы. При этом выступающие за поверхность призмы узлы (элементы) оборудования должны защищаться индивидуально.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0"/>
        <w:ind w:firstLine="540"/>
        <w:jc w:val="both"/>
      </w:pPr>
      <w:r>
        <w:rPr>
          <w:sz w:val="20"/>
          <w:b w:val="on"/>
        </w:rPr>
        <w:t xml:space="preserve">4 Водяное орошение технологического оборудования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4.1 Поверхности емкостей, резервуаров и аппаратов (за исключением указанных в </w:t>
      </w:r>
      <w:hyperlink w:history="0" w:anchor="P79" w:tooltip="3.11 Орошение оборудования, характеризующегося сложной конфигурацией (насосы, арматурные блоки, холодильники, трансформаторы и т.п.), которая обусловливает невозможность обеспечения подачи воды непосредственно на каждый участок его открытой внешней поверхности, следует осуществлять как орошение области (объема), представляющей собой прямоугольную призму, внутрь которой вписано указанное оборудование.">
        <w:r>
          <w:rPr>
            <w:sz w:val="20"/>
            <w:color w:val="0000ff"/>
          </w:rPr>
          <w:t xml:space="preserve">3.11</w:t>
        </w:r>
      </w:hyperlink>
      <w:r>
        <w:rPr>
          <w:sz w:val="20"/>
        </w:rPr>
        <w:t xml:space="preserve"> настоящего стандарта), включая днища, юбки и стальные опоры (седла), должны орошаться с интенсивностью не менее 0,17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4.2 Интенсивность орошения поверхности прямоугольной призмы, внутрь которой вписывается оборудование со сложной конфигурацией, должна быть не менее 0,17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 При этом опорные конструкции, на которые установлено указанное оборудование, имеющие предел огнестойкости, не обеспечивающий сохранение несущей способности в течение предусмотренного проектом времени, должны орошаться с интенсивностью не менее 0,1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4.3 Компрессоры и насосы для перекачки горючих газов, легковоспламеняющихся и горючих жидкостей следует орошать с интенсивностью не менее 0,34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4.4 Валы, уплотнители и другие детали оборудования, применяемого при локализации и ликвидации аварии, нагрев которых тепловым излучением приведет к отказу указанного оборудования, должны входить в область орошения поверхности защищаемого оборудования с интенсивностью не менее 0,34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0"/>
        <w:ind w:firstLine="540"/>
        <w:jc w:val="both"/>
      </w:pPr>
      <w:r>
        <w:rPr>
          <w:sz w:val="20"/>
          <w:b w:val="on"/>
        </w:rPr>
        <w:t xml:space="preserve">5 Водяное орошение строительных конструкций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5.1 Установка должна обеспечивать интенсивность подачи воды на поверхность несущей стальной строительной конструкции (за исключением горизонтальной) не менее 0,17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5.2 Установка должна обеспечивать интенсивность подачи воды на поверхность несущей стальной горизонтальной строительной конструкции не менее 0,07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0"/>
        <w:ind w:firstLine="540"/>
        <w:jc w:val="both"/>
      </w:pPr>
      <w:r>
        <w:rPr>
          <w:sz w:val="20"/>
          <w:b w:val="on"/>
        </w:rPr>
        <w:t xml:space="preserve">6 Водяное орошение трубопроводных и комбинированных эстакад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6.1 При необходимости строительные конструкции эстакад должны быть защищены в соответствии с требованиями настоящего стандарта, предъявляемыми к орошению таких конструкций. При этом горизонтальные строительные конструкции эстакад допускается защищать только на участках, не попадающих в зону орошения трубопроводов, прокладываемых по этим эстакадам, с интенсивностью, регламентированной настоящим стандартом.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6.2 Конструкция и расположение оросителей должны быть такими, чтобы проекции эпюр орошения на защищаемую поверхность перекрывались или соприкасались по всей ширине эстакады.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6.3 В качестве нормативной площади орошения трубопроводов, прокладываемых на одном уровне эстакады, следует принимать площадь участка этого уровня, ограниченного крайними трубопроводами.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6.4 Орошение стальных трубопроводов (включая патрубки), прокладываемых по опорам или эстакадам, должно осуществляться посредством подачи воды из оросителей снизу вверх.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Оросители должны быть установлены не более чем на 0,8 м ниже защищаемого уровня эстакады.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одноуровневой эстакаде допускается установка оросителей сверху трубопроводов (патрубков) в случае отсутствия возможности их установки ниже уровня эстакады вследствие технической сложности или высокой вероятности механического повреждения оросителей при эксплуатации эстакады.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6.5 На многоуровневой эстакаде оросители каждого уровня должны быть направлены на нижнюю часть вышестоящего уровня эстакады, в том числе в случае смещения уровней по отношению друг к другу по горизонтали.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6.6 Интенсивность подачи воды на орошение трубопроводов в зависимости от количества уровней эстакады приведена в </w:t>
      </w:r>
      <w:hyperlink w:history="0" w:anchor="P105" w:tooltip="Таблица 1">
        <w:r>
          <w:rPr>
            <w:sz w:val="20"/>
            <w:color w:val="0000ff"/>
          </w:rPr>
          <w:t xml:space="preserve">таблице 1</w:t>
        </w:r>
      </w:hyperlink>
      <w:r>
        <w:rPr>
          <w:sz w:val="20"/>
        </w:rPr>
        <w:t xml:space="preserve">.</w:t>
      </w:r>
    </w:p>
    <w:p>
      <w:pPr>
        <w:pStyle w:val="0"/>
        <w:jc w:val="both"/>
      </w:pPr>
      <w:r>
        <w:rPr>
          <w:sz w:val="20"/>
        </w:rPr>
      </w:r>
    </w:p>
    <w:bookmarkStart w:id="105" w:name="P105"/>
    <w:bookmarkEnd w:id="105"/>
    <w:p>
      <w:pPr>
        <w:pStyle w:val="0"/>
        <w:jc w:val="right"/>
      </w:pPr>
      <w:r>
        <w:rPr>
          <w:sz w:val="20"/>
        </w:rPr>
        <w:t xml:space="preserve">Таблица 1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417"/>
        <w:gridCol w:w="2098"/>
        <w:gridCol w:w="2438"/>
        <w:gridCol w:w="3118"/>
      </w:tblGrid>
      <w:tr>
        <w:tc>
          <w:tcPr>
            <w:tcW w:w="1417" w:type="dxa"/>
            <w:vAlign w:val="center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Количество уровней эстакады</w:t>
            </w:r>
          </w:p>
        </w:tc>
        <w:tc>
          <w:tcPr>
            <w:gridSpan w:val="2"/>
            <w:tcW w:w="4536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Расчетная интенсивность подачи воды, л/(с·м</w:t>
            </w:r>
            <w:r>
              <w:rPr>
                <w:sz w:val="20"/>
                <w:vertAlign w:val="superscript"/>
              </w:rPr>
              <w:t xml:space="preserve">2</w:t>
            </w:r>
            <w:r>
              <w:rPr>
                <w:sz w:val="20"/>
              </w:rPr>
              <w:t xml:space="preserve">)</w:t>
            </w:r>
          </w:p>
        </w:tc>
        <w:tc>
          <w:tcPr>
            <w:tcW w:w="3118" w:type="dxa"/>
            <w:vAlign w:val="center"/>
            <w:vMerge w:val="restart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Уровни эстакады, на которых необходима установка оросителей</w:t>
            </w:r>
          </w:p>
        </w:tc>
      </w:tr>
      <w:tr>
        <w:tc>
          <w:tcPr>
            <w:vMerge w:val="continue"/>
          </w:tcPr>
          <w:p/>
        </w:tc>
        <w:tc>
          <w:tcPr>
            <w:tcW w:w="209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 нижнем уровне</w:t>
            </w:r>
          </w:p>
        </w:tc>
        <w:tc>
          <w:tcPr>
            <w:tcW w:w="2438" w:type="dxa"/>
            <w:vAlign w:val="center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 остальных уровнях</w:t>
            </w:r>
          </w:p>
        </w:tc>
        <w:tc>
          <w:tcPr>
            <w:vMerge w:val="continue"/>
          </w:tcPr>
          <w:p/>
        </w:tc>
      </w:tr>
      <w:tr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209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0,17</w:t>
            </w:r>
          </w:p>
        </w:tc>
        <w:tc>
          <w:tcPr>
            <w:tcW w:w="24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w="311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</w:tr>
      <w:tr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w="209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0,14</w:t>
            </w:r>
          </w:p>
        </w:tc>
        <w:tc>
          <w:tcPr>
            <w:tcW w:w="24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0,1</w:t>
            </w:r>
          </w:p>
        </w:tc>
        <w:tc>
          <w:tcPr>
            <w:tcW w:w="311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 и 2</w:t>
            </w:r>
          </w:p>
        </w:tc>
      </w:tr>
      <w:tr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3, 4 или 5</w:t>
            </w:r>
          </w:p>
        </w:tc>
        <w:tc>
          <w:tcPr>
            <w:tcW w:w="209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0,14</w:t>
            </w:r>
          </w:p>
        </w:tc>
        <w:tc>
          <w:tcPr>
            <w:tcW w:w="24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0,1</w:t>
            </w:r>
          </w:p>
        </w:tc>
        <w:tc>
          <w:tcPr>
            <w:tcW w:w="311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Нижний, далее через один, последний</w:t>
            </w:r>
          </w:p>
        </w:tc>
      </w:tr>
      <w:tr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6 и более</w:t>
            </w:r>
          </w:p>
        </w:tc>
        <w:tc>
          <w:tcPr>
            <w:tcW w:w="209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0,14</w:t>
            </w:r>
          </w:p>
        </w:tc>
        <w:tc>
          <w:tcPr>
            <w:tcW w:w="24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0,07</w:t>
            </w:r>
          </w:p>
        </w:tc>
        <w:tc>
          <w:tcPr>
            <w:tcW w:w="311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Нижний, далее через один, последний</w:t>
            </w:r>
          </w:p>
        </w:tc>
      </w:tr>
      <w:tr>
        <w:tc>
          <w:tcPr>
            <w:gridSpan w:val="4"/>
            <w:tcW w:w="9071" w:type="dxa"/>
          </w:tcPr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Примечание - Значения интенсивности приведены для случая защиты от пожара пролива.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6.7 Для мест, в которых горизонтальные конструкции эстакад препятствуют орошению трубопроводов, должны быть предусмотрены конструктивные решения (специальные ниши, отверстия, полости и т.п.) по установке оросителей таким образом, чтобы обеспечивалась подача воды с требуемой интенсивностью на все участки защищаемой поверхности.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6.8 Вертикально проложенный трубопровод должен защищаться путем орошения одной стороны (вертикальной плоскости) трубопровода с интенсивностью подачи воды не менее 0,1 л/(с·м</w:t>
      </w:r>
      <w:r>
        <w:rPr>
          <w:sz w:val="20"/>
          <w:vertAlign w:val="superscript"/>
        </w:rPr>
        <w:t xml:space="preserve">2</w:t>
      </w:r>
      <w:r>
        <w:rPr>
          <w:sz w:val="20"/>
        </w:rPr>
        <w:t xml:space="preserve">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bottom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535"/>
        <w:gridCol w:w="4535"/>
      </w:tblGrid>
      <w:tr>
        <w:tc>
          <w:tcPr>
            <w:tcW w:w="4535" w:type="dxa"/>
            <w:tcBorders>
              <w:top w:val="single" w:sz="4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УДК 614.84:34:006.354</w:t>
            </w:r>
          </w:p>
        </w:tc>
        <w:tc>
          <w:tcPr>
            <w:tcW w:w="4535" w:type="dxa"/>
            <w:tcBorders>
              <w:top w:val="single" w:sz="4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r>
              <w:rPr>
                <w:sz w:val="20"/>
              </w:rPr>
              <w:t xml:space="preserve">ОКС </w:t>
            </w:r>
            <w:hyperlink w:history="0" r:id="rId15" w:tooltip="&quot;Общероссийский классификатор стандартов ОК (МК (ИСО/инфко МКС) 001-96) 001-2000&quot; (утв. Постановлением Госстандарта России от 17.05.2000 N 138-ст) (ред. от 25.05.2017) (Дата введения 01.10.2000) ------------ Утратил силу или отменен {КонсультантПлюс}">
              <w:r>
                <w:rPr>
                  <w:sz w:val="20"/>
                  <w:color w:val="0000ff"/>
                </w:rPr>
                <w:t xml:space="preserve">13.220.01</w:t>
              </w:r>
            </w:hyperlink>
          </w:p>
        </w:tc>
      </w:tr>
      <w:tr>
        <w:tc>
          <w:tcPr>
            <w:gridSpan w:val="2"/>
            <w:tcW w:w="9070" w:type="dxa"/>
            <w:tcBorders>
              <w:top w:val="nil"/>
              <w:left w:val="nil"/>
              <w:bottom w:val="single" w:sz="4"/>
              <w:right w:val="nil"/>
            </w:tcBorders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Ключевые слова: водяное орошение, требования пожарной безопасности, интенсивность, оборудование, строительные конструкции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"ГОСТ Р 59580-2021. Национальный стандарт Российской Федерации. Орошение водяное технологического оборудования и констру...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23.08.2024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LAW&amp;n=394481" TargetMode = "External"/>
	<Relationship Id="rId8" Type="http://schemas.openxmlformats.org/officeDocument/2006/relationships/hyperlink" Target="https://login.consultant.ru/link/?req=doc&amp;base=LAW&amp;n=278477&amp;dst=100589" TargetMode = "External"/>
	<Relationship Id="rId9" Type="http://schemas.openxmlformats.org/officeDocument/2006/relationships/hyperlink" Target="https://login.consultant.ru/link/?req=doc&amp;base=LAW&amp;n=394481&amp;dst=100006" TargetMode = "External"/>
	<Relationship Id="rId10" Type="http://schemas.openxmlformats.org/officeDocument/2006/relationships/hyperlink" Target="https://login.consultant.ru/link/?req=doc&amp;base=LAW&amp;n=372899&amp;dst=100282" TargetMode = "External"/>
	<Relationship Id="rId11" Type="http://schemas.openxmlformats.org/officeDocument/2006/relationships/hyperlink" Target="www.gost.ru" TargetMode = "External"/>
	<Relationship Id="rId12" Type="http://schemas.openxmlformats.org/officeDocument/2006/relationships/hyperlink" Target="https://login.consultant.ru/link/?req=doc&amp;base=STR&amp;n=24654&amp;dst=100030" TargetMode = "External"/>
	<Relationship Id="rId13" Type="http://schemas.openxmlformats.org/officeDocument/2006/relationships/hyperlink" Target="https://login.consultant.ru/link/?req=doc&amp;base=STR&amp;n=8128&amp;dst=100118" TargetMode = "External"/>
	<Relationship Id="rId14" Type="http://schemas.openxmlformats.org/officeDocument/2006/relationships/hyperlink" Target="https://login.consultant.ru/link/?req=doc&amp;base=STR&amp;n=8128&amp;dst=100160" TargetMode = "External"/>
	<Relationship Id="rId15" Type="http://schemas.openxmlformats.org/officeDocument/2006/relationships/hyperlink" Target="https://login.consultant.ru/link/?req=doc&amp;base=LAW&amp;n=278477&amp;dst=100589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4024.00.31</Application>
  <Company>КонсультантПлюс Версия 4024.00.31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59580-2021. Национальный стандарт Российской Федерации. Орошение водяное технологического оборудования и конструкций. Требования пожарной безопасности"
(утв. и введен в действие Приказом Росстандарта от 29.06.2021 N 597-ст)</dc:title>
  <dcterms:created xsi:type="dcterms:W3CDTF">2024-08-23T07:52:34Z</dcterms:created>
</cp:coreProperties>
</file>