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8B7" w:rsidRDefault="009D48B7">
      <w:pPr>
        <w:pStyle w:val="ConsPlusTitlePage"/>
      </w:pPr>
      <w:r>
        <w:t xml:space="preserve">Документ предоставлен </w:t>
      </w:r>
      <w:hyperlink r:id="rId5">
        <w:r>
          <w:rPr>
            <w:color w:val="0000FF"/>
          </w:rPr>
          <w:t>КонсультантПлюс</w:t>
        </w:r>
      </w:hyperlink>
      <w:r>
        <w:br/>
      </w:r>
    </w:p>
    <w:p w:rsidR="009D48B7" w:rsidRDefault="009D48B7">
      <w:pPr>
        <w:pStyle w:val="ConsPlusNormal"/>
        <w:jc w:val="both"/>
        <w:outlineLvl w:val="0"/>
      </w:pPr>
    </w:p>
    <w:p w:rsidR="009D48B7" w:rsidRDefault="009D48B7">
      <w:pPr>
        <w:pStyle w:val="ConsPlusNormal"/>
        <w:jc w:val="right"/>
        <w:outlineLvl w:val="0"/>
      </w:pPr>
      <w:r>
        <w:t>Введен</w:t>
      </w:r>
    </w:p>
    <w:p w:rsidR="009D48B7" w:rsidRDefault="009D48B7">
      <w:pPr>
        <w:pStyle w:val="ConsPlusNormal"/>
        <w:jc w:val="right"/>
      </w:pPr>
      <w:r>
        <w:t>Постановлением Минстроя РФ</w:t>
      </w:r>
    </w:p>
    <w:p w:rsidR="009D48B7" w:rsidRDefault="009D48B7">
      <w:pPr>
        <w:pStyle w:val="ConsPlusNormal"/>
        <w:jc w:val="right"/>
      </w:pPr>
      <w:r>
        <w:t>от 23 марта 1995 г. N 18-26</w:t>
      </w:r>
    </w:p>
    <w:p w:rsidR="009D48B7" w:rsidRDefault="009D48B7">
      <w:pPr>
        <w:pStyle w:val="ConsPlusNormal"/>
        <w:jc w:val="center"/>
      </w:pPr>
    </w:p>
    <w:p w:rsidR="009D48B7" w:rsidRDefault="009D48B7">
      <w:pPr>
        <w:pStyle w:val="ConsPlusTitle"/>
        <w:jc w:val="center"/>
      </w:pPr>
      <w:r>
        <w:t>МЕЖГОСУДАРСТВЕННЫЙ СТАНДАРТ</w:t>
      </w:r>
    </w:p>
    <w:p w:rsidR="009D48B7" w:rsidRDefault="009D48B7">
      <w:pPr>
        <w:pStyle w:val="ConsPlusTitle"/>
        <w:jc w:val="center"/>
      </w:pPr>
    </w:p>
    <w:p w:rsidR="009D48B7" w:rsidRDefault="009D48B7">
      <w:pPr>
        <w:pStyle w:val="ConsPlusTitle"/>
        <w:jc w:val="center"/>
      </w:pPr>
      <w:r>
        <w:t>КОНСТРУКЦИИ СТРОИТЕЛЬНЫЕ</w:t>
      </w:r>
    </w:p>
    <w:p w:rsidR="009D48B7" w:rsidRDefault="009D48B7">
      <w:pPr>
        <w:pStyle w:val="ConsPlusTitle"/>
        <w:jc w:val="center"/>
      </w:pPr>
    </w:p>
    <w:p w:rsidR="009D48B7" w:rsidRDefault="009D48B7">
      <w:pPr>
        <w:pStyle w:val="ConsPlusTitle"/>
        <w:jc w:val="center"/>
      </w:pPr>
      <w:r>
        <w:t>МЕТОДЫ ИСПЫТАНИЙ НА ОГНЕСТОЙКОСТЬ</w:t>
      </w:r>
    </w:p>
    <w:p w:rsidR="009D48B7" w:rsidRDefault="009D48B7">
      <w:pPr>
        <w:pStyle w:val="ConsPlusTitle"/>
        <w:jc w:val="center"/>
      </w:pPr>
    </w:p>
    <w:p w:rsidR="009D48B7" w:rsidRPr="009D48B7" w:rsidRDefault="009D48B7">
      <w:pPr>
        <w:pStyle w:val="ConsPlusTitle"/>
        <w:jc w:val="center"/>
        <w:rPr>
          <w:lang w:val="en-US"/>
        </w:rPr>
      </w:pPr>
      <w:r>
        <w:t>НЕСУЩИЕ</w:t>
      </w:r>
      <w:r w:rsidRPr="009D48B7">
        <w:rPr>
          <w:lang w:val="en-US"/>
        </w:rPr>
        <w:t xml:space="preserve"> </w:t>
      </w:r>
      <w:r>
        <w:t>И</w:t>
      </w:r>
      <w:r w:rsidRPr="009D48B7">
        <w:rPr>
          <w:lang w:val="en-US"/>
        </w:rPr>
        <w:t xml:space="preserve"> </w:t>
      </w:r>
      <w:r>
        <w:t>ОГРАЖДАЮЩИЕ</w:t>
      </w:r>
      <w:r w:rsidRPr="009D48B7">
        <w:rPr>
          <w:lang w:val="en-US"/>
        </w:rPr>
        <w:t xml:space="preserve"> </w:t>
      </w:r>
      <w:r>
        <w:t>КОНСТРУКЦИИ</w:t>
      </w:r>
    </w:p>
    <w:p w:rsidR="009D48B7" w:rsidRPr="009D48B7" w:rsidRDefault="009D48B7">
      <w:pPr>
        <w:pStyle w:val="ConsPlusTitle"/>
        <w:jc w:val="center"/>
        <w:rPr>
          <w:lang w:val="en-US"/>
        </w:rPr>
      </w:pPr>
    </w:p>
    <w:p w:rsidR="009D48B7" w:rsidRPr="009D48B7" w:rsidRDefault="009D48B7">
      <w:pPr>
        <w:pStyle w:val="ConsPlusTitle"/>
        <w:jc w:val="center"/>
        <w:rPr>
          <w:lang w:val="en-US"/>
        </w:rPr>
      </w:pPr>
      <w:r w:rsidRPr="009D48B7">
        <w:rPr>
          <w:lang w:val="en-US"/>
        </w:rPr>
        <w:t>ELEMENTS OF BUILDING CONSTRUCTIONS</w:t>
      </w:r>
    </w:p>
    <w:p w:rsidR="009D48B7" w:rsidRPr="009D48B7" w:rsidRDefault="009D48B7">
      <w:pPr>
        <w:pStyle w:val="ConsPlusTitle"/>
        <w:jc w:val="center"/>
        <w:rPr>
          <w:lang w:val="en-US"/>
        </w:rPr>
      </w:pPr>
      <w:r w:rsidRPr="009D48B7">
        <w:rPr>
          <w:lang w:val="en-US"/>
        </w:rPr>
        <w:t>FIRE-RESISTANCE TEST METHODS</w:t>
      </w:r>
    </w:p>
    <w:p w:rsidR="009D48B7" w:rsidRPr="009D48B7" w:rsidRDefault="009D48B7">
      <w:pPr>
        <w:pStyle w:val="ConsPlusTitle"/>
        <w:jc w:val="center"/>
        <w:rPr>
          <w:lang w:val="en-US"/>
        </w:rPr>
      </w:pPr>
      <w:r w:rsidRPr="009D48B7">
        <w:rPr>
          <w:lang w:val="en-US"/>
        </w:rPr>
        <w:t>Loadbearing and separating constructions</w:t>
      </w:r>
    </w:p>
    <w:p w:rsidR="009D48B7" w:rsidRPr="009D48B7" w:rsidRDefault="009D48B7">
      <w:pPr>
        <w:pStyle w:val="ConsPlusTitle"/>
        <w:jc w:val="center"/>
        <w:rPr>
          <w:lang w:val="en-US"/>
        </w:rPr>
      </w:pPr>
    </w:p>
    <w:p w:rsidR="009D48B7" w:rsidRDefault="009D48B7">
      <w:pPr>
        <w:pStyle w:val="ConsPlusTitle"/>
        <w:jc w:val="center"/>
      </w:pPr>
      <w:r>
        <w:t>ГОСТ 30247.1-94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jc w:val="right"/>
      </w:pPr>
      <w:hyperlink r:id="rId6">
        <w:r>
          <w:rPr>
            <w:color w:val="0000FF"/>
          </w:rPr>
          <w:t>Группа Ж39</w:t>
        </w:r>
      </w:hyperlink>
    </w:p>
    <w:p w:rsidR="009D48B7" w:rsidRDefault="009D48B7">
      <w:pPr>
        <w:pStyle w:val="ConsPlusNormal"/>
      </w:pPr>
    </w:p>
    <w:p w:rsidR="009D48B7" w:rsidRDefault="009D48B7">
      <w:pPr>
        <w:pStyle w:val="ConsPlusNormal"/>
        <w:jc w:val="right"/>
      </w:pPr>
      <w:r>
        <w:t xml:space="preserve">ОКС </w:t>
      </w:r>
      <w:hyperlink r:id="rId7">
        <w:r>
          <w:rPr>
            <w:color w:val="0000FF"/>
          </w:rPr>
          <w:t>91 080</w:t>
        </w:r>
      </w:hyperlink>
      <w:r>
        <w:t>,</w:t>
      </w:r>
    </w:p>
    <w:p w:rsidR="009D48B7" w:rsidRDefault="009D48B7">
      <w:pPr>
        <w:pStyle w:val="ConsPlusNormal"/>
        <w:jc w:val="right"/>
      </w:pPr>
      <w:r>
        <w:t xml:space="preserve">ОКСТУ </w:t>
      </w:r>
      <w:hyperlink r:id="rId8">
        <w:r>
          <w:rPr>
            <w:color w:val="0000FF"/>
          </w:rPr>
          <w:t>5260</w:t>
        </w:r>
      </w:hyperlink>
      <w:r>
        <w:t xml:space="preserve">, </w:t>
      </w:r>
      <w:hyperlink r:id="rId9">
        <w:r>
          <w:rPr>
            <w:color w:val="0000FF"/>
          </w:rPr>
          <w:t>5800</w:t>
        </w:r>
      </w:hyperlink>
    </w:p>
    <w:p w:rsidR="009D48B7" w:rsidRDefault="009D48B7">
      <w:pPr>
        <w:pStyle w:val="ConsPlusNormal"/>
        <w:jc w:val="right"/>
      </w:pPr>
    </w:p>
    <w:p w:rsidR="009D48B7" w:rsidRDefault="009D48B7">
      <w:pPr>
        <w:pStyle w:val="ConsPlusNormal"/>
        <w:jc w:val="right"/>
      </w:pPr>
      <w:r>
        <w:t>Дата введения</w:t>
      </w:r>
    </w:p>
    <w:p w:rsidR="009D48B7" w:rsidRDefault="009D48B7">
      <w:pPr>
        <w:pStyle w:val="ConsPlusNormal"/>
        <w:jc w:val="right"/>
      </w:pPr>
      <w:r>
        <w:t>1 января 1996 года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jc w:val="center"/>
        <w:outlineLvl w:val="1"/>
      </w:pPr>
      <w:r>
        <w:t>Предисловие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ind w:firstLine="540"/>
        <w:jc w:val="both"/>
      </w:pPr>
      <w:r>
        <w:t>1. Разработан Государственным Центральным научно-исследовательским и проектно-экспериментальным институтом комплексных проблем строительных конструкций и сооружений имени В.А. Кучеренко (ЦНИИСК им. Кучеренко) Минстроя России, Центром противопожарных исследований и тепловой защиты в строительстве ЦНИИСК (ЦПИТЗС ЦНИИСК) и Всероссийским научно-исследовательским институтом противопожарной обороны (ВНИИПО) МВД России.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Внесен Минстроем России.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2. Принят Межгосударственной научно-технической комиссией по стандартизации и техническому нормированию в строительстве (МНТКС) 17 ноября 1994 г.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За принятие проголосовали</w:t>
      </w:r>
    </w:p>
    <w:p w:rsidR="009D48B7" w:rsidRDefault="009D48B7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28"/>
        <w:gridCol w:w="5443"/>
      </w:tblGrid>
      <w:tr w:rsidR="009D48B7">
        <w:tc>
          <w:tcPr>
            <w:tcW w:w="3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48B7" w:rsidRDefault="009D48B7">
            <w:pPr>
              <w:pStyle w:val="ConsPlusNormal"/>
              <w:jc w:val="center"/>
            </w:pPr>
            <w:r>
              <w:t>Наименование государства</w:t>
            </w:r>
          </w:p>
        </w:tc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48B7" w:rsidRDefault="009D48B7">
            <w:pPr>
              <w:pStyle w:val="ConsPlusNormal"/>
              <w:jc w:val="center"/>
            </w:pPr>
            <w:r>
              <w:t>Наименование органа государственного управления строительством</w:t>
            </w:r>
          </w:p>
        </w:tc>
      </w:tr>
      <w:tr w:rsidR="009D48B7">
        <w:tblPrEx>
          <w:tblBorders>
            <w:insideH w:val="none" w:sz="0" w:space="0" w:color="auto"/>
          </w:tblBorders>
        </w:tblPrEx>
        <w:tc>
          <w:tcPr>
            <w:tcW w:w="3628" w:type="dxa"/>
            <w:tcBorders>
              <w:top w:val="single" w:sz="4" w:space="0" w:color="auto"/>
              <w:bottom w:val="nil"/>
            </w:tcBorders>
          </w:tcPr>
          <w:p w:rsidR="009D48B7" w:rsidRDefault="009D48B7">
            <w:pPr>
              <w:pStyle w:val="ConsPlusNormal"/>
              <w:ind w:left="283"/>
            </w:pPr>
            <w:r>
              <w:t>Азербайджанская Республика</w:t>
            </w:r>
          </w:p>
        </w:tc>
        <w:tc>
          <w:tcPr>
            <w:tcW w:w="5443" w:type="dxa"/>
            <w:tcBorders>
              <w:top w:val="single" w:sz="4" w:space="0" w:color="auto"/>
              <w:bottom w:val="nil"/>
            </w:tcBorders>
          </w:tcPr>
          <w:p w:rsidR="009D48B7" w:rsidRDefault="009D48B7">
            <w:pPr>
              <w:pStyle w:val="ConsPlusNormal"/>
              <w:ind w:left="283"/>
            </w:pPr>
            <w:r>
              <w:t>Госстрой Азербайджанской Республики</w:t>
            </w:r>
          </w:p>
        </w:tc>
      </w:tr>
      <w:tr w:rsidR="009D48B7">
        <w:tblPrEx>
          <w:tblBorders>
            <w:insideH w:val="none" w:sz="0" w:space="0" w:color="auto"/>
          </w:tblBorders>
        </w:tblPrEx>
        <w:tc>
          <w:tcPr>
            <w:tcW w:w="3628" w:type="dxa"/>
            <w:tcBorders>
              <w:top w:val="nil"/>
              <w:bottom w:val="nil"/>
            </w:tcBorders>
          </w:tcPr>
          <w:p w:rsidR="009D48B7" w:rsidRDefault="009D48B7">
            <w:pPr>
              <w:pStyle w:val="ConsPlusNormal"/>
              <w:ind w:left="283"/>
            </w:pPr>
            <w:r>
              <w:t>Республика Армения</w:t>
            </w:r>
          </w:p>
        </w:tc>
        <w:tc>
          <w:tcPr>
            <w:tcW w:w="5443" w:type="dxa"/>
            <w:tcBorders>
              <w:top w:val="nil"/>
              <w:bottom w:val="nil"/>
            </w:tcBorders>
          </w:tcPr>
          <w:p w:rsidR="009D48B7" w:rsidRDefault="009D48B7">
            <w:pPr>
              <w:pStyle w:val="ConsPlusNormal"/>
              <w:ind w:left="283"/>
            </w:pPr>
            <w:r>
              <w:t>Госупрархитектуры Республики Армения</w:t>
            </w:r>
          </w:p>
        </w:tc>
      </w:tr>
      <w:tr w:rsidR="009D48B7">
        <w:tblPrEx>
          <w:tblBorders>
            <w:insideH w:val="none" w:sz="0" w:space="0" w:color="auto"/>
          </w:tblBorders>
        </w:tblPrEx>
        <w:tc>
          <w:tcPr>
            <w:tcW w:w="3628" w:type="dxa"/>
            <w:tcBorders>
              <w:top w:val="nil"/>
              <w:bottom w:val="nil"/>
            </w:tcBorders>
          </w:tcPr>
          <w:p w:rsidR="009D48B7" w:rsidRDefault="009D48B7">
            <w:pPr>
              <w:pStyle w:val="ConsPlusNormal"/>
              <w:ind w:left="283"/>
            </w:pPr>
            <w:r>
              <w:t>Республика Казахстан</w:t>
            </w:r>
          </w:p>
        </w:tc>
        <w:tc>
          <w:tcPr>
            <w:tcW w:w="5443" w:type="dxa"/>
            <w:tcBorders>
              <w:top w:val="nil"/>
              <w:bottom w:val="nil"/>
            </w:tcBorders>
          </w:tcPr>
          <w:p w:rsidR="009D48B7" w:rsidRDefault="009D48B7">
            <w:pPr>
              <w:pStyle w:val="ConsPlusNormal"/>
              <w:ind w:left="283"/>
            </w:pPr>
            <w:r>
              <w:t>Минстрой Республики Казахстан</w:t>
            </w:r>
          </w:p>
        </w:tc>
      </w:tr>
      <w:tr w:rsidR="009D48B7">
        <w:tblPrEx>
          <w:tblBorders>
            <w:insideH w:val="none" w:sz="0" w:space="0" w:color="auto"/>
          </w:tblBorders>
        </w:tblPrEx>
        <w:tc>
          <w:tcPr>
            <w:tcW w:w="3628" w:type="dxa"/>
            <w:tcBorders>
              <w:top w:val="nil"/>
              <w:bottom w:val="nil"/>
            </w:tcBorders>
          </w:tcPr>
          <w:p w:rsidR="009D48B7" w:rsidRDefault="009D48B7">
            <w:pPr>
              <w:pStyle w:val="ConsPlusNormal"/>
              <w:ind w:left="283"/>
            </w:pPr>
            <w:r>
              <w:t>Кыргызская Республика</w:t>
            </w:r>
          </w:p>
        </w:tc>
        <w:tc>
          <w:tcPr>
            <w:tcW w:w="5443" w:type="dxa"/>
            <w:tcBorders>
              <w:top w:val="nil"/>
              <w:bottom w:val="nil"/>
            </w:tcBorders>
          </w:tcPr>
          <w:p w:rsidR="009D48B7" w:rsidRDefault="009D48B7">
            <w:pPr>
              <w:pStyle w:val="ConsPlusNormal"/>
              <w:ind w:left="283"/>
            </w:pPr>
            <w:r>
              <w:t>Госстрой Кыргызской Республики</w:t>
            </w:r>
          </w:p>
        </w:tc>
      </w:tr>
      <w:tr w:rsidR="009D48B7">
        <w:tblPrEx>
          <w:tblBorders>
            <w:insideH w:val="none" w:sz="0" w:space="0" w:color="auto"/>
          </w:tblBorders>
        </w:tblPrEx>
        <w:tc>
          <w:tcPr>
            <w:tcW w:w="3628" w:type="dxa"/>
            <w:tcBorders>
              <w:top w:val="nil"/>
              <w:bottom w:val="nil"/>
            </w:tcBorders>
          </w:tcPr>
          <w:p w:rsidR="009D48B7" w:rsidRDefault="009D48B7">
            <w:pPr>
              <w:pStyle w:val="ConsPlusNormal"/>
              <w:ind w:left="283"/>
            </w:pPr>
            <w:r>
              <w:lastRenderedPageBreak/>
              <w:t>Республика Молдова</w:t>
            </w:r>
          </w:p>
        </w:tc>
        <w:tc>
          <w:tcPr>
            <w:tcW w:w="5443" w:type="dxa"/>
            <w:tcBorders>
              <w:top w:val="nil"/>
              <w:bottom w:val="nil"/>
            </w:tcBorders>
          </w:tcPr>
          <w:p w:rsidR="009D48B7" w:rsidRDefault="009D48B7">
            <w:pPr>
              <w:pStyle w:val="ConsPlusNormal"/>
              <w:ind w:left="283"/>
            </w:pPr>
            <w:r>
              <w:t>Минархстрой Республики Молдова</w:t>
            </w:r>
          </w:p>
        </w:tc>
      </w:tr>
      <w:tr w:rsidR="009D48B7">
        <w:tblPrEx>
          <w:tblBorders>
            <w:insideH w:val="none" w:sz="0" w:space="0" w:color="auto"/>
          </w:tblBorders>
        </w:tblPrEx>
        <w:tc>
          <w:tcPr>
            <w:tcW w:w="3628" w:type="dxa"/>
            <w:tcBorders>
              <w:top w:val="nil"/>
              <w:bottom w:val="nil"/>
            </w:tcBorders>
          </w:tcPr>
          <w:p w:rsidR="009D48B7" w:rsidRDefault="009D48B7">
            <w:pPr>
              <w:pStyle w:val="ConsPlusNormal"/>
              <w:ind w:left="283"/>
            </w:pPr>
            <w:r>
              <w:t>Российская Федерация</w:t>
            </w:r>
          </w:p>
        </w:tc>
        <w:tc>
          <w:tcPr>
            <w:tcW w:w="5443" w:type="dxa"/>
            <w:tcBorders>
              <w:top w:val="nil"/>
              <w:bottom w:val="nil"/>
            </w:tcBorders>
          </w:tcPr>
          <w:p w:rsidR="009D48B7" w:rsidRDefault="009D48B7">
            <w:pPr>
              <w:pStyle w:val="ConsPlusNormal"/>
              <w:ind w:left="283"/>
            </w:pPr>
            <w:r>
              <w:t>Минстрой России</w:t>
            </w:r>
          </w:p>
        </w:tc>
      </w:tr>
      <w:tr w:rsidR="009D48B7">
        <w:tblPrEx>
          <w:tblBorders>
            <w:insideH w:val="none" w:sz="0" w:space="0" w:color="auto"/>
          </w:tblBorders>
        </w:tblPrEx>
        <w:tc>
          <w:tcPr>
            <w:tcW w:w="3628" w:type="dxa"/>
            <w:tcBorders>
              <w:top w:val="nil"/>
              <w:bottom w:val="single" w:sz="4" w:space="0" w:color="auto"/>
            </w:tcBorders>
          </w:tcPr>
          <w:p w:rsidR="009D48B7" w:rsidRDefault="009D48B7">
            <w:pPr>
              <w:pStyle w:val="ConsPlusNormal"/>
              <w:ind w:left="283"/>
            </w:pPr>
            <w:r>
              <w:t>Республика Таджикистан</w:t>
            </w:r>
          </w:p>
        </w:tc>
        <w:tc>
          <w:tcPr>
            <w:tcW w:w="5443" w:type="dxa"/>
            <w:tcBorders>
              <w:top w:val="nil"/>
              <w:bottom w:val="single" w:sz="4" w:space="0" w:color="auto"/>
            </w:tcBorders>
          </w:tcPr>
          <w:p w:rsidR="009D48B7" w:rsidRDefault="009D48B7">
            <w:pPr>
              <w:pStyle w:val="ConsPlusNormal"/>
              <w:ind w:left="283"/>
            </w:pPr>
            <w:r>
              <w:t>Госстрой Республики Таджикистан</w:t>
            </w:r>
          </w:p>
        </w:tc>
      </w:tr>
    </w:tbl>
    <w:p w:rsidR="009D48B7" w:rsidRDefault="009D48B7">
      <w:pPr>
        <w:pStyle w:val="ConsPlusNormal"/>
        <w:jc w:val="both"/>
      </w:pPr>
    </w:p>
    <w:p w:rsidR="009D48B7" w:rsidRDefault="009D48B7">
      <w:pPr>
        <w:pStyle w:val="ConsPlusNormal"/>
        <w:ind w:firstLine="540"/>
        <w:jc w:val="both"/>
      </w:pPr>
      <w:r>
        <w:t>3. Настоящий стандарт представляет собой аутентичный текст ИСО 834-75 "Fire resistance test. Elements of building constructions" - "Испытания на огнестойкость. Строительные конструкции".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4. Введен в действие с 1 января 1996 г. в качестве государственного стандарта Российской Федерации постановлением Минстроя России от 23 марта 1995 г. N 18-26.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5. Взамен СТ СЭВ 1000-78, СТ СЭВ 5062-85.</w:t>
      </w:r>
    </w:p>
    <w:p w:rsidR="009D48B7" w:rsidRDefault="009D48B7">
      <w:pPr>
        <w:pStyle w:val="ConsPlusNormal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9D48B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9D48B7" w:rsidRDefault="009D48B7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9D48B7" w:rsidRDefault="009D48B7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9D48B7" w:rsidRDefault="009D48B7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пункта 1 обеспечивает соблюдение требований Федерального </w:t>
            </w:r>
            <w:hyperlink r:id="rId10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11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Росстандарта от 16.04.2014 N 474).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9D48B7" w:rsidRDefault="009D48B7">
            <w:pPr>
              <w:pStyle w:val="ConsPlusNormal"/>
            </w:pPr>
          </w:p>
        </w:tc>
      </w:tr>
    </w:tbl>
    <w:p w:rsidR="009D48B7" w:rsidRDefault="009D48B7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9D48B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9D48B7" w:rsidRDefault="009D48B7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9D48B7" w:rsidRDefault="009D48B7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9D48B7" w:rsidRDefault="009D48B7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пункта 1 обеспечивает соблюдение требований Федерального </w:t>
            </w:r>
            <w:hyperlink r:id="rId12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13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Ростехрегулирования от 30.04.2009 N 1573).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9D48B7" w:rsidRDefault="009D48B7">
            <w:pPr>
              <w:pStyle w:val="ConsPlusNormal"/>
            </w:pPr>
          </w:p>
        </w:tc>
      </w:tr>
    </w:tbl>
    <w:p w:rsidR="009D48B7" w:rsidRDefault="009D48B7">
      <w:pPr>
        <w:pStyle w:val="ConsPlusNormal"/>
        <w:spacing w:before="280"/>
        <w:jc w:val="center"/>
        <w:outlineLvl w:val="1"/>
      </w:pPr>
      <w:r>
        <w:t>1. Область применения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ind w:firstLine="540"/>
        <w:jc w:val="both"/>
      </w:pPr>
      <w:r>
        <w:t xml:space="preserve">1.1. Настоящий стандарт применяют совместно с </w:t>
      </w:r>
      <w:hyperlink r:id="rId14">
        <w:r>
          <w:rPr>
            <w:color w:val="0000FF"/>
          </w:rPr>
          <w:t>ГОСТ 30247.0</w:t>
        </w:r>
      </w:hyperlink>
      <w:r>
        <w:t>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1.2. Стандарт применяют для: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- несущих, самонесущих и навесных стен и перегородок без проемов;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- покрытий и перекрытий без проемов с подвесными потолками (при применении их для повышения предела огнестойкости конструкции) или без них;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- колонн и столбов;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- балок, ригелей, элементов арок, ферм и рам, а также других несущих и ограждающих конструкций.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При установлении пределов огнестойкости конструкций в целях определения возможности их применения в соответствии с противопожарными требованиями нормативных документов (в том числе при сертификации) следует применять методы, установленные настоящим стандартом.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jc w:val="center"/>
        <w:outlineLvl w:val="1"/>
      </w:pPr>
      <w:r>
        <w:t>2. Нормативные ссылки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ind w:firstLine="540"/>
        <w:jc w:val="both"/>
      </w:pPr>
      <w:r>
        <w:t>В настоящем стандарте использованы ссылки на следующие стандарты:</w:t>
      </w:r>
    </w:p>
    <w:p w:rsidR="009D48B7" w:rsidRDefault="009D48B7">
      <w:pPr>
        <w:pStyle w:val="ConsPlusNormal"/>
        <w:spacing w:before="220"/>
        <w:ind w:firstLine="540"/>
        <w:jc w:val="both"/>
      </w:pPr>
      <w:hyperlink r:id="rId15">
        <w:r>
          <w:rPr>
            <w:color w:val="0000FF"/>
          </w:rPr>
          <w:t>ГОСТ 30247.0-94</w:t>
        </w:r>
      </w:hyperlink>
      <w:r>
        <w:t xml:space="preserve"> Конструкции строительные. Методы испытаний на огнестойкость. Общие требования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СТ СЭВ 383-87 Пожарная безопасность в строительстве. Термины и определения</w:t>
      </w:r>
    </w:p>
    <w:p w:rsidR="009D48B7" w:rsidRDefault="009D48B7">
      <w:pPr>
        <w:pStyle w:val="ConsPlusNormal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9D48B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9D48B7" w:rsidRDefault="009D48B7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9D48B7" w:rsidRDefault="009D48B7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9D48B7" w:rsidRDefault="009D48B7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пункта 3 обеспечивает соблюдение требований </w:t>
            </w:r>
            <w:r>
              <w:rPr>
                <w:color w:val="392C69"/>
              </w:rPr>
              <w:lastRenderedPageBreak/>
              <w:t xml:space="preserve">Федерального </w:t>
            </w:r>
            <w:hyperlink r:id="rId16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17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Росстандарта от 16.04.2014 N 474).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9D48B7" w:rsidRDefault="009D48B7">
            <w:pPr>
              <w:pStyle w:val="ConsPlusNormal"/>
            </w:pPr>
          </w:p>
        </w:tc>
      </w:tr>
    </w:tbl>
    <w:p w:rsidR="009D48B7" w:rsidRDefault="009D48B7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9D48B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9D48B7" w:rsidRDefault="009D48B7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9D48B7" w:rsidRDefault="009D48B7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9D48B7" w:rsidRDefault="009D48B7">
            <w:pPr>
              <w:pStyle w:val="ConsPlusNormal"/>
              <w:jc w:val="both"/>
            </w:pPr>
            <w:r>
              <w:rPr>
                <w:color w:val="392C69"/>
              </w:rPr>
              <w:t xml:space="preserve">Применение на добровольной основе пункта 3 обеспечивает соблюдение требований Федерального </w:t>
            </w:r>
            <w:hyperlink r:id="rId18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22.07.2008 N 123-ФЗ "Технический регламент о требованиях пожарной безопасности" (</w:t>
            </w:r>
            <w:hyperlink r:id="rId19">
              <w:r>
                <w:rPr>
                  <w:color w:val="0000FF"/>
                </w:rPr>
                <w:t>Приказ</w:t>
              </w:r>
            </w:hyperlink>
            <w:r>
              <w:rPr>
                <w:color w:val="392C69"/>
              </w:rPr>
              <w:t xml:space="preserve"> Ростехрегулирования от 30.04.2009 N 1573).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9D48B7" w:rsidRDefault="009D48B7">
            <w:pPr>
              <w:pStyle w:val="ConsPlusNormal"/>
            </w:pPr>
          </w:p>
        </w:tc>
      </w:tr>
    </w:tbl>
    <w:p w:rsidR="009D48B7" w:rsidRDefault="009D48B7">
      <w:pPr>
        <w:pStyle w:val="ConsPlusNormal"/>
        <w:spacing w:before="280"/>
        <w:jc w:val="center"/>
        <w:outlineLvl w:val="1"/>
      </w:pPr>
      <w:r>
        <w:t>3. Определения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ind w:firstLine="540"/>
        <w:jc w:val="both"/>
      </w:pPr>
      <w:r>
        <w:t>В настоящем стандарте применяют следующие термины.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3.1. Несущие конструкции (элементы) - конструкции, воспринимающие постоянную и временную нагрузку, в том числе нагрузку от других частей зданий.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3.2. Огнестойкость конструкции - по СТ СЭВ 383.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3.3. Самонесущие конструкции - конструкции, воспринимающие нагрузку только от собственного веса.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3.4. Ограждающие конструкции - конструкции, выполняющие функции ограждения или разделения объемов (помещений) здания. Ограждающие конструкции могут совмещать функции несущих (в том числе самонесущих) и ограждающих конструкций.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jc w:val="center"/>
        <w:outlineLvl w:val="1"/>
      </w:pPr>
      <w:r>
        <w:t>4. Стендовое оборудование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ind w:firstLine="540"/>
        <w:jc w:val="both"/>
      </w:pPr>
      <w:r>
        <w:t xml:space="preserve">4.1. Стендовое оборудование - по </w:t>
      </w:r>
      <w:hyperlink r:id="rId20">
        <w:r>
          <w:rPr>
            <w:color w:val="0000FF"/>
          </w:rPr>
          <w:t>ГОСТ 30247.0</w:t>
        </w:r>
      </w:hyperlink>
      <w:r>
        <w:t>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4.2. При испытании ограждающих конструкций регулирующее устройство системы дымовых каналов должно обеспечивать избыточное давление в огневом пространстве печи. При испытании вертикальных ограждающих конструкций избыточное давление должно поддерживаться на высоте не менее чем верхние 2/3 проема печи.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Через 5 мин после начала испытания избыточное давление должно составлять (10 +/- 2) Па: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- при испытании горизонтальных элементов - на расстоянии 100 мм от обогреваемой поверхности образца;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- при испытании вертикальных элементов - на высоте, равной 3/4 вертикального размера проема печи, считая от низа.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jc w:val="center"/>
        <w:outlineLvl w:val="1"/>
      </w:pPr>
      <w:r>
        <w:t>5. Температурный режим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ind w:firstLine="540"/>
        <w:jc w:val="both"/>
      </w:pPr>
      <w:r>
        <w:t xml:space="preserve">По </w:t>
      </w:r>
      <w:hyperlink r:id="rId21">
        <w:r>
          <w:rPr>
            <w:color w:val="0000FF"/>
          </w:rPr>
          <w:t>ГОСТ 30247.0</w:t>
        </w:r>
      </w:hyperlink>
      <w:r>
        <w:t>.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jc w:val="center"/>
        <w:outlineLvl w:val="1"/>
      </w:pPr>
      <w:r>
        <w:t>6. Образцы для испытаний конструкций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ind w:firstLine="540"/>
        <w:jc w:val="both"/>
      </w:pPr>
      <w:r>
        <w:t xml:space="preserve">Образцы для испытаний конструкций должны соответствовать </w:t>
      </w:r>
      <w:hyperlink r:id="rId22">
        <w:r>
          <w:rPr>
            <w:color w:val="0000FF"/>
          </w:rPr>
          <w:t>ГОСТ 30247.0</w:t>
        </w:r>
      </w:hyperlink>
      <w:r>
        <w:t xml:space="preserve"> и иметь проектные размеры.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Если образцы таких размеров испытать не представляется возможным, то минимальные размеры образцов и проемов печей принимают такими, чтобы обеспечить минимальные размеры зоны огневого воздействия на образец в соответствии с приведенными в таблице 1.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jc w:val="right"/>
      </w:pPr>
      <w:r>
        <w:t>Таблица 1</w:t>
      </w:r>
    </w:p>
    <w:p w:rsidR="009D48B7" w:rsidRDefault="009D48B7">
      <w:pPr>
        <w:pStyle w:val="ConsPlusNormal"/>
        <w:jc w:val="right"/>
      </w:pPr>
    </w:p>
    <w:p w:rsidR="009D48B7" w:rsidRDefault="009D48B7">
      <w:pPr>
        <w:pStyle w:val="ConsPlusNormal"/>
        <w:jc w:val="right"/>
      </w:pPr>
      <w:r>
        <w:t>В метрах</w:t>
      </w:r>
    </w:p>
    <w:p w:rsidR="009D48B7" w:rsidRDefault="009D48B7">
      <w:pPr>
        <w:pStyle w:val="ConsPlusNormal"/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28"/>
        <w:gridCol w:w="1814"/>
        <w:gridCol w:w="1701"/>
        <w:gridCol w:w="1928"/>
      </w:tblGrid>
      <w:tr w:rsidR="009D48B7">
        <w:tc>
          <w:tcPr>
            <w:tcW w:w="3628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48B7" w:rsidRDefault="009D48B7">
            <w:pPr>
              <w:pStyle w:val="ConsPlusNormal"/>
              <w:jc w:val="center"/>
            </w:pPr>
            <w:r>
              <w:t>Наименование конструкции</w:t>
            </w:r>
          </w:p>
        </w:tc>
        <w:tc>
          <w:tcPr>
            <w:tcW w:w="544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48B7" w:rsidRDefault="009D48B7">
            <w:pPr>
              <w:pStyle w:val="ConsPlusNormal"/>
              <w:jc w:val="center"/>
            </w:pPr>
            <w:r>
              <w:t>Минимальные размеры зоны огневого воздействия на образец</w:t>
            </w:r>
          </w:p>
        </w:tc>
      </w:tr>
      <w:tr w:rsidR="009D48B7">
        <w:tc>
          <w:tcPr>
            <w:tcW w:w="362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D48B7" w:rsidRDefault="009D48B7">
            <w:pPr>
              <w:pStyle w:val="ConsPlusNormal"/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48B7" w:rsidRDefault="009D48B7">
            <w:pPr>
              <w:pStyle w:val="ConsPlusNormal"/>
              <w:jc w:val="center"/>
            </w:pPr>
            <w:r>
              <w:t>Ширина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48B7" w:rsidRDefault="009D48B7">
            <w:pPr>
              <w:pStyle w:val="ConsPlusNormal"/>
              <w:jc w:val="center"/>
            </w:pPr>
            <w:r>
              <w:t>Длина</w:t>
            </w:r>
          </w:p>
        </w:tc>
        <w:tc>
          <w:tcPr>
            <w:tcW w:w="1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48B7" w:rsidRDefault="009D48B7">
            <w:pPr>
              <w:pStyle w:val="ConsPlusNormal"/>
              <w:jc w:val="center"/>
            </w:pPr>
            <w:r>
              <w:t>Высота</w:t>
            </w:r>
          </w:p>
        </w:tc>
      </w:tr>
      <w:tr w:rsidR="009D48B7">
        <w:tblPrEx>
          <w:tblBorders>
            <w:insideH w:val="none" w:sz="0" w:space="0" w:color="auto"/>
          </w:tblBorders>
        </w:tblPrEx>
        <w:tc>
          <w:tcPr>
            <w:tcW w:w="3628" w:type="dxa"/>
            <w:tcBorders>
              <w:top w:val="single" w:sz="4" w:space="0" w:color="auto"/>
              <w:bottom w:val="nil"/>
            </w:tcBorders>
          </w:tcPr>
          <w:p w:rsidR="009D48B7" w:rsidRDefault="009D48B7">
            <w:pPr>
              <w:pStyle w:val="ConsPlusNormal"/>
            </w:pPr>
            <w:r>
              <w:t>Стены и перегородки</w:t>
            </w:r>
          </w:p>
        </w:tc>
        <w:tc>
          <w:tcPr>
            <w:tcW w:w="1814" w:type="dxa"/>
            <w:tcBorders>
              <w:top w:val="single" w:sz="4" w:space="0" w:color="auto"/>
              <w:bottom w:val="nil"/>
            </w:tcBorders>
          </w:tcPr>
          <w:p w:rsidR="009D48B7" w:rsidRDefault="009D48B7">
            <w:pPr>
              <w:pStyle w:val="ConsPlusNormal"/>
              <w:jc w:val="center"/>
            </w:pPr>
            <w:r>
              <w:t>3,0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9D48B7" w:rsidRDefault="009D48B7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928" w:type="dxa"/>
            <w:tcBorders>
              <w:top w:val="single" w:sz="4" w:space="0" w:color="auto"/>
              <w:bottom w:val="nil"/>
            </w:tcBorders>
          </w:tcPr>
          <w:p w:rsidR="009D48B7" w:rsidRDefault="009D48B7">
            <w:pPr>
              <w:pStyle w:val="ConsPlusNormal"/>
              <w:jc w:val="center"/>
            </w:pPr>
            <w:r>
              <w:t>3,0</w:t>
            </w:r>
          </w:p>
        </w:tc>
      </w:tr>
      <w:tr w:rsidR="009D48B7">
        <w:tblPrEx>
          <w:tblBorders>
            <w:insideH w:val="none" w:sz="0" w:space="0" w:color="auto"/>
          </w:tblBorders>
        </w:tblPrEx>
        <w:tc>
          <w:tcPr>
            <w:tcW w:w="3628" w:type="dxa"/>
            <w:tcBorders>
              <w:top w:val="nil"/>
              <w:bottom w:val="nil"/>
            </w:tcBorders>
          </w:tcPr>
          <w:p w:rsidR="009D48B7" w:rsidRDefault="009D48B7">
            <w:pPr>
              <w:pStyle w:val="ConsPlusNormal"/>
            </w:pPr>
            <w:r>
              <w:t>Покрытия и перекрытия, опирающиеся по двум сторонам</w:t>
            </w:r>
          </w:p>
        </w:tc>
        <w:tc>
          <w:tcPr>
            <w:tcW w:w="1814" w:type="dxa"/>
            <w:tcBorders>
              <w:top w:val="nil"/>
              <w:bottom w:val="nil"/>
            </w:tcBorders>
          </w:tcPr>
          <w:p w:rsidR="009D48B7" w:rsidRDefault="009D48B7">
            <w:pPr>
              <w:pStyle w:val="ConsPlusNormal"/>
              <w:jc w:val="center"/>
            </w:pPr>
            <w:r>
              <w:t>2,0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9D48B7" w:rsidRDefault="009D48B7">
            <w:pPr>
              <w:pStyle w:val="ConsPlusNormal"/>
              <w:jc w:val="center"/>
            </w:pPr>
            <w:r>
              <w:t>4,0</w:t>
            </w:r>
          </w:p>
        </w:tc>
        <w:tc>
          <w:tcPr>
            <w:tcW w:w="1928" w:type="dxa"/>
            <w:tcBorders>
              <w:top w:val="nil"/>
              <w:bottom w:val="nil"/>
            </w:tcBorders>
          </w:tcPr>
          <w:p w:rsidR="009D48B7" w:rsidRDefault="009D48B7">
            <w:pPr>
              <w:pStyle w:val="ConsPlusNormal"/>
              <w:jc w:val="center"/>
            </w:pPr>
            <w:r>
              <w:t>-</w:t>
            </w:r>
          </w:p>
        </w:tc>
      </w:tr>
      <w:tr w:rsidR="009D48B7">
        <w:tblPrEx>
          <w:tblBorders>
            <w:insideH w:val="none" w:sz="0" w:space="0" w:color="auto"/>
          </w:tblBorders>
        </w:tblPrEx>
        <w:tc>
          <w:tcPr>
            <w:tcW w:w="3628" w:type="dxa"/>
            <w:tcBorders>
              <w:top w:val="nil"/>
              <w:bottom w:val="nil"/>
            </w:tcBorders>
          </w:tcPr>
          <w:p w:rsidR="009D48B7" w:rsidRDefault="009D48B7">
            <w:pPr>
              <w:pStyle w:val="ConsPlusNormal"/>
            </w:pPr>
            <w:r>
              <w:t>Покрытия и перекрытия, опирающиеся по четырем сторонам</w:t>
            </w:r>
          </w:p>
        </w:tc>
        <w:tc>
          <w:tcPr>
            <w:tcW w:w="1814" w:type="dxa"/>
            <w:tcBorders>
              <w:top w:val="nil"/>
              <w:bottom w:val="nil"/>
            </w:tcBorders>
          </w:tcPr>
          <w:p w:rsidR="009D48B7" w:rsidRDefault="009D48B7">
            <w:pPr>
              <w:pStyle w:val="ConsPlusNormal"/>
              <w:jc w:val="center"/>
            </w:pPr>
            <w:r>
              <w:t>2,8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9D48B7" w:rsidRDefault="009D48B7">
            <w:pPr>
              <w:pStyle w:val="ConsPlusNormal"/>
              <w:jc w:val="center"/>
            </w:pPr>
            <w:r>
              <w:t>4,0</w:t>
            </w:r>
          </w:p>
        </w:tc>
        <w:tc>
          <w:tcPr>
            <w:tcW w:w="1928" w:type="dxa"/>
            <w:tcBorders>
              <w:top w:val="nil"/>
              <w:bottom w:val="nil"/>
            </w:tcBorders>
          </w:tcPr>
          <w:p w:rsidR="009D48B7" w:rsidRDefault="009D48B7">
            <w:pPr>
              <w:pStyle w:val="ConsPlusNormal"/>
              <w:jc w:val="center"/>
            </w:pPr>
            <w:r>
              <w:t>-</w:t>
            </w:r>
          </w:p>
        </w:tc>
      </w:tr>
      <w:tr w:rsidR="009D48B7">
        <w:tblPrEx>
          <w:tblBorders>
            <w:insideH w:val="none" w:sz="0" w:space="0" w:color="auto"/>
          </w:tblBorders>
        </w:tblPrEx>
        <w:tc>
          <w:tcPr>
            <w:tcW w:w="3628" w:type="dxa"/>
            <w:tcBorders>
              <w:top w:val="nil"/>
              <w:bottom w:val="nil"/>
            </w:tcBorders>
          </w:tcPr>
          <w:p w:rsidR="009D48B7" w:rsidRDefault="009D48B7">
            <w:pPr>
              <w:pStyle w:val="ConsPlusNormal"/>
            </w:pPr>
            <w:r>
              <w:t>Балки и другие горизонтальные стержневые конструкции</w:t>
            </w:r>
          </w:p>
        </w:tc>
        <w:tc>
          <w:tcPr>
            <w:tcW w:w="1814" w:type="dxa"/>
            <w:tcBorders>
              <w:top w:val="nil"/>
              <w:bottom w:val="nil"/>
            </w:tcBorders>
          </w:tcPr>
          <w:p w:rsidR="009D48B7" w:rsidRDefault="009D48B7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9D48B7" w:rsidRDefault="009D48B7">
            <w:pPr>
              <w:pStyle w:val="ConsPlusNormal"/>
              <w:jc w:val="center"/>
            </w:pPr>
            <w:r>
              <w:t>4,0</w:t>
            </w:r>
          </w:p>
        </w:tc>
        <w:tc>
          <w:tcPr>
            <w:tcW w:w="1928" w:type="dxa"/>
            <w:tcBorders>
              <w:top w:val="nil"/>
              <w:bottom w:val="nil"/>
            </w:tcBorders>
          </w:tcPr>
          <w:p w:rsidR="009D48B7" w:rsidRDefault="009D48B7">
            <w:pPr>
              <w:pStyle w:val="ConsPlusNormal"/>
              <w:jc w:val="center"/>
            </w:pPr>
            <w:r>
              <w:t>-</w:t>
            </w:r>
          </w:p>
        </w:tc>
      </w:tr>
      <w:tr w:rsidR="009D48B7">
        <w:tblPrEx>
          <w:tblBorders>
            <w:insideH w:val="none" w:sz="0" w:space="0" w:color="auto"/>
          </w:tblBorders>
        </w:tblPrEx>
        <w:tc>
          <w:tcPr>
            <w:tcW w:w="3628" w:type="dxa"/>
            <w:tcBorders>
              <w:top w:val="nil"/>
              <w:bottom w:val="single" w:sz="4" w:space="0" w:color="auto"/>
            </w:tcBorders>
          </w:tcPr>
          <w:p w:rsidR="009D48B7" w:rsidRDefault="009D48B7">
            <w:pPr>
              <w:pStyle w:val="ConsPlusNormal"/>
            </w:pPr>
            <w:r>
              <w:t>Колонны, столбы и другие вертикальные стержневые конструкции</w:t>
            </w:r>
          </w:p>
        </w:tc>
        <w:tc>
          <w:tcPr>
            <w:tcW w:w="1814" w:type="dxa"/>
            <w:tcBorders>
              <w:top w:val="nil"/>
              <w:bottom w:val="single" w:sz="4" w:space="0" w:color="auto"/>
            </w:tcBorders>
          </w:tcPr>
          <w:p w:rsidR="009D48B7" w:rsidRDefault="009D48B7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9D48B7" w:rsidRDefault="009D48B7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928" w:type="dxa"/>
            <w:tcBorders>
              <w:top w:val="nil"/>
              <w:bottom w:val="single" w:sz="4" w:space="0" w:color="auto"/>
            </w:tcBorders>
          </w:tcPr>
          <w:p w:rsidR="009D48B7" w:rsidRDefault="009D48B7">
            <w:pPr>
              <w:pStyle w:val="ConsPlusNormal"/>
              <w:jc w:val="center"/>
            </w:pPr>
            <w:r>
              <w:t>2,5</w:t>
            </w:r>
          </w:p>
        </w:tc>
      </w:tr>
    </w:tbl>
    <w:p w:rsidR="009D48B7" w:rsidRDefault="009D48B7">
      <w:pPr>
        <w:pStyle w:val="ConsPlusNormal"/>
      </w:pPr>
    </w:p>
    <w:p w:rsidR="009D48B7" w:rsidRDefault="009D48B7">
      <w:pPr>
        <w:pStyle w:val="ConsPlusNormal"/>
        <w:jc w:val="center"/>
        <w:outlineLvl w:val="1"/>
      </w:pPr>
      <w:r>
        <w:t>7. Проведение испытаний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ind w:firstLine="540"/>
        <w:jc w:val="both"/>
      </w:pPr>
      <w:r>
        <w:t xml:space="preserve">7.1. Условия проведения испытаний принимаются по </w:t>
      </w:r>
      <w:hyperlink r:id="rId23">
        <w:r>
          <w:rPr>
            <w:color w:val="0000FF"/>
          </w:rPr>
          <w:t>ГОСТ 30247.0</w:t>
        </w:r>
      </w:hyperlink>
      <w:r>
        <w:t>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7.2. Нагрузка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7.2.1. Образцы несущих и самонесущих конструкций должны испытываться под нагрузкой. Распределение нагрузки и условия опирания образцов должны соответствовать расчетным схемам, принятым в технической документации.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7.2.2. Испытательную нагрузку устанавливают из условия создания в расчетных сечениях образцов конструкций напряжений, соответствующих их проектным значениям или технической документации.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7.2.3. При определении проектных значений напряжений следует учитывать только постоянные и временные длительные нагрузки в их расчетных значениях с коэффициентом надежности, равным 1.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7.2.4. При приложении нагрузки необходимо обеспечить условие, чтобы при деформации образца грузы не смещались и не влияли на величину предела огнестойкости вследствие изменения условий теплообмена с окружающей средой.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Нагрузку устанавливают не менее чем за 30 мин до начала испытания и поддерживают (с точностью +/- 5%) постоянной в течение всего времени испытания.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7.3. Расстановка термопар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7.3.1. Среднюю температуру на необогреваемой поверхности образцов ограждающих конструкций (стен, перегородок, перекрытий и др.) определяют как среднее арифметическое показаний не менее чем пяти термопар. При этом одну термопару располагают в центре, а остальные - в середине прямых, соединяющих центр и углы проема печи.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 xml:space="preserve">7.3.2. В случае испытания образцов конструкций, состоящих из отдельных элементов, </w:t>
      </w:r>
      <w:r>
        <w:lastRenderedPageBreak/>
        <w:t>необходимо, чтобы их стыковые соединения не совпадали с местами установки термопар, предназначенных для измерения средней температуры необогреваемой поверхности.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7.3.3. Для определения температуры в любой точке поверхности образца следует устанавливать термопары (или использовать переносную термопару) в таких местах необогреваемой поверхности образцов ограждающих конструкций, в которых ожидается появление максимальной температуры (например, в зоне ребер, стыков, металлических закладных деталей и т.п.).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При определении средней температуры необогреваемой поверхности эти точки в расчет не принимают.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Места расположения термопар для измерения температуры на необогреваемой поверхности образца ограждающей конструкции в любом случае должны располагаться не ближе 100 мм от края проема печи.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7.3.4. При испытании колонн, столбов, балок, элементов ферм и других стержневых конструкций термопары для измерения температуры материалов конструкции, при необходимости выполнения таких измерений, устанавливают в плоскостях, перпендикулярных продольной оси образца, расположенных не реже чем через 1 м друг от друга и не ближе 200 мм от внутренней поверхности печи. Одна из этих плоскостей должна быть расположена в центре длины образца.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7.4. Образцы наружных стен испытывают при воздействии тепла со стороны, обращенной при эксплуатации к помещению; покрытия и перекрытия - снизу; балки - с трех сторон; колонны, столбы и фермы - с четырех или с трех сторон с учетом реальных условий использования и наихудшего ожидаемого результата испытания.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Образцы конструкций однослойных и симметричных многослойных внутренних стен испытывают с одной стороны, многослойных несимметричных - с каждой стороны, кроме тех случаев, когда неблагоприятная сторона может быть заранее установлена или известно направление огневого воздействия.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jc w:val="center"/>
        <w:outlineLvl w:val="1"/>
      </w:pPr>
      <w:r>
        <w:t>8. Предельные состояния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ind w:firstLine="540"/>
        <w:jc w:val="both"/>
      </w:pPr>
      <w:r>
        <w:t>8.1. При испытании несущих и ограждающих конструкций различают следующие предельные состояния.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 xml:space="preserve">8.1.1. Потеря несущей способности R вследствие обрушения конструкции или возникновения предельных деформаций, значения которых приведены в </w:t>
      </w:r>
      <w:hyperlink w:anchor="P178">
        <w:r>
          <w:rPr>
            <w:color w:val="0000FF"/>
          </w:rPr>
          <w:t>Приложении А.</w:t>
        </w:r>
      </w:hyperlink>
    </w:p>
    <w:p w:rsidR="009D48B7" w:rsidRDefault="009D48B7">
      <w:pPr>
        <w:pStyle w:val="ConsPlusNormal"/>
        <w:spacing w:before="220"/>
        <w:ind w:firstLine="540"/>
        <w:jc w:val="both"/>
      </w:pPr>
      <w:r>
        <w:t>8.1.2. Потеря теплоизолирующей способности I вследствие повышения температуры на необогреваемой поверхности конструкции в среднем более чем на 140 °C или в любой точке этой поверхности более чем на 180 °С в сравнении с температурой конструкции до испытания или более 220 °С независимо от температуры конструкции до испытания.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 xml:space="preserve">8.1.3. Потеря целостности E в результате образования в конструкции сквозных трещин или отверстий, через которые на необогреваемую поверхность проникают продукты горения или пламя. В процессе испытания потерю целостности определяют при помощи тампона по </w:t>
      </w:r>
      <w:hyperlink r:id="rId24">
        <w:r>
          <w:rPr>
            <w:color w:val="0000FF"/>
          </w:rPr>
          <w:t>ГОСТ 30247.0</w:t>
        </w:r>
      </w:hyperlink>
      <w:r>
        <w:t>, который помещают в металлическую рамку с держателем и подносят к местам, где ожидается проникновение пламени или продуктов горения, и в течение 10 с держат на расстоянии 20 - 25 мм от поверхности образца.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Время от начала испытания до воспламенения или возникновения тления со свечением тампона является пределом огнестойкости конструкции по признаку потери целостности.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lastRenderedPageBreak/>
        <w:t>Обугливание тампона, происходящее без воспламенения или без тления со свечением, не учитывают.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8.2. Для нормирования пределов огнестойкости несущих и ограждающих конструкций используют следующие предельные состояния: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- для колонн, балок, ферм, арок и рам - только потеря несущей способности конструкции и узлов - R;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- для наружных несущих стен и покрытий - потеря несущей способности R и целостности E, для наружных ненесущих стен - E;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- для ненесущих внутренних стен и перегородок - потеря теплоизолирующей способности I и целостности - E;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- для несущих внутренних стен и противопожарных преград - потеря несущей способности, целостности и теплоизолирующей способности R, E, I соответственно.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jc w:val="center"/>
        <w:outlineLvl w:val="1"/>
      </w:pPr>
      <w:r>
        <w:t>9. Оценка результатов испытания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ind w:firstLine="540"/>
        <w:jc w:val="both"/>
      </w:pPr>
      <w:r>
        <w:t xml:space="preserve">По </w:t>
      </w:r>
      <w:hyperlink r:id="rId25">
        <w:r>
          <w:rPr>
            <w:color w:val="0000FF"/>
          </w:rPr>
          <w:t>ГОСТ 30247.0</w:t>
        </w:r>
      </w:hyperlink>
      <w:r>
        <w:t>.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jc w:val="center"/>
        <w:outlineLvl w:val="1"/>
      </w:pPr>
      <w:r>
        <w:t>10. Протокол испытаний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ind w:firstLine="540"/>
        <w:jc w:val="both"/>
      </w:pPr>
      <w:r>
        <w:t xml:space="preserve">По </w:t>
      </w:r>
      <w:hyperlink r:id="rId26">
        <w:r>
          <w:rPr>
            <w:color w:val="0000FF"/>
          </w:rPr>
          <w:t>ГОСТ 30247.0</w:t>
        </w:r>
      </w:hyperlink>
      <w:r>
        <w:t>.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</w:pPr>
    </w:p>
    <w:p w:rsidR="009D48B7" w:rsidRDefault="009D48B7">
      <w:pPr>
        <w:pStyle w:val="ConsPlusNormal"/>
      </w:pPr>
    </w:p>
    <w:p w:rsidR="009D48B7" w:rsidRDefault="009D48B7">
      <w:pPr>
        <w:pStyle w:val="ConsPlusNormal"/>
      </w:pPr>
    </w:p>
    <w:p w:rsidR="009D48B7" w:rsidRDefault="009D48B7">
      <w:pPr>
        <w:pStyle w:val="ConsPlusNormal"/>
      </w:pPr>
    </w:p>
    <w:p w:rsidR="009D48B7" w:rsidRDefault="009D48B7">
      <w:pPr>
        <w:pStyle w:val="ConsPlusNormal"/>
        <w:jc w:val="right"/>
        <w:outlineLvl w:val="0"/>
      </w:pPr>
      <w:r>
        <w:t>Приложение А</w:t>
      </w:r>
    </w:p>
    <w:p w:rsidR="009D48B7" w:rsidRDefault="009D48B7">
      <w:pPr>
        <w:pStyle w:val="ConsPlusNormal"/>
        <w:jc w:val="right"/>
      </w:pPr>
      <w:r>
        <w:t>(обязательное)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jc w:val="center"/>
      </w:pPr>
      <w:bookmarkStart w:id="0" w:name="P178"/>
      <w:bookmarkEnd w:id="0"/>
      <w:r>
        <w:t>ОПРЕДЕЛЕНИЕ ПРЕДЕЛЬНОГО СОСТОЯНИЯ КОНСТРУКЦИЙ ПО</w:t>
      </w:r>
    </w:p>
    <w:p w:rsidR="009D48B7" w:rsidRDefault="009D48B7">
      <w:pPr>
        <w:pStyle w:val="ConsPlusNormal"/>
        <w:jc w:val="center"/>
      </w:pPr>
      <w:r>
        <w:t>ПОТЕРЕ НЕСУЩЕЙ СПОСОБНОСТИ В ЗАВИСИМОСТИ ОТ ДЕФОРМАЦИЙ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  <w:ind w:firstLine="540"/>
        <w:jc w:val="both"/>
      </w:pPr>
      <w:r>
        <w:t>1. Для изгибаемых конструкций следует считать, что предельное состояние наступило, если: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- прогиб достиг величины L/20 или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- скорость нарастания деформаций достигла L</w:t>
      </w:r>
      <w:r>
        <w:rPr>
          <w:vertAlign w:val="superscript"/>
        </w:rPr>
        <w:t>2</w:t>
      </w:r>
      <w:r>
        <w:t>/(9000 h) см/мин,</w:t>
      </w:r>
    </w:p>
    <w:p w:rsidR="009D48B7" w:rsidRDefault="009D48B7">
      <w:pPr>
        <w:pStyle w:val="ConsPlusNormal"/>
        <w:spacing w:before="220"/>
        <w:jc w:val="both"/>
      </w:pPr>
      <w:r>
        <w:t>где L - пролет, см;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h - расчетная высота сечения конструкции, см.</w:t>
      </w:r>
    </w:p>
    <w:p w:rsidR="009D48B7" w:rsidRDefault="009D48B7">
      <w:pPr>
        <w:pStyle w:val="ConsPlusNormal"/>
        <w:spacing w:before="220"/>
        <w:ind w:firstLine="540"/>
        <w:jc w:val="both"/>
      </w:pPr>
      <w:r>
        <w:t>2. Для вертикальных конструкций предельным состоянием следует считать условие, когда вертикальная деформация достигает L/100 или скорость нарастания вертикальных деформаций достигает 10 мм/мин для образцов высотой (3 +/- 0,5) м.</w:t>
      </w:r>
    </w:p>
    <w:p w:rsidR="009D48B7" w:rsidRDefault="009D48B7">
      <w:pPr>
        <w:pStyle w:val="ConsPlusNormal"/>
      </w:pPr>
    </w:p>
    <w:p w:rsidR="009D48B7" w:rsidRDefault="009D48B7">
      <w:pPr>
        <w:pStyle w:val="ConsPlusNormal"/>
      </w:pPr>
    </w:p>
    <w:p w:rsidR="009D48B7" w:rsidRDefault="009D48B7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F50DD4" w:rsidRDefault="00F50DD4">
      <w:bookmarkStart w:id="1" w:name="_GoBack"/>
      <w:bookmarkEnd w:id="1"/>
    </w:p>
    <w:sectPr w:rsidR="00F50DD4" w:rsidSect="001D4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B7"/>
    <w:rsid w:val="00583504"/>
    <w:rsid w:val="009D48B7"/>
    <w:rsid w:val="00C3176F"/>
    <w:rsid w:val="00F5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D48B7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9D48B7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9D48B7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D48B7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9D48B7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9D48B7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ESU&amp;n=3623&amp;dst=103047" TargetMode="External"/><Relationship Id="rId13" Type="http://schemas.openxmlformats.org/officeDocument/2006/relationships/hyperlink" Target="https://login.consultant.ru/link/?req=doc&amp;base=LAW&amp;n=150301&amp;dst=100313" TargetMode="External"/><Relationship Id="rId18" Type="http://schemas.openxmlformats.org/officeDocument/2006/relationships/hyperlink" Target="https://login.consultant.ru/link/?req=doc&amp;base=LAW&amp;n=465775" TargetMode="External"/><Relationship Id="rId26" Type="http://schemas.openxmlformats.org/officeDocument/2006/relationships/hyperlink" Target="https://login.consultant.ru/link/?req=doc&amp;base=STR&amp;n=351&amp;dst=10013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consultant.ru/link/?req=doc&amp;base=STR&amp;n=351&amp;dst=100066" TargetMode="External"/><Relationship Id="rId7" Type="http://schemas.openxmlformats.org/officeDocument/2006/relationships/hyperlink" Target="https://login.consultant.ru/link/?req=doc&amp;base=LAW&amp;n=456140&amp;dst=101308" TargetMode="External"/><Relationship Id="rId12" Type="http://schemas.openxmlformats.org/officeDocument/2006/relationships/hyperlink" Target="https://login.consultant.ru/link/?req=doc&amp;base=LAW&amp;n=465775" TargetMode="External"/><Relationship Id="rId17" Type="http://schemas.openxmlformats.org/officeDocument/2006/relationships/hyperlink" Target="https://login.consultant.ru/link/?req=doc&amp;base=LAW&amp;n=194675&amp;dst=100326" TargetMode="External"/><Relationship Id="rId25" Type="http://schemas.openxmlformats.org/officeDocument/2006/relationships/hyperlink" Target="https://login.consultant.ru/link/?req=doc&amp;base=STR&amp;n=351&amp;dst=10013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LAW&amp;n=465775" TargetMode="External"/><Relationship Id="rId20" Type="http://schemas.openxmlformats.org/officeDocument/2006/relationships/hyperlink" Target="https://login.consultant.ru/link/?req=doc&amp;base=STR&amp;n=351&amp;dst=100025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ESU&amp;n=43078&amp;dst=101517" TargetMode="External"/><Relationship Id="rId11" Type="http://schemas.openxmlformats.org/officeDocument/2006/relationships/hyperlink" Target="https://login.consultant.ru/link/?req=doc&amp;base=LAW&amp;n=194675&amp;dst=100326" TargetMode="External"/><Relationship Id="rId24" Type="http://schemas.openxmlformats.org/officeDocument/2006/relationships/hyperlink" Target="https://login.consultant.ru/link/?req=doc&amp;base=STR&amp;n=351" TargetMode="External"/><Relationship Id="rId5" Type="http://schemas.openxmlformats.org/officeDocument/2006/relationships/hyperlink" Target="https://www.consultant.ru" TargetMode="External"/><Relationship Id="rId15" Type="http://schemas.openxmlformats.org/officeDocument/2006/relationships/hyperlink" Target="https://login.consultant.ru/link/?req=doc&amp;base=STR&amp;n=351" TargetMode="External"/><Relationship Id="rId23" Type="http://schemas.openxmlformats.org/officeDocument/2006/relationships/hyperlink" Target="https://login.consultant.ru/link/?req=doc&amp;base=STR&amp;n=351&amp;dst=10010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465775" TargetMode="External"/><Relationship Id="rId19" Type="http://schemas.openxmlformats.org/officeDocument/2006/relationships/hyperlink" Target="https://login.consultant.ru/link/?req=doc&amp;base=LAW&amp;n=150301&amp;dst=1003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ESU&amp;n=3623&amp;dst=103365" TargetMode="External"/><Relationship Id="rId14" Type="http://schemas.openxmlformats.org/officeDocument/2006/relationships/hyperlink" Target="https://login.consultant.ru/link/?req=doc&amp;base=STR&amp;n=351" TargetMode="External"/><Relationship Id="rId22" Type="http://schemas.openxmlformats.org/officeDocument/2006/relationships/hyperlink" Target="https://login.consultant.ru/link/?req=doc&amp;base=STR&amp;n=351&amp;dst=10009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2044</Words>
  <Characters>11656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Рыбалкина Елена Анатольевна</dc:creator>
  <cp:lastModifiedBy>Рыбалкина Елена Анатольевна</cp:lastModifiedBy>
  <cp:revision>1</cp:revision>
  <dcterms:created xsi:type="dcterms:W3CDTF">2024-08-12T13:26:00Z</dcterms:created>
  <dcterms:modified xsi:type="dcterms:W3CDTF">2024-08-12T13:26:00Z</dcterms:modified>
</cp:coreProperties>
</file>