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Nexum Suum Compliance Reference: Boilers, Chillers &amp; Vital Facility Systems</w:t>
      </w:r>
    </w:p>
    <w:p>
      <w:pPr>
        <w:pStyle w:val="Heading2"/>
      </w:pPr>
      <w:r>
        <w:t>1. Federal Compliance Framework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Agency / Department</w:t>
            </w:r>
          </w:p>
        </w:tc>
        <w:tc>
          <w:tcPr>
            <w:tcW w:type="dxa" w:w="1728"/>
          </w:tcPr>
          <w:p>
            <w:r>
              <w:t>Code / Regulation</w:t>
            </w:r>
          </w:p>
        </w:tc>
        <w:tc>
          <w:tcPr>
            <w:tcW w:type="dxa" w:w="1728"/>
          </w:tcPr>
          <w:p>
            <w:r>
              <w:t>Primary Focus</w:t>
            </w:r>
          </w:p>
        </w:tc>
        <w:tc>
          <w:tcPr>
            <w:tcW w:type="dxa" w:w="1728"/>
          </w:tcPr>
          <w:p>
            <w:r>
              <w:t>Typical Penalties / Fines</w:t>
            </w:r>
          </w:p>
        </w:tc>
        <w:tc>
          <w:tcPr>
            <w:tcW w:type="dxa" w:w="1728"/>
          </w:tcPr>
          <w:p>
            <w:r>
              <w:t>Compliance Standards &amp; Notes</w:t>
            </w:r>
          </w:p>
        </w:tc>
      </w:tr>
      <w:tr>
        <w:tc>
          <w:tcPr>
            <w:tcW w:type="dxa" w:w="1728"/>
          </w:tcPr>
          <w:p>
            <w:r>
              <w:t>ASME</w:t>
            </w:r>
          </w:p>
        </w:tc>
        <w:tc>
          <w:tcPr>
            <w:tcW w:type="dxa" w:w="1728"/>
          </w:tcPr>
          <w:p>
            <w:r>
              <w:t>Section I, IV, VI, VII, VIII, IX, CSD-1</w:t>
            </w:r>
          </w:p>
        </w:tc>
        <w:tc>
          <w:tcPr>
            <w:tcW w:type="dxa" w:w="1728"/>
          </w:tcPr>
          <w:p>
            <w:r>
              <w:t>Boiler &amp; pressure vessel design</w:t>
            </w:r>
          </w:p>
        </w:tc>
        <w:tc>
          <w:tcPr>
            <w:tcW w:type="dxa" w:w="1728"/>
          </w:tcPr>
          <w:p>
            <w:r>
              <w:t>$25,000/day</w:t>
            </w:r>
          </w:p>
        </w:tc>
        <w:tc>
          <w:tcPr>
            <w:tcW w:type="dxa" w:w="1728"/>
          </w:tcPr>
          <w:p>
            <w:r>
              <w:t>Requires certification, inspection, and controls per CSD-1.</w:t>
            </w:r>
          </w:p>
        </w:tc>
      </w:tr>
      <w:tr>
        <w:tc>
          <w:tcPr>
            <w:tcW w:type="dxa" w:w="1728"/>
          </w:tcPr>
          <w:p>
            <w:r>
              <w:t>NBIC</w:t>
            </w:r>
          </w:p>
        </w:tc>
        <w:tc>
          <w:tcPr>
            <w:tcW w:type="dxa" w:w="1728"/>
          </w:tcPr>
          <w:p>
            <w:r>
              <w:t>NBIC Parts 1–3</w:t>
            </w:r>
          </w:p>
        </w:tc>
        <w:tc>
          <w:tcPr>
            <w:tcW w:type="dxa" w:w="1728"/>
          </w:tcPr>
          <w:p>
            <w:r>
              <w:t>Inspection and repair of vessels</w:t>
            </w:r>
          </w:p>
        </w:tc>
        <w:tc>
          <w:tcPr>
            <w:tcW w:type="dxa" w:w="1728"/>
          </w:tcPr>
          <w:p>
            <w:r>
              <w:t>State fines</w:t>
            </w:r>
          </w:p>
        </w:tc>
        <w:tc>
          <w:tcPr>
            <w:tcW w:type="dxa" w:w="1728"/>
          </w:tcPr>
          <w:p>
            <w:r>
              <w:t>Annual inspection by authorized inspector required.</w:t>
            </w:r>
          </w:p>
        </w:tc>
      </w:tr>
      <w:tr>
        <w:tc>
          <w:tcPr>
            <w:tcW w:type="dxa" w:w="1728"/>
          </w:tcPr>
          <w:p>
            <w:r>
              <w:t>OSHA</w:t>
            </w:r>
          </w:p>
        </w:tc>
        <w:tc>
          <w:tcPr>
            <w:tcW w:type="dxa" w:w="1728"/>
          </w:tcPr>
          <w:p>
            <w:r>
              <w:t>29 CFR 1910 Subparts L, Q, Z, 147</w:t>
            </w:r>
          </w:p>
        </w:tc>
        <w:tc>
          <w:tcPr>
            <w:tcW w:type="dxa" w:w="1728"/>
          </w:tcPr>
          <w:p>
            <w:r>
              <w:t>Safety, LOTO, confined space</w:t>
            </w:r>
          </w:p>
        </w:tc>
        <w:tc>
          <w:tcPr>
            <w:tcW w:type="dxa" w:w="1728"/>
          </w:tcPr>
          <w:p>
            <w:r>
              <w:t>$15,625–$156,259</w:t>
            </w:r>
          </w:p>
        </w:tc>
        <w:tc>
          <w:tcPr>
            <w:tcW w:type="dxa" w:w="1728"/>
          </w:tcPr>
          <w:p>
            <w:r>
              <w:t>PPE, energy isolation, confined space permits required.</w:t>
            </w:r>
          </w:p>
        </w:tc>
      </w:tr>
      <w:tr>
        <w:tc>
          <w:tcPr>
            <w:tcW w:type="dxa" w:w="1728"/>
          </w:tcPr>
          <w:p>
            <w:r>
              <w:t>EPA</w:t>
            </w:r>
          </w:p>
        </w:tc>
        <w:tc>
          <w:tcPr>
            <w:tcW w:type="dxa" w:w="1728"/>
          </w:tcPr>
          <w:p>
            <w:r>
              <w:t>40 CFR Parts 60, 82, 403, 63</w:t>
            </w:r>
          </w:p>
        </w:tc>
        <w:tc>
          <w:tcPr>
            <w:tcW w:type="dxa" w:w="1728"/>
          </w:tcPr>
          <w:p>
            <w:r>
              <w:t>Air, refrigerant, effluent, emissions</w:t>
            </w:r>
          </w:p>
        </w:tc>
        <w:tc>
          <w:tcPr>
            <w:tcW w:type="dxa" w:w="1728"/>
          </w:tcPr>
          <w:p>
            <w:r>
              <w:t>$50,000/day</w:t>
            </w:r>
          </w:p>
        </w:tc>
        <w:tc>
          <w:tcPr>
            <w:tcW w:type="dxa" w:w="1728"/>
          </w:tcPr>
          <w:p>
            <w:r>
              <w:t>Boiler tuning; refrigerant recovery; leak repair compliance.</w:t>
            </w:r>
          </w:p>
        </w:tc>
      </w:tr>
      <w:tr>
        <w:tc>
          <w:tcPr>
            <w:tcW w:type="dxa" w:w="1728"/>
          </w:tcPr>
          <w:p>
            <w:r>
              <w:t>DOE</w:t>
            </w:r>
          </w:p>
        </w:tc>
        <w:tc>
          <w:tcPr>
            <w:tcW w:type="dxa" w:w="1728"/>
          </w:tcPr>
          <w:p>
            <w:r>
              <w:t>10 CFR 431 &amp; 433</w:t>
            </w:r>
          </w:p>
        </w:tc>
        <w:tc>
          <w:tcPr>
            <w:tcW w:type="dxa" w:w="1728"/>
          </w:tcPr>
          <w:p>
            <w:r>
              <w:t>Energy efficiency</w:t>
            </w:r>
          </w:p>
        </w:tc>
        <w:tc>
          <w:tcPr>
            <w:tcW w:type="dxa" w:w="1728"/>
          </w:tcPr>
          <w:p>
            <w:r>
              <w:t>Per-unit penalties</w:t>
            </w:r>
          </w:p>
        </w:tc>
        <w:tc>
          <w:tcPr>
            <w:tcW w:type="dxa" w:w="1728"/>
          </w:tcPr>
          <w:p>
            <w:r>
              <w:t>Boilers ≥80% efficiency; benchmarking compliance.</w:t>
            </w:r>
          </w:p>
        </w:tc>
      </w:tr>
      <w:tr>
        <w:tc>
          <w:tcPr>
            <w:tcW w:type="dxa" w:w="1728"/>
          </w:tcPr>
          <w:p>
            <w:r>
              <w:t>FDA</w:t>
            </w:r>
          </w:p>
        </w:tc>
        <w:tc>
          <w:tcPr>
            <w:tcW w:type="dxa" w:w="1728"/>
          </w:tcPr>
          <w:p>
            <w:r>
              <w:t>21 CFR 110–117, 210–211</w:t>
            </w:r>
          </w:p>
        </w:tc>
        <w:tc>
          <w:tcPr>
            <w:tcW w:type="dxa" w:w="1728"/>
          </w:tcPr>
          <w:p>
            <w:r>
              <w:t>Process steam &amp; water purity</w:t>
            </w:r>
          </w:p>
        </w:tc>
        <w:tc>
          <w:tcPr>
            <w:tcW w:type="dxa" w:w="1728"/>
          </w:tcPr>
          <w:p>
            <w:r>
              <w:t>Product recall, consent decrees</w:t>
            </w:r>
          </w:p>
        </w:tc>
        <w:tc>
          <w:tcPr>
            <w:tcW w:type="dxa" w:w="1728"/>
          </w:tcPr>
          <w:p>
            <w:r>
              <w:t>Clean steam, condensate return, purity verification.</w:t>
            </w:r>
          </w:p>
        </w:tc>
      </w:tr>
      <w:tr>
        <w:tc>
          <w:tcPr>
            <w:tcW w:type="dxa" w:w="1728"/>
          </w:tcPr>
          <w:p>
            <w:r>
              <w:t>EHS</w:t>
            </w:r>
          </w:p>
        </w:tc>
        <w:tc>
          <w:tcPr>
            <w:tcW w:type="dxa" w:w="1728"/>
          </w:tcPr>
          <w:p>
            <w:r>
              <w:t>Varies by jurisdiction</w:t>
            </w:r>
          </w:p>
        </w:tc>
        <w:tc>
          <w:tcPr>
            <w:tcW w:type="dxa" w:w="1728"/>
          </w:tcPr>
          <w:p>
            <w:r>
              <w:t>Worker health, chemical storage</w:t>
            </w:r>
          </w:p>
        </w:tc>
        <w:tc>
          <w:tcPr>
            <w:tcW w:type="dxa" w:w="1728"/>
          </w:tcPr>
          <w:p>
            <w:r>
              <w:t>$5,000–$25,000</w:t>
            </w:r>
          </w:p>
        </w:tc>
        <w:tc>
          <w:tcPr>
            <w:tcW w:type="dxa" w:w="1728"/>
          </w:tcPr>
          <w:p>
            <w:r>
              <w:t>SDS access, signage, eyewash, segregation required.</w:t>
            </w:r>
          </w:p>
        </w:tc>
      </w:tr>
      <w:tr>
        <w:tc>
          <w:tcPr>
            <w:tcW w:type="dxa" w:w="1728"/>
          </w:tcPr>
          <w:p>
            <w:r>
              <w:t>USDOL</w:t>
            </w:r>
          </w:p>
        </w:tc>
        <w:tc>
          <w:tcPr>
            <w:tcW w:type="dxa" w:w="1728"/>
          </w:tcPr>
          <w:p>
            <w:r>
              <w:t>29 USC 651–678</w:t>
            </w:r>
          </w:p>
        </w:tc>
        <w:tc>
          <w:tcPr>
            <w:tcW w:type="dxa" w:w="1728"/>
          </w:tcPr>
          <w:p>
            <w:r>
              <w:t>Training, records, operators</w:t>
            </w:r>
          </w:p>
        </w:tc>
        <w:tc>
          <w:tcPr>
            <w:tcW w:type="dxa" w:w="1728"/>
          </w:tcPr>
          <w:p>
            <w:r>
              <w:t>$15,000 per worker</w:t>
            </w:r>
          </w:p>
        </w:tc>
        <w:tc>
          <w:tcPr>
            <w:tcW w:type="dxa" w:w="1728"/>
          </w:tcPr>
          <w:p>
            <w:r>
              <w:t>Certified operators; LOTO &amp; safety documentation.</w:t>
            </w:r>
          </w:p>
        </w:tc>
      </w:tr>
      <w:tr>
        <w:tc>
          <w:tcPr>
            <w:tcW w:type="dxa" w:w="1728"/>
          </w:tcPr>
          <w:p>
            <w:r>
              <w:t>ENERGY STAR / EPACT</w:t>
            </w:r>
          </w:p>
        </w:tc>
        <w:tc>
          <w:tcPr>
            <w:tcW w:type="dxa" w:w="1728"/>
          </w:tcPr>
          <w:p>
            <w:r>
              <w:t>EPACT 2005 / Energy Star</w:t>
            </w:r>
          </w:p>
        </w:tc>
        <w:tc>
          <w:tcPr>
            <w:tcW w:type="dxa" w:w="1728"/>
          </w:tcPr>
          <w:p>
            <w:r>
              <w:t>Efficiency &amp; benchmarking</w:t>
            </w:r>
          </w:p>
        </w:tc>
        <w:tc>
          <w:tcPr>
            <w:tcW w:type="dxa" w:w="1728"/>
          </w:tcPr>
          <w:p>
            <w:r>
              <w:t>Program denial</w:t>
            </w:r>
          </w:p>
        </w:tc>
        <w:tc>
          <w:tcPr>
            <w:tcW w:type="dxa" w:w="1728"/>
          </w:tcPr>
          <w:p>
            <w:r>
              <w:t>Encourages &gt;85% boiler efficiency.</w:t>
            </w:r>
          </w:p>
        </w:tc>
      </w:tr>
      <w:tr>
        <w:tc>
          <w:tcPr>
            <w:tcW w:type="dxa" w:w="1728"/>
          </w:tcPr>
          <w:p>
            <w:r>
              <w:t>ASHRAE / ANSI</w:t>
            </w:r>
          </w:p>
        </w:tc>
        <w:tc>
          <w:tcPr>
            <w:tcW w:type="dxa" w:w="1728"/>
          </w:tcPr>
          <w:p>
            <w:r>
              <w:t>15, 34, 62.1, 90.1</w:t>
            </w:r>
          </w:p>
        </w:tc>
        <w:tc>
          <w:tcPr>
            <w:tcW w:type="dxa" w:w="1728"/>
          </w:tcPr>
          <w:p>
            <w:r>
              <w:t>Refrigeration, IAQ, energy</w:t>
            </w:r>
          </w:p>
        </w:tc>
        <w:tc>
          <w:tcPr>
            <w:tcW w:type="dxa" w:w="1728"/>
          </w:tcPr>
          <w:p>
            <w:r>
              <w:t>Local enforcement</w:t>
            </w:r>
          </w:p>
        </w:tc>
        <w:tc>
          <w:tcPr>
            <w:tcW w:type="dxa" w:w="1728"/>
          </w:tcPr>
          <w:p>
            <w:r>
              <w:t>Defines refrigerant class &amp; IAQ standards.</w:t>
            </w:r>
          </w:p>
        </w:tc>
      </w:tr>
      <w:tr>
        <w:tc>
          <w:tcPr>
            <w:tcW w:type="dxa" w:w="1728"/>
          </w:tcPr>
          <w:p>
            <w:r>
              <w:t>CSD-1</w:t>
            </w:r>
          </w:p>
        </w:tc>
        <w:tc>
          <w:tcPr>
            <w:tcW w:type="dxa" w:w="1728"/>
          </w:tcPr>
          <w:p>
            <w:r>
              <w:t>ASME CSD-1</w:t>
            </w:r>
          </w:p>
        </w:tc>
        <w:tc>
          <w:tcPr>
            <w:tcW w:type="dxa" w:w="1728"/>
          </w:tcPr>
          <w:p>
            <w:r>
              <w:t>Boiler controls &amp; devices</w:t>
            </w:r>
          </w:p>
        </w:tc>
        <w:tc>
          <w:tcPr>
            <w:tcW w:type="dxa" w:w="1728"/>
          </w:tcPr>
          <w:p>
            <w:r>
              <w:t>Shutdown &amp; fines</w:t>
            </w:r>
          </w:p>
        </w:tc>
        <w:tc>
          <w:tcPr>
            <w:tcW w:type="dxa" w:w="1728"/>
          </w:tcPr>
          <w:p>
            <w:r>
              <w:t>Annual testing of LWCO, flame safeguard, pressure controls.</w:t>
            </w:r>
          </w:p>
        </w:tc>
      </w:tr>
    </w:tbl>
    <w:p>
      <w:r>
        <w:br w:type="page"/>
      </w:r>
    </w:p>
    <w:p>
      <w:pPr>
        <w:pStyle w:val="Heading2"/>
      </w:pPr>
      <w:r>
        <w:t>2. State and Local Enforcement Examples (NJ / Regional Model)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Regulatory Body</w:t>
            </w:r>
          </w:p>
        </w:tc>
        <w:tc>
          <w:tcPr>
            <w:tcW w:type="dxa" w:w="1728"/>
          </w:tcPr>
          <w:p>
            <w:r>
              <w:t>Code / Statute</w:t>
            </w:r>
          </w:p>
        </w:tc>
        <w:tc>
          <w:tcPr>
            <w:tcW w:type="dxa" w:w="1728"/>
          </w:tcPr>
          <w:p>
            <w:r>
              <w:t>Applies To</w:t>
            </w:r>
          </w:p>
        </w:tc>
        <w:tc>
          <w:tcPr>
            <w:tcW w:type="dxa" w:w="1728"/>
          </w:tcPr>
          <w:p>
            <w:r>
              <w:t>Common Violations</w:t>
            </w:r>
          </w:p>
        </w:tc>
        <w:tc>
          <w:tcPr>
            <w:tcW w:type="dxa" w:w="1728"/>
          </w:tcPr>
          <w:p>
            <w:r>
              <w:t>Penalties / Fines</w:t>
            </w:r>
          </w:p>
        </w:tc>
      </w:tr>
      <w:tr>
        <w:tc>
          <w:tcPr>
            <w:tcW w:type="dxa" w:w="1728"/>
          </w:tcPr>
          <w:p>
            <w:r>
              <w:t>NJ Department of Labor</w:t>
            </w:r>
          </w:p>
        </w:tc>
        <w:tc>
          <w:tcPr>
            <w:tcW w:type="dxa" w:w="1728"/>
          </w:tcPr>
          <w:p>
            <w:r>
              <w:t>N.J.A.C. 12:90 / N.J.S.A. 34:7-14</w:t>
            </w:r>
          </w:p>
        </w:tc>
        <w:tc>
          <w:tcPr>
            <w:tcW w:type="dxa" w:w="1728"/>
          </w:tcPr>
          <w:p>
            <w:r>
              <w:t>Boilers &gt;10 PSI / 10 HP</w:t>
            </w:r>
          </w:p>
        </w:tc>
        <w:tc>
          <w:tcPr>
            <w:tcW w:type="dxa" w:w="1728"/>
          </w:tcPr>
          <w:p>
            <w:r>
              <w:t>Expired inspection, unlicensed operator</w:t>
            </w:r>
          </w:p>
        </w:tc>
        <w:tc>
          <w:tcPr>
            <w:tcW w:type="dxa" w:w="1728"/>
          </w:tcPr>
          <w:p>
            <w:r>
              <w:t>$500–$2,000/day; red-tag shutdown</w:t>
            </w:r>
          </w:p>
        </w:tc>
      </w:tr>
      <w:tr>
        <w:tc>
          <w:tcPr>
            <w:tcW w:type="dxa" w:w="1728"/>
          </w:tcPr>
          <w:p>
            <w:r>
              <w:t>NJDEP – Air Quality</w:t>
            </w:r>
          </w:p>
        </w:tc>
        <w:tc>
          <w:tcPr>
            <w:tcW w:type="dxa" w:w="1728"/>
          </w:tcPr>
          <w:p>
            <w:r>
              <w:t>N.J.A.C. 7:27-19.16</w:t>
            </w:r>
          </w:p>
        </w:tc>
        <w:tc>
          <w:tcPr>
            <w:tcW w:type="dxa" w:w="1728"/>
          </w:tcPr>
          <w:p>
            <w:r>
              <w:t>Boiler emissions</w:t>
            </w:r>
          </w:p>
        </w:tc>
        <w:tc>
          <w:tcPr>
            <w:tcW w:type="dxa" w:w="1728"/>
          </w:tcPr>
          <w:p>
            <w:r>
              <w:t>Missed annual tune-up</w:t>
            </w:r>
          </w:p>
        </w:tc>
        <w:tc>
          <w:tcPr>
            <w:tcW w:type="dxa" w:w="1728"/>
          </w:tcPr>
          <w:p>
            <w:r>
              <w:t>$10,000–$25,000/day</w:t>
            </w:r>
          </w:p>
        </w:tc>
      </w:tr>
      <w:tr>
        <w:tc>
          <w:tcPr>
            <w:tcW w:type="dxa" w:w="1728"/>
          </w:tcPr>
          <w:p>
            <w:r>
              <w:t>Municipal Fire Dept</w:t>
            </w:r>
          </w:p>
        </w:tc>
        <w:tc>
          <w:tcPr>
            <w:tcW w:type="dxa" w:w="1728"/>
          </w:tcPr>
          <w:p>
            <w:r>
              <w:t>NFPA 31/54/85</w:t>
            </w:r>
          </w:p>
        </w:tc>
        <w:tc>
          <w:tcPr>
            <w:tcW w:type="dxa" w:w="1728"/>
          </w:tcPr>
          <w:p>
            <w:r>
              <w:t>Boilers &amp; fuel systems</w:t>
            </w:r>
          </w:p>
        </w:tc>
        <w:tc>
          <w:tcPr>
            <w:tcW w:type="dxa" w:w="1728"/>
          </w:tcPr>
          <w:p>
            <w:r>
              <w:t>Leaking valves, missing reliefs</w:t>
            </w:r>
          </w:p>
        </w:tc>
        <w:tc>
          <w:tcPr>
            <w:tcW w:type="dxa" w:w="1728"/>
          </w:tcPr>
          <w:p>
            <w:r>
              <w:t>$5,000 + stop-work order</w:t>
            </w:r>
          </w:p>
        </w:tc>
      </w:tr>
      <w:tr>
        <w:tc>
          <w:tcPr>
            <w:tcW w:type="dxa" w:w="1728"/>
          </w:tcPr>
          <w:p>
            <w:r>
              <w:t>Public Health / Building</w:t>
            </w:r>
          </w:p>
        </w:tc>
        <w:tc>
          <w:tcPr>
            <w:tcW w:type="dxa" w:w="1728"/>
          </w:tcPr>
          <w:p>
            <w:r>
              <w:t>Local Codes</w:t>
            </w:r>
          </w:p>
        </w:tc>
        <w:tc>
          <w:tcPr>
            <w:tcW w:type="dxa" w:w="1728"/>
          </w:tcPr>
          <w:p>
            <w:r>
              <w:t>Cooling towers / water systems</w:t>
            </w:r>
          </w:p>
        </w:tc>
        <w:tc>
          <w:tcPr>
            <w:tcW w:type="dxa" w:w="1728"/>
          </w:tcPr>
          <w:p>
            <w:r>
              <w:t>Legionella testing failure</w:t>
            </w:r>
          </w:p>
        </w:tc>
        <w:tc>
          <w:tcPr>
            <w:tcW w:type="dxa" w:w="1728"/>
          </w:tcPr>
          <w:p>
            <w:r>
              <w:t>$2,000 per occurrence</w:t>
            </w:r>
          </w:p>
        </w:tc>
      </w:tr>
      <w:tr>
        <w:tc>
          <w:tcPr>
            <w:tcW w:type="dxa" w:w="1728"/>
          </w:tcPr>
          <w:p>
            <w:r>
              <w:t>County EHS</w:t>
            </w:r>
          </w:p>
        </w:tc>
        <w:tc>
          <w:tcPr>
            <w:tcW w:type="dxa" w:w="1728"/>
          </w:tcPr>
          <w:p>
            <w:r>
              <w:t>Clean Water Act</w:t>
            </w:r>
          </w:p>
        </w:tc>
        <w:tc>
          <w:tcPr>
            <w:tcW w:type="dxa" w:w="1728"/>
          </w:tcPr>
          <w:p>
            <w:r>
              <w:t>Blowdown &amp; condensate</w:t>
            </w:r>
          </w:p>
        </w:tc>
        <w:tc>
          <w:tcPr>
            <w:tcW w:type="dxa" w:w="1728"/>
          </w:tcPr>
          <w:p>
            <w:r>
              <w:t>Unneutralized discharge</w:t>
            </w:r>
          </w:p>
        </w:tc>
        <w:tc>
          <w:tcPr>
            <w:tcW w:type="dxa" w:w="1728"/>
          </w:tcPr>
          <w:p>
            <w:r>
              <w:t>$25,000/day; system shutdown</w:t>
            </w:r>
          </w:p>
        </w:tc>
      </w:tr>
    </w:tbl>
    <w:p>
      <w:r>
        <w:br w:type="page"/>
      </w:r>
    </w:p>
    <w:p>
      <w:pPr>
        <w:pStyle w:val="Heading2"/>
      </w:pPr>
      <w:r>
        <w:t>3. Compliance Standards by System Type</w:t>
      </w:r>
    </w:p>
    <w:p>
      <w:pPr>
        <w:pStyle w:val="Heading3"/>
      </w:pPr>
      <w:r>
        <w:t>A. Boiler Systems</w:t>
      </w:r>
    </w:p>
    <w:p>
      <w:r>
        <w:t>Primary Standards: ASME I, IV, VI, VII, CSD-1; NBIC 1–3; OSHA 1910.147; EPA 40 CFR 60; NFPA 85</w:t>
        <w:br/>
        <w:t>Key Actions:</w:t>
        <w:br/>
        <w:t>- Annual inspection, safety testing, and combustion tuning</w:t>
        <w:br/>
        <w:t>- Maintain logs for pressure, temperature, and efficiency</w:t>
        <w:br/>
        <w:t>- Flame safeguard, LWCO, and relief valve checks annually</w:t>
        <w:br/>
        <w:t>Penalties: $2,000–$10,000/day for uninspected boilers; $25,000/day for emissions exceedance.</w:t>
      </w:r>
    </w:p>
    <w:p>
      <w:pPr>
        <w:pStyle w:val="Heading3"/>
      </w:pPr>
      <w:r>
        <w:t>B. Chiller Systems</w:t>
      </w:r>
    </w:p>
    <w:p>
      <w:r>
        <w:t>Primary Standards: ASHRAE 15, 34; EPA 608; OSHA 1910.134; UL 1995; NFPA 70</w:t>
        <w:br/>
        <w:t>Key Actions:</w:t>
        <w:br/>
        <w:t>- Maintain refrigerant logs and leak checks quarterly</w:t>
        <w:br/>
        <w:t>- Verify ventilation ≥0.5 CFM/sq ft; test pressure cutouts</w:t>
        <w:br/>
        <w:t>Penalties: $37,500–$50,000 per refrigerant release; $10,000/day for leak repair delays.</w:t>
      </w:r>
    </w:p>
    <w:p>
      <w:pPr>
        <w:pStyle w:val="Heading3"/>
      </w:pPr>
      <w:r>
        <w:t>C. Vital Facilities Equipment</w:t>
      </w:r>
    </w:p>
    <w:p>
      <w:r>
        <w:t>Includes Compressors, Cooling Towers, Water Treatment, Pumps, Generators.</w:t>
        <w:br/>
        <w:t>Standards: OSHA 1910.219, EPA 40 CFR 403, NFPA 37, ANSI Z223.1, ISO 50001</w:t>
        <w:br/>
        <w:t>Key Actions:</w:t>
        <w:br/>
        <w:t>- Maintain lubrication, pressure, and vibration logs</w:t>
        <w:br/>
        <w:t>- Implement LOTO &amp; Arc-Flash boundaries</w:t>
        <w:br/>
        <w:t>- Maintain SDS and emergency plans</w:t>
        <w:br/>
        <w:t>Penalties: $25,000/day for EPA discharge; $15,625 per OSHA violation; $5,000 for missing SDS.</w:t>
      </w:r>
    </w:p>
    <w:p>
      <w:pPr>
        <w:pStyle w:val="Heading3"/>
      </w:pPr>
      <w:r>
        <w:t>Environmental, Energy &amp; Efficiency Considerations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Regulating Body / Standard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Impact of Non-Compliance</w:t>
            </w:r>
          </w:p>
        </w:tc>
      </w:tr>
      <w:tr>
        <w:tc>
          <w:tcPr>
            <w:tcW w:type="dxa" w:w="2160"/>
          </w:tcPr>
          <w:p>
            <w:r>
              <w:t>Energy Benchmarking</w:t>
            </w:r>
          </w:p>
        </w:tc>
        <w:tc>
          <w:tcPr>
            <w:tcW w:type="dxa" w:w="2160"/>
          </w:tcPr>
          <w:p>
            <w:r>
              <w:t>DOE / EPA Energy Star</w:t>
            </w:r>
          </w:p>
        </w:tc>
        <w:tc>
          <w:tcPr>
            <w:tcW w:type="dxa" w:w="2160"/>
          </w:tcPr>
          <w:p>
            <w:r>
              <w:t>Annual EUI reporting</w:t>
            </w:r>
          </w:p>
        </w:tc>
        <w:tc>
          <w:tcPr>
            <w:tcW w:type="dxa" w:w="2160"/>
          </w:tcPr>
          <w:p>
            <w:r>
              <w:t>Loss of incentives, certification removal</w:t>
            </w:r>
          </w:p>
        </w:tc>
      </w:tr>
      <w:tr>
        <w:tc>
          <w:tcPr>
            <w:tcW w:type="dxa" w:w="2160"/>
          </w:tcPr>
          <w:p>
            <w:r>
              <w:t>GHG Reporting</w:t>
            </w:r>
          </w:p>
        </w:tc>
        <w:tc>
          <w:tcPr>
            <w:tcW w:type="dxa" w:w="2160"/>
          </w:tcPr>
          <w:p>
            <w:r>
              <w:t>EPA 40 CFR 98</w:t>
            </w:r>
          </w:p>
        </w:tc>
        <w:tc>
          <w:tcPr>
            <w:tcW w:type="dxa" w:w="2160"/>
          </w:tcPr>
          <w:p>
            <w:r>
              <w:t>CO₂e inventory</w:t>
            </w:r>
          </w:p>
        </w:tc>
        <w:tc>
          <w:tcPr>
            <w:tcW w:type="dxa" w:w="2160"/>
          </w:tcPr>
          <w:p>
            <w:r>
              <w:t>$25,000/day fine</w:t>
            </w:r>
          </w:p>
        </w:tc>
      </w:tr>
      <w:tr>
        <w:tc>
          <w:tcPr>
            <w:tcW w:type="dxa" w:w="2160"/>
          </w:tcPr>
          <w:p>
            <w:r>
              <w:t>Water Discharge</w:t>
            </w:r>
          </w:p>
        </w:tc>
        <w:tc>
          <w:tcPr>
            <w:tcW w:type="dxa" w:w="2160"/>
          </w:tcPr>
          <w:p>
            <w:r>
              <w:t>EPA / Local POTW</w:t>
            </w:r>
          </w:p>
        </w:tc>
        <w:tc>
          <w:tcPr>
            <w:tcW w:type="dxa" w:w="2160"/>
          </w:tcPr>
          <w:p>
            <w:r>
              <w:t>pH 6.0–9.0, oil &lt;100 mg/L</w:t>
            </w:r>
          </w:p>
        </w:tc>
        <w:tc>
          <w:tcPr>
            <w:tcW w:type="dxa" w:w="2160"/>
          </w:tcPr>
          <w:p>
            <w:r>
              <w:t>Violation notice or shutdown</w:t>
            </w:r>
          </w:p>
        </w:tc>
      </w:tr>
      <w:tr>
        <w:tc>
          <w:tcPr>
            <w:tcW w:type="dxa" w:w="2160"/>
          </w:tcPr>
          <w:p>
            <w:r>
              <w:t>Hazardous Waste</w:t>
            </w:r>
          </w:p>
        </w:tc>
        <w:tc>
          <w:tcPr>
            <w:tcW w:type="dxa" w:w="2160"/>
          </w:tcPr>
          <w:p>
            <w:r>
              <w:t>EPA 40 CFR 273</w:t>
            </w:r>
          </w:p>
        </w:tc>
        <w:tc>
          <w:tcPr>
            <w:tcW w:type="dxa" w:w="2160"/>
          </w:tcPr>
          <w:p>
            <w:r>
              <w:t>Proper disposal of lamps/batteries</w:t>
            </w:r>
          </w:p>
        </w:tc>
        <w:tc>
          <w:tcPr>
            <w:tcW w:type="dxa" w:w="2160"/>
          </w:tcPr>
          <w:p>
            <w:r>
              <w:t>$10,000–$25,000 per incident</w:t>
            </w:r>
          </w:p>
        </w:tc>
      </w:tr>
      <w:tr>
        <w:tc>
          <w:tcPr>
            <w:tcW w:type="dxa" w:w="2160"/>
          </w:tcPr>
          <w:p>
            <w:r>
              <w:t>Workforce Training</w:t>
            </w:r>
          </w:p>
        </w:tc>
        <w:tc>
          <w:tcPr>
            <w:tcW w:type="dxa" w:w="2160"/>
          </w:tcPr>
          <w:p>
            <w:r>
              <w:t>OSHA / USDOL</w:t>
            </w:r>
          </w:p>
        </w:tc>
        <w:tc>
          <w:tcPr>
            <w:tcW w:type="dxa" w:w="2160"/>
          </w:tcPr>
          <w:p>
            <w:r>
              <w:t>LOTO &amp; operator training</w:t>
            </w:r>
          </w:p>
        </w:tc>
        <w:tc>
          <w:tcPr>
            <w:tcW w:type="dxa" w:w="2160"/>
          </w:tcPr>
          <w:p>
            <w:r>
              <w:t>$5,000–$15,000 per untrained worker</w:t>
            </w:r>
          </w:p>
        </w:tc>
      </w:tr>
    </w:tbl>
    <w:p>
      <w:r>
        <w:t>Summary Guidance:</w:t>
        <w:br/>
        <w:t>✅ Maintain annual inspection &amp; documentation logs</w:t>
        <w:br/>
        <w:t>✅ Tune combustion &amp; verify refrigerant recovery annually</w:t>
        <w:br/>
        <w:t>✅ Maintain SDS &amp; chemical labels per EHS</w:t>
        <w:br/>
        <w:t>✅ Test all emergency safety interlocks quarterly</w:t>
        <w:br/>
        <w:t>✅ Integrate dashboards for efficiency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