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NEXUM SUUM INC. — AIR HANDLING UNIT (AHU) &amp; VENTILATION SYSTEMS SOP</w:t>
      </w:r>
    </w:p>
    <w:p>
      <w:r>
        <w:t>Operational Excellence Through Efficiency and Compliance</w:t>
        <w:br/>
        <w:t>(A4 Digital Format – Standard Nexum Suum Theme)</w:t>
      </w:r>
    </w:p>
    <w:p>
      <w:pPr>
        <w:pStyle w:val="Heading1"/>
      </w:pPr>
      <w:r>
        <w:t>Purpose &amp; Scope</w:t>
      </w:r>
    </w:p>
    <w:p>
      <w:r>
        <w:t>This SOP provides comprehensive guidance for operating, maintaining, and optimizing Air Handling Units (AHUs), make-up air systems, and ventilation systems. It covers both constant volume (CV) and variable air volume (VAV) designs, ensuring optimal indoor air quality (IAQ), energy efficiency, and regulatory compliance under OSHA, ASHRAE, and EPA standards.</w:t>
      </w:r>
    </w:p>
    <w:p>
      <w:pPr>
        <w:pStyle w:val="Heading1"/>
      </w:pPr>
      <w:r>
        <w:t>System Blueprint (Textual Flow Diagram)</w:t>
      </w:r>
    </w:p>
    <w:p>
      <w:r>
        <w:t>[Outside Air Intake] → [Filters] → [Preheat Coil] → [Cooling Coil] → [Humidifier (if present)] → [Supply Fan] → [Duct Distribution] → [Terminal Units/VAV Boxes] → [Return/Exhaust]</w:t>
        <w:br/>
        <w:t>The AHU draws in outside and return air, conditions it through heating/cooling coils, and supplies it via ductwork. The return air path controls building pressure and ventilation rate.</w:t>
      </w:r>
    </w:p>
    <w:p>
      <w:pPr>
        <w:pStyle w:val="Heading1"/>
      </w:pPr>
      <w:r>
        <w:t>Step-by-Step Procedure</w:t>
      </w:r>
    </w:p>
    <w:p>
      <w:pPr>
        <w:pStyle w:val="Heading2"/>
      </w:pPr>
      <w:r>
        <w:t>Pre-Start Inspection</w:t>
      </w:r>
    </w:p>
    <w:p>
      <w:r>
        <w:t>- Ensure unit access panels are secure and no foreign objects are inside the fan section.</w:t>
      </w:r>
    </w:p>
    <w:p>
      <w:r>
        <w:t>- Check filters (MERV rating per ASHRAE 62.1) and replace if pressure drop exceeds 1.5 in. w.g.</w:t>
      </w:r>
    </w:p>
    <w:p>
      <w:r>
        <w:t>- Inspect belts, pulleys, and bearings for wear and proper tension.</w:t>
      </w:r>
    </w:p>
    <w:p>
      <w:r>
        <w:t>- Verify damper linkages and actuators move freely.</w:t>
      </w:r>
    </w:p>
    <w:p>
      <w:r>
        <w:t>- Check coil fins for cleanliness and ensure no visible damage.</w:t>
      </w:r>
    </w:p>
    <w:p>
      <w:r>
        <w:t>- Inspect electrical connections for tightness and insulation integrity.</w:t>
      </w:r>
    </w:p>
    <w:p>
      <w:pPr>
        <w:pStyle w:val="Heading2"/>
      </w:pPr>
      <w:r>
        <w:t>Startup Procedure</w:t>
      </w:r>
    </w:p>
    <w:p>
      <w:r>
        <w:t>- Open outside and return air dampers to design position.</w:t>
      </w:r>
    </w:p>
    <w:p>
      <w:r>
        <w:t>- Start supply fan and observe rotation direction and sound.</w:t>
      </w:r>
    </w:p>
    <w:p>
      <w:r>
        <w:t>- Gradually open VFD to reach design airflow (CFM).</w:t>
      </w:r>
    </w:p>
    <w:p>
      <w:r>
        <w:t>- Verify coil valves modulate properly and leaving air temperature stabilizes.</w:t>
      </w:r>
    </w:p>
    <w:p>
      <w:r>
        <w:t>- Check static pressure at design point (e.g., 1.5 in. w.g. at filter section).</w:t>
      </w:r>
    </w:p>
    <w:p>
      <w:r>
        <w:t>- Confirm operation of safety interlocks — freeze stat, smoke detector, and airflow switch.</w:t>
      </w:r>
    </w:p>
    <w:p>
      <w:pPr>
        <w:pStyle w:val="Heading2"/>
      </w:pPr>
      <w:r>
        <w:t>Normal Operation</w:t>
      </w:r>
    </w:p>
    <w:p>
      <w:r>
        <w:t>- Record supply/return air temperature, humidity, and static pressure hourly during initial commissioning.</w:t>
      </w:r>
    </w:p>
    <w:p>
      <w:r>
        <w:t>- Maintain minimum 20% outside air unless otherwise specified for occupancy class.</w:t>
      </w:r>
    </w:p>
    <w:p>
      <w:r>
        <w:t>- Monitor CO₂ levels (target ≤ 1000 ppm) to ensure ventilation adequacy.</w:t>
      </w:r>
    </w:p>
    <w:p>
      <w:r>
        <w:t>- Inspect condensate drain pans weekly for algae and proper drainage.</w:t>
      </w:r>
    </w:p>
    <w:p>
      <w:r>
        <w:t>- Lubricate fan bearings every 2,000 operating hours.</w:t>
      </w:r>
    </w:p>
    <w:p>
      <w:r>
        <w:t>- Verify all dampers return to fail-safe position upon power loss.</w:t>
      </w:r>
    </w:p>
    <w:p>
      <w:pPr>
        <w:pStyle w:val="Heading2"/>
      </w:pPr>
      <w:r>
        <w:t>Shutdown Procedure</w:t>
      </w:r>
    </w:p>
    <w:p>
      <w:r>
        <w:t>- Reduce fan speed to minimum before stopping motor.</w:t>
      </w:r>
    </w:p>
    <w:p>
      <w:r>
        <w:t>- Close outside air dampers to prevent backflow.</w:t>
      </w:r>
    </w:p>
    <w:p>
      <w:r>
        <w:t>- Open inspection panels and check for condensation or mold.</w:t>
      </w:r>
    </w:p>
    <w:p>
      <w:r>
        <w:t>- Clean filters, coils, and drain pans during shutdown.</w:t>
      </w:r>
    </w:p>
    <w:p>
      <w:r>
        <w:t>- Log all operational data in CTS Logbook or Sheets database.</w:t>
      </w:r>
    </w:p>
    <w:p>
      <w:r>
        <w:t>- Apply lockout/tagout when performing coil or fan maintenance per OSHA 1910.147.</w:t>
      </w:r>
    </w:p>
    <w:p>
      <w:pPr>
        <w:pStyle w:val="Heading1"/>
      </w:pPr>
      <w:r>
        <w:t>Equations &amp; Reference Formulas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Example</w:t>
            </w:r>
          </w:p>
        </w:tc>
      </w:tr>
      <w:tr>
        <w:tc>
          <w:tcPr>
            <w:tcW w:type="dxa" w:w="2880"/>
          </w:tcPr>
          <w:p>
            <w:r>
              <w:t>Airflow (CFM)</w:t>
            </w:r>
          </w:p>
        </w:tc>
        <w:tc>
          <w:tcPr>
            <w:tcW w:type="dxa" w:w="2880"/>
          </w:tcPr>
          <w:p>
            <w:r>
              <w:t>(Velocity (ft/min) × Area (ft²))</w:t>
            </w:r>
          </w:p>
        </w:tc>
        <w:tc>
          <w:tcPr>
            <w:tcW w:type="dxa" w:w="2880"/>
          </w:tcPr>
          <w:p>
            <w:r>
              <w:t>1200 × 4 = 4800 CFM</w:t>
            </w:r>
          </w:p>
        </w:tc>
      </w:tr>
      <w:tr>
        <w:tc>
          <w:tcPr>
            <w:tcW w:type="dxa" w:w="2880"/>
          </w:tcPr>
          <w:p>
            <w:r>
              <w:t>Static Pressure (SP)</w:t>
            </w:r>
          </w:p>
        </w:tc>
        <w:tc>
          <w:tcPr>
            <w:tcW w:type="dxa" w:w="2880"/>
          </w:tcPr>
          <w:p>
            <w:r>
              <w:t>Fan Total Pressure – Velocity Pressure</w:t>
            </w:r>
          </w:p>
        </w:tc>
        <w:tc>
          <w:tcPr>
            <w:tcW w:type="dxa" w:w="2880"/>
          </w:tcPr>
          <w:p>
            <w:r>
              <w:t>2.5 – 0.6 = 1.9 in. w.g.</w:t>
            </w:r>
          </w:p>
        </w:tc>
      </w:tr>
      <w:tr>
        <w:tc>
          <w:tcPr>
            <w:tcW w:type="dxa" w:w="2880"/>
          </w:tcPr>
          <w:p>
            <w:r>
              <w:t>Fan Horsepower</w:t>
            </w:r>
          </w:p>
        </w:tc>
        <w:tc>
          <w:tcPr>
            <w:tcW w:type="dxa" w:w="2880"/>
          </w:tcPr>
          <w:p>
            <w:r>
              <w:t>(CFM × SP) ÷ (6356 × Efficiency)</w:t>
            </w:r>
          </w:p>
        </w:tc>
        <w:tc>
          <w:tcPr>
            <w:tcW w:type="dxa" w:w="2880"/>
          </w:tcPr>
          <w:p>
            <w:r>
              <w:t>(4800 × 2.5) ÷ (6356 × 0.8) = 2.36 HP</w:t>
            </w:r>
          </w:p>
        </w:tc>
      </w:tr>
      <w:tr>
        <w:tc>
          <w:tcPr>
            <w:tcW w:type="dxa" w:w="2880"/>
          </w:tcPr>
          <w:p>
            <w:r>
              <w:t>Sensible Heat (BTU/hr)</w:t>
            </w:r>
          </w:p>
        </w:tc>
        <w:tc>
          <w:tcPr>
            <w:tcW w:type="dxa" w:w="2880"/>
          </w:tcPr>
          <w:p>
            <w:r>
              <w:t>1.08 × CFM × ΔT</w:t>
            </w:r>
          </w:p>
        </w:tc>
        <w:tc>
          <w:tcPr>
            <w:tcW w:type="dxa" w:w="2880"/>
          </w:tcPr>
          <w:p>
            <w:r>
              <w:t>1.08 × 4800 × (75–65) = 51,840 BTU/hr</w:t>
            </w:r>
          </w:p>
        </w:tc>
      </w:tr>
      <w:tr>
        <w:tc>
          <w:tcPr>
            <w:tcW w:type="dxa" w:w="2880"/>
          </w:tcPr>
          <w:p>
            <w:r>
              <w:t>Latent Heat (BTU/hr)</w:t>
            </w:r>
          </w:p>
        </w:tc>
        <w:tc>
          <w:tcPr>
            <w:tcW w:type="dxa" w:w="2880"/>
          </w:tcPr>
          <w:p>
            <w:r>
              <w:t>0.68 × CFM × ΔGrains</w:t>
            </w:r>
          </w:p>
        </w:tc>
        <w:tc>
          <w:tcPr>
            <w:tcW w:type="dxa" w:w="2880"/>
          </w:tcPr>
          <w:p>
            <w:r>
              <w:t>0.68 × 4800 × 20 = 65,280 BTU/hr</w:t>
            </w:r>
          </w:p>
        </w:tc>
      </w:tr>
    </w:tbl>
    <w:p>
      <w:pPr>
        <w:pStyle w:val="Heading1"/>
      </w:pPr>
      <w:r>
        <w:t>Common Fault Examples</w:t>
      </w:r>
    </w:p>
    <w:tbl>
      <w:tblPr>
        <w:tblW w:type="auto" w:w="0"/>
        <w:tblLook w:firstColumn="1" w:firstRow="1" w:lastColumn="0" w:lastRow="0" w:noHBand="0" w:noVBand="1" w:val="04A0"/>
      </w:tblPr>
      <w:tblGrid>
        <w:gridCol w:w="2160"/>
        <w:gridCol w:w="2160"/>
        <w:gridCol w:w="2160"/>
        <w:gridCol w:w="2160"/>
      </w:tblGrid>
      <w:tr>
        <w:tc>
          <w:tcPr>
            <w:tcW w:type="dxa" w:w="2160"/>
          </w:tcPr>
          <w:p>
            <w:r>
              <w:t>Fault</w:t>
            </w:r>
          </w:p>
        </w:tc>
        <w:tc>
          <w:tcPr>
            <w:tcW w:type="dxa" w:w="2160"/>
          </w:tcPr>
          <w:p>
            <w:r>
              <w:t>Symptom</w:t>
            </w:r>
          </w:p>
        </w:tc>
        <w:tc>
          <w:tcPr>
            <w:tcW w:type="dxa" w:w="2160"/>
          </w:tcPr>
          <w:p>
            <w:r>
              <w:t>Cause</w:t>
            </w:r>
          </w:p>
        </w:tc>
        <w:tc>
          <w:tcPr>
            <w:tcW w:type="dxa" w:w="2160"/>
          </w:tcPr>
          <w:p>
            <w:r>
              <w:t>Corrective Action</w:t>
            </w:r>
          </w:p>
        </w:tc>
      </w:tr>
      <w:tr>
        <w:tc>
          <w:tcPr>
            <w:tcW w:type="dxa" w:w="2160"/>
          </w:tcPr>
          <w:p>
            <w:r>
              <w:t>Low Airflow</w:t>
            </w:r>
          </w:p>
        </w:tc>
        <w:tc>
          <w:tcPr>
            <w:tcW w:type="dxa" w:w="2160"/>
          </w:tcPr>
          <w:p>
            <w:r>
              <w:t>Poor room air circulation</w:t>
            </w:r>
          </w:p>
        </w:tc>
        <w:tc>
          <w:tcPr>
            <w:tcW w:type="dxa" w:w="2160"/>
          </w:tcPr>
          <w:p>
            <w:r>
              <w:t>Dirty filters or belt slip</w:t>
            </w:r>
          </w:p>
        </w:tc>
        <w:tc>
          <w:tcPr>
            <w:tcW w:type="dxa" w:w="2160"/>
          </w:tcPr>
          <w:p>
            <w:r>
              <w:t>Replace filters and retension belts</w:t>
            </w:r>
          </w:p>
        </w:tc>
      </w:tr>
      <w:tr>
        <w:tc>
          <w:tcPr>
            <w:tcW w:type="dxa" w:w="2160"/>
          </w:tcPr>
          <w:p>
            <w:r>
              <w:t>High Static Pressure</w:t>
            </w:r>
          </w:p>
        </w:tc>
        <w:tc>
          <w:tcPr>
            <w:tcW w:type="dxa" w:w="2160"/>
          </w:tcPr>
          <w:p>
            <w:r>
              <w:t>System noise or inefficiency</w:t>
            </w:r>
          </w:p>
        </w:tc>
        <w:tc>
          <w:tcPr>
            <w:tcW w:type="dxa" w:w="2160"/>
          </w:tcPr>
          <w:p>
            <w:r>
              <w:t>Closed dampers or dirty coils</w:t>
            </w:r>
          </w:p>
        </w:tc>
        <w:tc>
          <w:tcPr>
            <w:tcW w:type="dxa" w:w="2160"/>
          </w:tcPr>
          <w:p>
            <w:r>
              <w:t>Inspect dampers, clean coils</w:t>
            </w:r>
          </w:p>
        </w:tc>
      </w:tr>
      <w:tr>
        <w:tc>
          <w:tcPr>
            <w:tcW w:type="dxa" w:w="2160"/>
          </w:tcPr>
          <w:p>
            <w:r>
              <w:t>Condensate Overflow</w:t>
            </w:r>
          </w:p>
        </w:tc>
        <w:tc>
          <w:tcPr>
            <w:tcW w:type="dxa" w:w="2160"/>
          </w:tcPr>
          <w:p>
            <w:r>
              <w:t>Water leakage</w:t>
            </w:r>
          </w:p>
        </w:tc>
        <w:tc>
          <w:tcPr>
            <w:tcW w:type="dxa" w:w="2160"/>
          </w:tcPr>
          <w:p>
            <w:r>
              <w:t>Clogged drain line</w:t>
            </w:r>
          </w:p>
        </w:tc>
        <w:tc>
          <w:tcPr>
            <w:tcW w:type="dxa" w:w="2160"/>
          </w:tcPr>
          <w:p>
            <w:r>
              <w:t>Flush condensate trap and check slope</w:t>
            </w:r>
          </w:p>
        </w:tc>
      </w:tr>
      <w:tr>
        <w:tc>
          <w:tcPr>
            <w:tcW w:type="dxa" w:w="2160"/>
          </w:tcPr>
          <w:p>
            <w:r>
              <w:t>Temperature Swing</w:t>
            </w:r>
          </w:p>
        </w:tc>
        <w:tc>
          <w:tcPr>
            <w:tcW w:type="dxa" w:w="2160"/>
          </w:tcPr>
          <w:p>
            <w:r>
              <w:t>Unstable room conditions</w:t>
            </w:r>
          </w:p>
        </w:tc>
        <w:tc>
          <w:tcPr>
            <w:tcW w:type="dxa" w:w="2160"/>
          </w:tcPr>
          <w:p>
            <w:r>
              <w:t>Faulty sensor or control valve</w:t>
            </w:r>
          </w:p>
        </w:tc>
        <w:tc>
          <w:tcPr>
            <w:tcW w:type="dxa" w:w="2160"/>
          </w:tcPr>
          <w:p>
            <w:r>
              <w:t>Calibrate sensor, inspect actuator</w:t>
            </w:r>
          </w:p>
        </w:tc>
      </w:tr>
      <w:tr>
        <w:tc>
          <w:tcPr>
            <w:tcW w:type="dxa" w:w="2160"/>
          </w:tcPr>
          <w:p>
            <w:r>
              <w:t>Motor Overload</w:t>
            </w:r>
          </w:p>
        </w:tc>
        <w:tc>
          <w:tcPr>
            <w:tcW w:type="dxa" w:w="2160"/>
          </w:tcPr>
          <w:p>
            <w:r>
              <w:t>Fan tripped</w:t>
            </w:r>
          </w:p>
        </w:tc>
        <w:tc>
          <w:tcPr>
            <w:tcW w:type="dxa" w:w="2160"/>
          </w:tcPr>
          <w:p>
            <w:r>
              <w:t>Bearing friction or over-amping</w:t>
            </w:r>
          </w:p>
        </w:tc>
        <w:tc>
          <w:tcPr>
            <w:tcW w:type="dxa" w:w="2160"/>
          </w:tcPr>
          <w:p>
            <w:r>
              <w:t>Grease bearings, verify motor load</w:t>
            </w:r>
          </w:p>
        </w:tc>
      </w:tr>
    </w:tbl>
    <w:p>
      <w:pPr>
        <w:pStyle w:val="Heading1"/>
      </w:pPr>
      <w:r>
        <w:t>Optimization Guidance</w:t>
      </w:r>
    </w:p>
    <w:p>
      <w:r>
        <w:t>- Install VFDs to modulate fan speed based on duct static pressure sensors.</w:t>
      </w:r>
    </w:p>
    <w:p>
      <w:r>
        <w:t>- Maintain clean coils to improve heat transfer and reduce fan energy by 10%.</w:t>
      </w:r>
    </w:p>
    <w:p>
      <w:r>
        <w:t>- Use pressure-independent VAV boxes for balanced zone airflow.</w:t>
      </w:r>
    </w:p>
    <w:p>
      <w:r>
        <w:t>- Implement CO₂-based demand-controlled ventilation (DCV) to save energy.</w:t>
      </w:r>
    </w:p>
    <w:p>
      <w:r>
        <w:t>- Monitor air filter ΔP via sensors and schedule replacement by trend, not calendar.</w:t>
      </w:r>
    </w:p>
    <w:p>
      <w:r>
        <w:t>- Integrate AWS QuickSight dashboards to track airflow, ΔT, and IAQ trends.</w:t>
      </w:r>
    </w:p>
    <w:p>
      <w:r>
        <w:t>- Seal duct joints with UL-rated mastic to prevent leakage &gt;5% of design flow.</w:t>
      </w:r>
    </w:p>
    <w:p>
      <w:pPr>
        <w:pStyle w:val="Heading1"/>
      </w:pPr>
      <w:r>
        <w:t>Regulatory &amp; Compliance References</w:t>
      </w:r>
    </w:p>
    <w:p>
      <w:r>
        <w:t>- OSHA 1910.94: Ventilation and air contaminants control.</w:t>
      </w:r>
    </w:p>
    <w:p>
      <w:r>
        <w:t>- ASHRAE 62.1: Ventilation for acceptable indoor air quality.</w:t>
      </w:r>
    </w:p>
    <w:p>
      <w:r>
        <w:t>- ASHRAE 90.1: Energy standard for buildings except low-rise residential.</w:t>
      </w:r>
    </w:p>
    <w:p>
      <w:r>
        <w:t>- EPA Indoor Air Quality Guidelines for Occupied Buildings (2023).</w:t>
      </w:r>
    </w:p>
    <w:p>
      <w:r>
        <w:t>- NFPA 90A: Installation of Air-Conditioning and Ventilating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