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NEXUM SUUM INC. — COOLING TOWER SYSTEMS SOP</w:t>
      </w:r>
    </w:p>
    <w:p>
      <w:r>
        <w:t>Operational Excellence Through Efficiency and Compliance</w:t>
        <w:br/>
        <w:t>(A4 Digital Format – Standard Nexum Suum Theme)</w:t>
      </w:r>
    </w:p>
    <w:p>
      <w:pPr>
        <w:pStyle w:val="Heading1"/>
      </w:pPr>
      <w:r>
        <w:t>Purpose &amp; Scope</w:t>
      </w:r>
    </w:p>
    <w:p>
      <w:r>
        <w:t>This SOP outlines the operational, inspection, and maintenance procedures for cooling tower systems. It covers induced draft, forced draft, and crossflow designs used in HVAC and process applications. The SOP ensures compliance with OSHA, ASHRAE, and EPA standards while maintaining water quality, heat transfer efficiency, and mechanical reliability.</w:t>
      </w:r>
    </w:p>
    <w:p>
      <w:pPr>
        <w:pStyle w:val="Heading1"/>
      </w:pPr>
      <w:r>
        <w:t>System Blueprint (Textual Flow Diagram)</w:t>
      </w:r>
    </w:p>
    <w:p>
      <w:r>
        <w:t>[Condenser Water Return] → [Cooling Tower Basin] → [Tower Pump] → [Tower Fill Media] → [Drift Eliminators] → [Fan Section] → [Warm Air Exhaust]</w:t>
        <w:br/>
        <w:t>Water from condensers enters the cooling tower, distributing over the fill where ambient air is drawn upward by fans. Heat exchange occurs via evaporation and the cooled water returns to the basin. The condenser pump recirculates it back to the chiller system for reuse.</w:t>
      </w:r>
    </w:p>
    <w:p>
      <w:pPr>
        <w:pStyle w:val="Heading1"/>
      </w:pPr>
      <w:r>
        <w:t>Step-by-Step Procedure</w:t>
      </w:r>
    </w:p>
    <w:p>
      <w:pPr>
        <w:pStyle w:val="Heading2"/>
      </w:pPr>
      <w:r>
        <w:t>Pre-Start Inspection</w:t>
      </w:r>
    </w:p>
    <w:p>
      <w:r>
        <w:t>- Check water level in basin; ensure float valve operation.</w:t>
      </w:r>
    </w:p>
    <w:p>
      <w:r>
        <w:t>- Inspect fan blades, gearbox, and belts for wear or misalignment.</w:t>
      </w:r>
    </w:p>
    <w:p>
      <w:r>
        <w:t>- Clean strainers and verify pump suction screens are clear.</w:t>
      </w:r>
    </w:p>
    <w:p>
      <w:r>
        <w:t>- Confirm drift eliminators and fill are free from scale or algae.</w:t>
      </w:r>
    </w:p>
    <w:p>
      <w:r>
        <w:t>- Verify conductivity controller and chemical feed pumps are operational.</w:t>
      </w:r>
    </w:p>
    <w:p>
      <w:r>
        <w:t>- Check for visible corrosion or leaks at piping connections.</w:t>
      </w:r>
    </w:p>
    <w:p>
      <w:pPr>
        <w:pStyle w:val="Heading2"/>
      </w:pPr>
      <w:r>
        <w:t>Startup Procedure</w:t>
      </w:r>
    </w:p>
    <w:p>
      <w:r>
        <w:t>- Open condenser water isolation valves.</w:t>
      </w:r>
    </w:p>
    <w:p>
      <w:r>
        <w:t>- Start circulation pump and verify basin water movement.</w:t>
      </w:r>
    </w:p>
    <w:p>
      <w:r>
        <w:t>- Start fan motor and check for correct rotation.</w:t>
      </w:r>
    </w:p>
    <w:p>
      <w:r>
        <w:t>- Observe temperature differential between entering and leaving water (target 8–12°F).</w:t>
      </w:r>
    </w:p>
    <w:p>
      <w:r>
        <w:t>- Confirm blowdown valve and conductivity probe maintain proper setpoints.</w:t>
      </w:r>
    </w:p>
    <w:p>
      <w:r>
        <w:t>- Check vibration readings on fan motor; should be &lt;0.15 in/s RMS.</w:t>
      </w:r>
    </w:p>
    <w:p>
      <w:pPr>
        <w:pStyle w:val="Heading2"/>
      </w:pPr>
      <w:r>
        <w:t>Normal Operation</w:t>
      </w:r>
    </w:p>
    <w:p>
      <w:r>
        <w:t>- Record basin temperature, conductivity, and fan motor amps every 4 hours.</w:t>
      </w:r>
    </w:p>
    <w:p>
      <w:r>
        <w:t>- Maintain basin water level ±1 inch of normal operating range.</w:t>
      </w:r>
    </w:p>
    <w:p>
      <w:r>
        <w:t>- Adjust chemical dosing as per conductivity controller feedback.</w:t>
      </w:r>
    </w:p>
    <w:p>
      <w:r>
        <w:t>- Inspect drift eliminators weekly to prevent water carryover.</w:t>
      </w:r>
    </w:p>
    <w:p>
      <w:r>
        <w:t>- Monitor blowdown cycles — ensure 3–5 per 24-hour period under normal load.</w:t>
      </w:r>
    </w:p>
    <w:p>
      <w:r>
        <w:t>- Lubricate fan motor bearings every 1,000 hours of operation.</w:t>
      </w:r>
    </w:p>
    <w:p>
      <w:pPr>
        <w:pStyle w:val="Heading2"/>
      </w:pPr>
      <w:r>
        <w:t>Shutdown Procedure</w:t>
      </w:r>
    </w:p>
    <w:p>
      <w:r>
        <w:t>- Shut off fan motor first to allow water circulation for 5 minutes.</w:t>
      </w:r>
    </w:p>
    <w:p>
      <w:r>
        <w:t>- Stop pump and close suction/discharge valves.</w:t>
      </w:r>
    </w:p>
    <w:p>
      <w:r>
        <w:t>- Drain basin partially during off-season; tag out for cleaning.</w:t>
      </w:r>
    </w:p>
    <w:p>
      <w:r>
        <w:t>- Clean fill, basin, and nozzles; remove sludge or biological growth.</w:t>
      </w:r>
    </w:p>
    <w:p>
      <w:r>
        <w:t>- Lockout/tagout electrical disconnects per OSHA 1910.147.</w:t>
      </w:r>
    </w:p>
    <w:p>
      <w:r>
        <w:t>- Document all readings and maintenance notes in CTS Log or Sheets.</w:t>
      </w:r>
    </w:p>
    <w:p>
      <w:pPr>
        <w:pStyle w:val="Heading1"/>
      </w:pPr>
      <w:r>
        <w:t>Equations &amp; Reference Formulas</w:t>
      </w:r>
    </w:p>
    <w:tbl>
      <w:tblPr>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Formula</w:t>
            </w:r>
          </w:p>
        </w:tc>
        <w:tc>
          <w:tcPr>
            <w:tcW w:type="dxa" w:w="2880"/>
          </w:tcPr>
          <w:p>
            <w:r>
              <w:t>Example</w:t>
            </w:r>
          </w:p>
        </w:tc>
      </w:tr>
      <w:tr>
        <w:tc>
          <w:tcPr>
            <w:tcW w:type="dxa" w:w="2880"/>
          </w:tcPr>
          <w:p>
            <w:r>
              <w:t>Cooling Range (°F)</w:t>
            </w:r>
          </w:p>
        </w:tc>
        <w:tc>
          <w:tcPr>
            <w:tcW w:type="dxa" w:w="2880"/>
          </w:tcPr>
          <w:p>
            <w:r>
              <w:t>Entering Water Temp – Leaving Water Temp</w:t>
            </w:r>
          </w:p>
        </w:tc>
        <w:tc>
          <w:tcPr>
            <w:tcW w:type="dxa" w:w="2880"/>
          </w:tcPr>
          <w:p>
            <w:r>
              <w:t>95 – 85 = 10°F</w:t>
            </w:r>
          </w:p>
        </w:tc>
      </w:tr>
      <w:tr>
        <w:tc>
          <w:tcPr>
            <w:tcW w:type="dxa" w:w="2880"/>
          </w:tcPr>
          <w:p>
            <w:r>
              <w:t>Approach (°F)</w:t>
            </w:r>
          </w:p>
        </w:tc>
        <w:tc>
          <w:tcPr>
            <w:tcW w:type="dxa" w:w="2880"/>
          </w:tcPr>
          <w:p>
            <w:r>
              <w:t>Leaving Water Temp – Ambient Wet Bulb</w:t>
            </w:r>
          </w:p>
        </w:tc>
        <w:tc>
          <w:tcPr>
            <w:tcW w:type="dxa" w:w="2880"/>
          </w:tcPr>
          <w:p>
            <w:r>
              <w:t>85 – 78 = 7°F</w:t>
            </w:r>
          </w:p>
        </w:tc>
      </w:tr>
      <w:tr>
        <w:tc>
          <w:tcPr>
            <w:tcW w:type="dxa" w:w="2880"/>
          </w:tcPr>
          <w:p>
            <w:r>
              <w:t>Evaporation Loss (gpm)</w:t>
            </w:r>
          </w:p>
        </w:tc>
        <w:tc>
          <w:tcPr>
            <w:tcW w:type="dxa" w:w="2880"/>
          </w:tcPr>
          <w:p>
            <w:r>
              <w:t>(Range × Flow Rate) ÷ 1000</w:t>
            </w:r>
          </w:p>
        </w:tc>
        <w:tc>
          <w:tcPr>
            <w:tcW w:type="dxa" w:w="2880"/>
          </w:tcPr>
          <w:p>
            <w:r>
              <w:t>(10 × 4000) ÷ 1000 = 40 gpm</w:t>
            </w:r>
          </w:p>
        </w:tc>
      </w:tr>
      <w:tr>
        <w:tc>
          <w:tcPr>
            <w:tcW w:type="dxa" w:w="2880"/>
          </w:tcPr>
          <w:p>
            <w:r>
              <w:t>Blowdown (gpm)</w:t>
            </w:r>
          </w:p>
        </w:tc>
        <w:tc>
          <w:tcPr>
            <w:tcW w:type="dxa" w:w="2880"/>
          </w:tcPr>
          <w:p>
            <w:r>
              <w:t>Evaporation ÷ (Cycles of Concentration – 1)</w:t>
            </w:r>
          </w:p>
        </w:tc>
        <w:tc>
          <w:tcPr>
            <w:tcW w:type="dxa" w:w="2880"/>
          </w:tcPr>
          <w:p>
            <w:r>
              <w:t>40 ÷ (4 – 1) = 13.3 gpm</w:t>
            </w:r>
          </w:p>
        </w:tc>
      </w:tr>
      <w:tr>
        <w:tc>
          <w:tcPr>
            <w:tcW w:type="dxa" w:w="2880"/>
          </w:tcPr>
          <w:p>
            <w:r>
              <w:t>Drift Loss (gpm)</w:t>
            </w:r>
          </w:p>
        </w:tc>
        <w:tc>
          <w:tcPr>
            <w:tcW w:type="dxa" w:w="2880"/>
          </w:tcPr>
          <w:p>
            <w:r>
              <w:t>Flow Rate × 0.0002</w:t>
            </w:r>
          </w:p>
        </w:tc>
        <w:tc>
          <w:tcPr>
            <w:tcW w:type="dxa" w:w="2880"/>
          </w:tcPr>
          <w:p>
            <w:r>
              <w:t>4000 × 0.0002 = 0.8 gpm</w:t>
            </w:r>
          </w:p>
        </w:tc>
      </w:tr>
    </w:tbl>
    <w:p>
      <w:pPr>
        <w:pStyle w:val="Heading1"/>
      </w:pPr>
      <w:r>
        <w:t>Common Fault Examples</w:t>
      </w:r>
    </w:p>
    <w:tbl>
      <w:tblPr>
        <w:tblW w:type="auto" w:w="0"/>
        <w:tblLook w:firstColumn="1" w:firstRow="1" w:lastColumn="0" w:lastRow="0" w:noHBand="0" w:noVBand="1" w:val="04A0"/>
      </w:tblPr>
      <w:tblGrid>
        <w:gridCol w:w="2160"/>
        <w:gridCol w:w="2160"/>
        <w:gridCol w:w="2160"/>
        <w:gridCol w:w="2160"/>
      </w:tblGrid>
      <w:tr>
        <w:tc>
          <w:tcPr>
            <w:tcW w:type="dxa" w:w="2160"/>
          </w:tcPr>
          <w:p>
            <w:r>
              <w:t>Fault</w:t>
            </w:r>
          </w:p>
        </w:tc>
        <w:tc>
          <w:tcPr>
            <w:tcW w:type="dxa" w:w="2160"/>
          </w:tcPr>
          <w:p>
            <w:r>
              <w:t>Symptom</w:t>
            </w:r>
          </w:p>
        </w:tc>
        <w:tc>
          <w:tcPr>
            <w:tcW w:type="dxa" w:w="2160"/>
          </w:tcPr>
          <w:p>
            <w:r>
              <w:t>Cause</w:t>
            </w:r>
          </w:p>
        </w:tc>
        <w:tc>
          <w:tcPr>
            <w:tcW w:type="dxa" w:w="2160"/>
          </w:tcPr>
          <w:p>
            <w:r>
              <w:t>Corrective Action</w:t>
            </w:r>
          </w:p>
        </w:tc>
      </w:tr>
      <w:tr>
        <w:tc>
          <w:tcPr>
            <w:tcW w:type="dxa" w:w="2160"/>
          </w:tcPr>
          <w:p>
            <w:r>
              <w:t>High Basin Conductivity</w:t>
            </w:r>
          </w:p>
        </w:tc>
        <w:tc>
          <w:tcPr>
            <w:tcW w:type="dxa" w:w="2160"/>
          </w:tcPr>
          <w:p>
            <w:r>
              <w:t>Foaming or scaling</w:t>
            </w:r>
          </w:p>
        </w:tc>
        <w:tc>
          <w:tcPr>
            <w:tcW w:type="dxa" w:w="2160"/>
          </w:tcPr>
          <w:p>
            <w:r>
              <w:t>Excess solids or poor blowdown</w:t>
            </w:r>
          </w:p>
        </w:tc>
        <w:tc>
          <w:tcPr>
            <w:tcW w:type="dxa" w:w="2160"/>
          </w:tcPr>
          <w:p>
            <w:r>
              <w:t>Calibrate controller, increase blowdown rate</w:t>
            </w:r>
          </w:p>
        </w:tc>
      </w:tr>
      <w:tr>
        <w:tc>
          <w:tcPr>
            <w:tcW w:type="dxa" w:w="2160"/>
          </w:tcPr>
          <w:p>
            <w:r>
              <w:t>Low ΔT</w:t>
            </w:r>
          </w:p>
        </w:tc>
        <w:tc>
          <w:tcPr>
            <w:tcW w:type="dxa" w:w="2160"/>
          </w:tcPr>
          <w:p>
            <w:r>
              <w:t>Reduced heat rejection</w:t>
            </w:r>
          </w:p>
        </w:tc>
        <w:tc>
          <w:tcPr>
            <w:tcW w:type="dxa" w:w="2160"/>
          </w:tcPr>
          <w:p>
            <w:r>
              <w:t>Fouled fill or low airflow</w:t>
            </w:r>
          </w:p>
        </w:tc>
        <w:tc>
          <w:tcPr>
            <w:tcW w:type="dxa" w:w="2160"/>
          </w:tcPr>
          <w:p>
            <w:r>
              <w:t>Clean fill, check fan operation</w:t>
            </w:r>
          </w:p>
        </w:tc>
      </w:tr>
      <w:tr>
        <w:tc>
          <w:tcPr>
            <w:tcW w:type="dxa" w:w="2160"/>
          </w:tcPr>
          <w:p>
            <w:r>
              <w:t>High Vibration</w:t>
            </w:r>
          </w:p>
        </w:tc>
        <w:tc>
          <w:tcPr>
            <w:tcW w:type="dxa" w:w="2160"/>
          </w:tcPr>
          <w:p>
            <w:r>
              <w:t>Audible noise</w:t>
            </w:r>
          </w:p>
        </w:tc>
        <w:tc>
          <w:tcPr>
            <w:tcW w:type="dxa" w:w="2160"/>
          </w:tcPr>
          <w:p>
            <w:r>
              <w:t>Fan imbalance or bearing wear</w:t>
            </w:r>
          </w:p>
        </w:tc>
        <w:tc>
          <w:tcPr>
            <w:tcW w:type="dxa" w:w="2160"/>
          </w:tcPr>
          <w:p>
            <w:r>
              <w:t>Align fan, grease bearings</w:t>
            </w:r>
          </w:p>
        </w:tc>
      </w:tr>
      <w:tr>
        <w:tc>
          <w:tcPr>
            <w:tcW w:type="dxa" w:w="2160"/>
          </w:tcPr>
          <w:p>
            <w:r>
              <w:t>Algae Growth</w:t>
            </w:r>
          </w:p>
        </w:tc>
        <w:tc>
          <w:tcPr>
            <w:tcW w:type="dxa" w:w="2160"/>
          </w:tcPr>
          <w:p>
            <w:r>
              <w:t>Green/brown film</w:t>
            </w:r>
          </w:p>
        </w:tc>
        <w:tc>
          <w:tcPr>
            <w:tcW w:type="dxa" w:w="2160"/>
          </w:tcPr>
          <w:p>
            <w:r>
              <w:t>Improper chemical treatment</w:t>
            </w:r>
          </w:p>
        </w:tc>
        <w:tc>
          <w:tcPr>
            <w:tcW w:type="dxa" w:w="2160"/>
          </w:tcPr>
          <w:p>
            <w:r>
              <w:t>Shock treat with biocide</w:t>
            </w:r>
          </w:p>
        </w:tc>
      </w:tr>
      <w:tr>
        <w:tc>
          <w:tcPr>
            <w:tcW w:type="dxa" w:w="2160"/>
          </w:tcPr>
          <w:p>
            <w:r>
              <w:t>Low Basin Level</w:t>
            </w:r>
          </w:p>
        </w:tc>
        <w:tc>
          <w:tcPr>
            <w:tcW w:type="dxa" w:w="2160"/>
          </w:tcPr>
          <w:p>
            <w:r>
              <w:t>Pump cavitation</w:t>
            </w:r>
          </w:p>
        </w:tc>
        <w:tc>
          <w:tcPr>
            <w:tcW w:type="dxa" w:w="2160"/>
          </w:tcPr>
          <w:p>
            <w:r>
              <w:t>Float valve failure or leak</w:t>
            </w:r>
          </w:p>
        </w:tc>
        <w:tc>
          <w:tcPr>
            <w:tcW w:type="dxa" w:w="2160"/>
          </w:tcPr>
          <w:p>
            <w:r>
              <w:t>Inspect float, repair leaks</w:t>
            </w:r>
          </w:p>
        </w:tc>
      </w:tr>
    </w:tbl>
    <w:p>
      <w:pPr>
        <w:pStyle w:val="Heading1"/>
      </w:pPr>
      <w:r>
        <w:t>Optimization Guidance</w:t>
      </w:r>
    </w:p>
    <w:p>
      <w:r>
        <w:t>- Maintain 3–5 cycles of concentration for optimal chemical balance.</w:t>
      </w:r>
    </w:p>
    <w:p>
      <w:r>
        <w:t>- Inspect drift eliminators quarterly to ensure &lt;0.002% drift loss.</w:t>
      </w:r>
    </w:p>
    <w:p>
      <w:r>
        <w:t>- Install VFDs on fans to reduce power at partial load conditions.</w:t>
      </w:r>
    </w:p>
    <w:p>
      <w:r>
        <w:t>- Monitor approach temperature; values &gt;10°F indicate fouling or scaling.</w:t>
      </w:r>
    </w:p>
    <w:p>
      <w:r>
        <w:t>- Automate blowdown using conductivity sensors and Make.com integration.</w:t>
      </w:r>
    </w:p>
    <w:p>
      <w:r>
        <w:t>- Clean fill media bi-annually; replace when clogging exceeds 25%.</w:t>
      </w:r>
    </w:p>
    <w:p>
      <w:r>
        <w:t>- Use AWS QuickSight dashboards to track cooling tower performance KPIs.</w:t>
      </w:r>
    </w:p>
    <w:p>
      <w:r>
        <w:t>- Perform Legionella testing quarterly to ensure microbial compliance.</w:t>
      </w:r>
    </w:p>
    <w:p>
      <w:pPr>
        <w:pStyle w:val="Heading1"/>
      </w:pPr>
      <w:r>
        <w:t>Regulatory &amp; Compliance References</w:t>
      </w:r>
    </w:p>
    <w:p>
      <w:r>
        <w:t>- OSHA 1910.141: Water and air treatment standards.</w:t>
      </w:r>
    </w:p>
    <w:p>
      <w:r>
        <w:t>- ASHRAE 188: Legionellosis risk management for building water systems.</w:t>
      </w:r>
    </w:p>
    <w:p>
      <w:r>
        <w:t>- EPA Clean Water Act (40 CFR 122): Effluent and discharge monitoring.</w:t>
      </w:r>
    </w:p>
    <w:p>
      <w:r>
        <w:t>- CTI STD-201: Cooling Technology Institute thermal performance standard.</w:t>
      </w:r>
    </w:p>
    <w:p>
      <w:r>
        <w:t>- NFPA 70B: Electrical maintenance for motor-driven fans and pumps.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