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Nexum Suum Water Treatment &amp; Chemistry SOP</w:t>
      </w:r>
    </w:p>
    <w:p>
      <w:pPr>
        <w:pStyle w:val="Heading2"/>
      </w:pPr>
      <w:r>
        <w:t>Purpose &amp; Scope</w:t>
      </w:r>
    </w:p>
    <w:p>
      <w:r>
        <w:t>This SOP establishes standardized procedures for the operation, monitoring, and maintenance of all water treatment systems within a facility—covering make-up, feedwater, condensate, cooling, and domestic systems. It ensures that water quality meets or exceeds regulatory, equipment, and safety standards by controlling scale, corrosion, and microbiological growth.</w:t>
        <w:br/>
        <w:br/>
        <w:t>This applies to:</w:t>
        <w:br/>
        <w:t>- Boiler feedwater systems (DA tanks, surge tanks, expansion tanks)</w:t>
        <w:br/>
        <w:t>- Cooling towers and chiller condenser loops</w:t>
        <w:br/>
        <w:t>- Domestic hot water and process water</w:t>
        <w:br/>
        <w:t>- Reverse Osmosis (RO), Deionized (DI), and Water for Injection (WFI) systems</w:t>
        <w:br/>
        <w:t>- Condensate recovery and return systems</w:t>
      </w:r>
    </w:p>
    <w:p>
      <w:pPr>
        <w:pStyle w:val="Heading2"/>
      </w:pPr>
      <w:r>
        <w:t>Flow Diagram (Simplified Process Overview)</w:t>
      </w:r>
    </w:p>
    <w:p>
      <w:pPr>
        <w:jc w:val="center"/>
      </w:pPr>
      <w:r>
        <w:t>CITY / WELL WATER</w:t>
        <w:br/>
        <w:t xml:space="preserve">       ↓</w:t>
        <w:br/>
        <w:t xml:space="preserve">  Softener / Filtration</w:t>
        <w:br/>
        <w:t xml:space="preserve">       ↓</w:t>
        <w:br/>
        <w:t xml:space="preserve">  Chemical Treatment (Dechlorination, pH control, anti-scalant)</w:t>
        <w:br/>
        <w:t xml:space="preserve">       ↓</w:t>
        <w:br/>
        <w:t xml:space="preserve">  Reverse Osmosis (RO)</w:t>
        <w:br/>
        <w:t xml:space="preserve">       ↓</w:t>
        <w:br/>
        <w:t xml:space="preserve">  Deaerator (for boiler feedwater)</w:t>
        <w:br/>
        <w:t xml:space="preserve">       ↓</w:t>
        <w:br/>
        <w:t xml:space="preserve">  Storage / Distribution Tanks</w:t>
        <w:br/>
        <w:t xml:space="preserve">       ↓</w:t>
        <w:br/>
        <w:t xml:space="preserve">  Heat Exchanger / Boiler / Chiller System</w:t>
        <w:br/>
        <w:t xml:space="preserve">       ↓</w:t>
        <w:br/>
        <w:t xml:space="preserve">  Return Lines → Condensate Recovery → DA Tank</w:t>
        <w:br/>
        <w:t xml:space="preserve">       ↓</w:t>
        <w:br/>
        <w:t xml:space="preserve">  Blowdown / Discharge → Neutralization → Drain</w:t>
      </w:r>
    </w:p>
    <w:p>
      <w:pPr>
        <w:pStyle w:val="Heading2"/>
      </w:pPr>
      <w:r>
        <w:t>Step-by-Step Procedures</w:t>
      </w:r>
    </w:p>
    <w:p>
      <w:pPr>
        <w:pStyle w:val="Heading3"/>
      </w:pPr>
      <w:r>
        <w:t>Startup Procedure</w:t>
      </w:r>
    </w:p>
    <w:p>
      <w:pPr>
        <w:pStyle w:val="ListNumber"/>
      </w:pPr>
      <w:r>
        <w:t>Pre-Inspection: Verify all valves, chemical feed tanks, sensors, and equipment are in normal operating position and leak-free.</w:t>
      </w:r>
    </w:p>
    <w:p>
      <w:pPr>
        <w:pStyle w:val="ListNumber"/>
      </w:pPr>
      <w:r>
        <w:t>System Fill &amp; Circulation: Begin filling and circulating water through softeners and filters; record initial pressure, flow rate, and temperature.</w:t>
      </w:r>
    </w:p>
    <w:p>
      <w:pPr>
        <w:pStyle w:val="ListNumber"/>
      </w:pPr>
      <w:r>
        <w:t>Chemical Dosing: Start feed pumps to maintain boiler pH 8.5–10.5, sulfite &gt;30 ppm, phosphate 20–40 ppm; cooling tower pH 7.5–9.0; conductivity ≤2,500 µS/cm.</w:t>
      </w:r>
    </w:p>
    <w:p>
      <w:pPr>
        <w:pStyle w:val="ListNumber"/>
      </w:pPr>
      <w:r>
        <w:t>Testing and Verification: Test pH, hardness, conductivity, TDS, alkalinity, sulfite, phosphate, and microbial counts.</w:t>
      </w:r>
    </w:p>
    <w:p>
      <w:pPr>
        <w:pStyle w:val="ListNumber"/>
      </w:pPr>
      <w:r>
        <w:t>System Monitoring: Adjust dosing and blowdown per readings; log all data.</w:t>
      </w:r>
    </w:p>
    <w:p>
      <w:pPr>
        <w:pStyle w:val="Heading3"/>
      </w:pPr>
      <w:r>
        <w:t>Shutdown Procedure</w:t>
      </w:r>
    </w:p>
    <w:p>
      <w:pPr>
        <w:pStyle w:val="ListNumber"/>
      </w:pPr>
      <w:r>
        <w:t>Notify Operations: Inform staff of planned shutdown.</w:t>
      </w:r>
    </w:p>
    <w:p>
      <w:pPr>
        <w:pStyle w:val="ListNumber"/>
      </w:pPr>
      <w:r>
        <w:t>Chemical Isolation: Stop chemical feed pumps and close valves; flush chemical lines.</w:t>
      </w:r>
    </w:p>
    <w:p>
      <w:pPr>
        <w:pStyle w:val="ListNumber"/>
      </w:pPr>
      <w:r>
        <w:t>System Drainage: Slowly open blowdown valves to release pressure and drain systems.</w:t>
      </w:r>
    </w:p>
    <w:p>
      <w:pPr>
        <w:pStyle w:val="ListNumber"/>
      </w:pPr>
      <w:r>
        <w:t>Rinse &amp; Neutralize: Flush lines with clean water until neutral; use lay-up solution (200 ppm sodium sulfite) if idle long-term.</w:t>
      </w:r>
    </w:p>
    <w:p>
      <w:pPr>
        <w:pStyle w:val="ListNumber"/>
      </w:pPr>
      <w:r>
        <w:t>Recordkeeping: Log final readings, maintenance needs, and tag as 'Out of Service'.</w:t>
      </w:r>
    </w:p>
    <w:p>
      <w:pPr>
        <w:pStyle w:val="Heading2"/>
      </w:pPr>
      <w:r>
        <w:t>Sanitation and Maintenance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Procedure</w:t>
            </w:r>
          </w:p>
        </w:tc>
      </w:tr>
      <w:tr>
        <w:tc>
          <w:tcPr>
            <w:tcW w:type="dxa" w:w="2880"/>
          </w:tcPr>
          <w:p>
            <w:r>
              <w:t>Inspect softeners, filters, and tanks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Check for leaks, salt bridging, pressure drop.</w:t>
            </w:r>
          </w:p>
        </w:tc>
      </w:tr>
      <w:tr>
        <w:tc>
          <w:tcPr>
            <w:tcW w:type="dxa" w:w="2880"/>
          </w:tcPr>
          <w:p>
            <w:r>
              <w:t>Clean strainers and filters</w:t>
            </w:r>
          </w:p>
        </w:tc>
        <w:tc>
          <w:tcPr>
            <w:tcW w:type="dxa" w:w="2880"/>
          </w:tcPr>
          <w:p>
            <w:r>
              <w:t>Bi-weekly</w:t>
            </w:r>
          </w:p>
        </w:tc>
        <w:tc>
          <w:tcPr>
            <w:tcW w:type="dxa" w:w="2880"/>
          </w:tcPr>
          <w:p>
            <w:r>
              <w:t>Flush and replace if fouled.</w:t>
            </w:r>
          </w:p>
        </w:tc>
      </w:tr>
      <w:tr>
        <w:tc>
          <w:tcPr>
            <w:tcW w:type="dxa" w:w="2880"/>
          </w:tcPr>
          <w:p>
            <w:r>
              <w:t>Test hardness, conductivity, pH, alkalinity</w:t>
            </w:r>
          </w:p>
        </w:tc>
        <w:tc>
          <w:tcPr>
            <w:tcW w:type="dxa" w:w="2880"/>
          </w:tcPr>
          <w:p>
            <w:r>
              <w:t>Daily</w:t>
            </w:r>
          </w:p>
        </w:tc>
        <w:tc>
          <w:tcPr>
            <w:tcW w:type="dxa" w:w="2880"/>
          </w:tcPr>
          <w:p>
            <w:r>
              <w:t>Compare with baseline and adjust feed.</w:t>
            </w:r>
          </w:p>
        </w:tc>
      </w:tr>
      <w:tr>
        <w:tc>
          <w:tcPr>
            <w:tcW w:type="dxa" w:w="2880"/>
          </w:tcPr>
          <w:p>
            <w:r>
              <w:t>Inspect RO membranes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Flush with permeate; replace if DP &gt;10 psi.</w:t>
            </w:r>
          </w:p>
        </w:tc>
      </w:tr>
      <w:tr>
        <w:tc>
          <w:tcPr>
            <w:tcW w:type="dxa" w:w="2880"/>
          </w:tcPr>
          <w:p>
            <w:r>
              <w:t>Biocide dosing / tower cleaning</w:t>
            </w:r>
          </w:p>
        </w:tc>
        <w:tc>
          <w:tcPr>
            <w:tcW w:type="dxa" w:w="2880"/>
          </w:tcPr>
          <w:p>
            <w:r>
              <w:t>Weekly / Monthly</w:t>
            </w:r>
          </w:p>
        </w:tc>
        <w:tc>
          <w:tcPr>
            <w:tcW w:type="dxa" w:w="2880"/>
          </w:tcPr>
          <w:p>
            <w:r>
              <w:t>Alternate oxidizing and non-oxidizing biocides.</w:t>
            </w:r>
          </w:p>
        </w:tc>
      </w:tr>
      <w:tr>
        <w:tc>
          <w:tcPr>
            <w:tcW w:type="dxa" w:w="2880"/>
          </w:tcPr>
          <w:p>
            <w:r>
              <w:t>Chemical inventory check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Ensure proper labeling and SDS compliance.</w:t>
            </w:r>
          </w:p>
        </w:tc>
      </w:tr>
      <w:tr>
        <w:tc>
          <w:tcPr>
            <w:tcW w:type="dxa" w:w="2880"/>
          </w:tcPr>
          <w:p>
            <w:r>
              <w:t>Blowdown line inspection</w:t>
            </w:r>
          </w:p>
        </w:tc>
        <w:tc>
          <w:tcPr>
            <w:tcW w:type="dxa" w:w="2880"/>
          </w:tcPr>
          <w:p>
            <w:r>
              <w:t>Quarterly</w:t>
            </w:r>
          </w:p>
        </w:tc>
        <w:tc>
          <w:tcPr>
            <w:tcW w:type="dxa" w:w="2880"/>
          </w:tcPr>
          <w:p>
            <w:r>
              <w:t>Verify neutralization path and integrity.</w:t>
            </w:r>
          </w:p>
        </w:tc>
      </w:tr>
      <w:tr>
        <w:tc>
          <w:tcPr>
            <w:tcW w:type="dxa" w:w="2880"/>
          </w:tcPr>
          <w:p>
            <w:r>
              <w:t>Sensor calibration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Verify pH, ORP, conductivity, and temperature accuracy.</w:t>
            </w:r>
          </w:p>
        </w:tc>
      </w:tr>
    </w:tbl>
    <w:p>
      <w:pPr>
        <w:pStyle w:val="Heading2"/>
      </w:pPr>
      <w:r>
        <w:t>Compliance Agencies / Code References</w:t>
      </w:r>
    </w:p>
    <w:p>
      <w:r>
        <w:t>OSHA – 29 CFR 1910 – General Industry Standards (Chemical Handling, PPE, Lockout/Tagout)</w:t>
      </w:r>
    </w:p>
    <w:p>
      <w:r>
        <w:t>EPA – Clean Water Act; NPDES Permitting for Discharge</w:t>
      </w:r>
    </w:p>
    <w:p>
      <w:r>
        <w:t>ASME – Section VI &amp; VII – Recommended Rules for Boiler Care and Operation</w:t>
      </w:r>
    </w:p>
    <w:p>
      <w:r>
        <w:t>FDA / GMP – 21 CFR Part 210–211 for Water Purity (Pharma facilities)</w:t>
      </w:r>
    </w:p>
    <w:p>
      <w:r>
        <w:t>AWWA – Water Quality and Disinfection Standards</w:t>
      </w:r>
    </w:p>
    <w:p>
      <w:r>
        <w:t>ASHRAE – Guideline 12-2020: Legionellosis Risk Management</w:t>
      </w:r>
    </w:p>
    <w:p>
      <w:r>
        <w:t>CDC – Legionella Water Management Program Guidelines</w:t>
      </w:r>
    </w:p>
    <w:p>
      <w:r>
        <w:t>NJDEP / Local Codes – Compliance with State Discharge and Storage Regulations</w:t>
      </w:r>
    </w:p>
    <w:p>
      <w:pPr>
        <w:pStyle w:val="Heading2"/>
      </w:pPr>
      <w:r>
        <w:t>Safety Notes</w:t>
      </w:r>
    </w:p>
    <w:p>
      <w:r>
        <w:t>• Wear gloves, face shield, and apron when handling chemicals.</w:t>
        <w:br/>
        <w:t>• Never mix acids and caustics.</w:t>
        <w:br/>
        <w:t>• Store incompatible chemicals separately.</w:t>
        <w:br/>
        <w:t>• Ensure neutralization tanks are functional before blowdown.</w:t>
        <w:br/>
        <w:t>• Maintain an accessible SDS binder near treatment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